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版本号：SXHC2026-13020260605001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西安市城市供水管理项目（2026年7月-2027年6月）</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SXHC2026-130</w:t>
      </w:r>
      <w:r>
        <w:br/>
      </w:r>
      <w:r>
        <w:br/>
      </w:r>
      <w:r>
        <w:br/>
      </w:r>
    </w:p>
    <w:p>
      <w:pPr>
        <w:pStyle w:val="null3"/>
        <w:jc w:val="center"/>
        <w:outlineLvl w:val="2"/>
      </w:pPr>
      <w:r>
        <w:rPr>
          <w:rFonts w:ascii="仿宋_GB2312" w:hAnsi="仿宋_GB2312" w:cs="仿宋_GB2312" w:eastAsia="仿宋_GB2312"/>
          <w:sz w:val="28"/>
          <w:b/>
        </w:rPr>
        <w:t>西安市供水管理中心</w:t>
      </w:r>
    </w:p>
    <w:p>
      <w:pPr>
        <w:pStyle w:val="null3"/>
        <w:jc w:val="center"/>
        <w:outlineLvl w:val="2"/>
      </w:pPr>
      <w:r>
        <w:rPr>
          <w:rFonts w:ascii="仿宋_GB2312" w:hAnsi="仿宋_GB2312" w:cs="仿宋_GB2312" w:eastAsia="仿宋_GB2312"/>
          <w:sz w:val="28"/>
          <w:b/>
        </w:rPr>
        <w:t>陕西华采招标有限公司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陕西华采招标有限公司</w:t>
      </w:r>
      <w:r>
        <w:rPr>
          <w:rFonts w:ascii="仿宋_GB2312" w:hAnsi="仿宋_GB2312" w:cs="仿宋_GB2312" w:eastAsia="仿宋_GB2312"/>
        </w:rPr>
        <w:t>（以下简称“代理机构”）受</w:t>
      </w:r>
      <w:r>
        <w:rPr>
          <w:rFonts w:ascii="仿宋_GB2312" w:hAnsi="仿宋_GB2312" w:cs="仿宋_GB2312" w:eastAsia="仿宋_GB2312"/>
        </w:rPr>
        <w:t>西安市供水管理中心</w:t>
      </w:r>
      <w:r>
        <w:rPr>
          <w:rFonts w:ascii="仿宋_GB2312" w:hAnsi="仿宋_GB2312" w:cs="仿宋_GB2312" w:eastAsia="仿宋_GB2312"/>
        </w:rPr>
        <w:t>委托，拟对</w:t>
      </w:r>
      <w:r>
        <w:rPr>
          <w:rFonts w:ascii="仿宋_GB2312" w:hAnsi="仿宋_GB2312" w:cs="仿宋_GB2312" w:eastAsia="仿宋_GB2312"/>
        </w:rPr>
        <w:t>西安市城市供水管理项目（2026年7月-2027年6月）</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SXHC2026-130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西安市城市供水管理项目（2026年7月-2027年6月）</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主要建设内容涵盖两大方面：供水管理技术服务与重点区域水质监测服务。其中，供水管理技术服务涵盖管理信息采集更新服务、城市供水水质抽检服务、城市供水管理服务（含供水管理技术服务、数据平台技术服务及二次供水设施验收备案技术支持服务）；重点区域水质监测服务采用“水质监测+服务治理”一体化模式，强化重点区域的水质监控与问题治理能力。</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采购包1（供水管理技术服务项目）：属于专门面向中小企业采购。</w:t>
      </w:r>
    </w:p>
    <w:p>
      <w:pPr>
        <w:pStyle w:val="null3"/>
      </w:pPr>
      <w:r>
        <w:rPr>
          <w:rFonts w:ascii="仿宋_GB2312" w:hAnsi="仿宋_GB2312" w:cs="仿宋_GB2312" w:eastAsia="仿宋_GB2312"/>
        </w:rPr>
        <w:t>供应商合同分包的，分包意向协议中分包意向供应商应当为中小企业。</w:t>
      </w:r>
    </w:p>
    <w:p>
      <w:pPr>
        <w:pStyle w:val="null3"/>
      </w:pPr>
      <w:r>
        <w:rPr>
          <w:rFonts w:ascii="仿宋_GB2312" w:hAnsi="仿宋_GB2312" w:cs="仿宋_GB2312" w:eastAsia="仿宋_GB2312"/>
        </w:rPr>
        <w:t>采购包2（重点区域水质监测服务项目）：属于专门面向中小企业采购。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1、具有独立承担民事责任能力：企业法人应提供合法有效的标识有统一社会信用代码的营业执照；事业法人应提供事业单位法人证书；其他组织应提供合法登记证明文件，自然人应提供身份证。</w:t>
      </w:r>
    </w:p>
    <w:p>
      <w:pPr>
        <w:pStyle w:val="null3"/>
      </w:pPr>
      <w:r>
        <w:rPr>
          <w:rFonts w:ascii="仿宋_GB2312" w:hAnsi="仿宋_GB2312" w:cs="仿宋_GB2312" w:eastAsia="仿宋_GB2312"/>
        </w:rPr>
        <w:t>2、法定代表人身份证明或法定代表人授权委托书：法定代表人直接参加投标的，须提供法定代表人身份证明；法定代表人授权代表参加投标的，须提供法定代表人授权委托书。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3、依法缴纳税收和社会保障资金：①提供投标文件递交截止时间前6个月内任意时段已缴纳的纳税证明或完税证明（纳税证明或完税证明上应有代收机构或税务机关的公章或业务专用章）；②提供投标文件递交截止时间前6个月内任意时段已缴纳的社会保障资金的证明（社会保障资金缴存单据或社保机构开具的社会保险参保缴费情况证明等)。</w:t>
      </w:r>
    </w:p>
    <w:p>
      <w:pPr>
        <w:pStyle w:val="null3"/>
      </w:pPr>
      <w:r>
        <w:rPr>
          <w:rFonts w:ascii="仿宋_GB2312" w:hAnsi="仿宋_GB2312" w:cs="仿宋_GB2312" w:eastAsia="仿宋_GB2312"/>
        </w:rPr>
        <w:t>4、履行本合同所必需的设备和专业技术能力：提供具有履行本合同所必需的设备和专业技术能力的书面声明。</w:t>
      </w:r>
    </w:p>
    <w:p>
      <w:pPr>
        <w:pStyle w:val="null3"/>
      </w:pPr>
      <w:r>
        <w:rPr>
          <w:rFonts w:ascii="仿宋_GB2312" w:hAnsi="仿宋_GB2312" w:cs="仿宋_GB2312" w:eastAsia="仿宋_GB2312"/>
        </w:rPr>
        <w:t>5、无重大违法记录书面声明：提供参加政府采购活动前3年内在经营活动中没有重大违法记录的书面声明。</w:t>
      </w:r>
    </w:p>
    <w:p>
      <w:pPr>
        <w:pStyle w:val="null3"/>
      </w:pPr>
      <w:r>
        <w:rPr>
          <w:rFonts w:ascii="仿宋_GB2312" w:hAnsi="仿宋_GB2312" w:cs="仿宋_GB2312" w:eastAsia="仿宋_GB2312"/>
        </w:rPr>
        <w:t>6、信誉要求：投标人未被列入“失信被执行人”、“重大税收违法案件当事人名单”和“政府采购严重违法失信行为记录名单”。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1、具有独立承担民事责任能力：企业法人应提供合法有效的标识有统一社会信用代码的营业执照；事业法人应提供事业单位法人证书；其他组织应提供合法登记证明文件，自然人应提供身份证。</w:t>
      </w:r>
    </w:p>
    <w:p>
      <w:pPr>
        <w:pStyle w:val="null3"/>
      </w:pPr>
      <w:r>
        <w:rPr>
          <w:rFonts w:ascii="仿宋_GB2312" w:hAnsi="仿宋_GB2312" w:cs="仿宋_GB2312" w:eastAsia="仿宋_GB2312"/>
        </w:rPr>
        <w:t>2、法定代表人身份证明或法定代表人授权委托书：法定代表人直接参加投标的，须提供法定代表人身份证明；法定代表人授权代表参加投标的，须提供法定代表人授权委托书。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3、依法缴纳税收和社会保障资金：①提供投标文件递交截止时间前6个月内任意时段已缴纳的纳税证明或完税证明（纳税证明或完税证明上应有代收机构或税务机关的公章或业务专用章）；②提供投标文件递交截止时间前6个月内任意时段已缴纳的社会保障资金的证明（社会保障资金缴存单据或社保机构开具的社会保险参保缴费情况证明等)。</w:t>
      </w:r>
    </w:p>
    <w:p>
      <w:pPr>
        <w:pStyle w:val="null3"/>
      </w:pPr>
      <w:r>
        <w:rPr>
          <w:rFonts w:ascii="仿宋_GB2312" w:hAnsi="仿宋_GB2312" w:cs="仿宋_GB2312" w:eastAsia="仿宋_GB2312"/>
        </w:rPr>
        <w:t>4、履行本合同所必需的设备和专业技术能力：提供具有履行本合同所必需的设备和专业技术能力的书面声明。</w:t>
      </w:r>
    </w:p>
    <w:p>
      <w:pPr>
        <w:pStyle w:val="null3"/>
      </w:pPr>
      <w:r>
        <w:rPr>
          <w:rFonts w:ascii="仿宋_GB2312" w:hAnsi="仿宋_GB2312" w:cs="仿宋_GB2312" w:eastAsia="仿宋_GB2312"/>
        </w:rPr>
        <w:t>5、无重大违法记录书面声明：提供参加政府采购活动前3年内在经营活动中没有重大违法记录的书面声明。</w:t>
      </w:r>
    </w:p>
    <w:p>
      <w:pPr>
        <w:pStyle w:val="null3"/>
      </w:pPr>
      <w:r>
        <w:rPr>
          <w:rFonts w:ascii="仿宋_GB2312" w:hAnsi="仿宋_GB2312" w:cs="仿宋_GB2312" w:eastAsia="仿宋_GB2312"/>
        </w:rPr>
        <w:t>6、信誉要求：投标人未被列入“失信被执行人”、“重大税收违法案件当事人名单”和“政府采购严重违法失信行为记录名单”。</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西安市供水管理中心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西安市未央区凤城南路东段12号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茹工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029-89361024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陕西华采招标有限公司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西安高新区锦业路1号绿地领海大厦B座10层1006室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潘聪、张聪聪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029-68255920-806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采购包1：1,323,500.00元</w:t>
            </w:r>
          </w:p>
          <w:p>
            <w:pPr>
              <w:pStyle w:val="null3"/>
            </w:pPr>
            <w:r>
              <w:rPr>
                <w:rFonts w:ascii="仿宋_GB2312" w:hAnsi="仿宋_GB2312" w:cs="仿宋_GB2312" w:eastAsia="仿宋_GB2312"/>
              </w:rPr>
              <w:t>采购包2：1,476,500.00元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 （1）代理服务费的计算方法：以各包中标金额为基数参考《国家计委关于印发&lt;招标代理服务收费管理暂行办法&gt;的通知》（计价格〔2002〕1980号）及《国家发改委关于降低部分建设项目收费标准规范收费行为等有关问题的通知》（发改价格〔2011〕534号）规定按标准收取。 （2）代理服务费可以采取现金、支票、银行汇票、电汇、网银等方式缴纳。 （3）代理服务费缴纳信息： 银行户名：陕西华采招标有限公司 开户银行：招商银行陕西自贸试验区西安高新科技支行 账号：129905942210666 联系人：韩工 联系电话：029-68255920转802</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西安市供水管理中心</w:t>
      </w:r>
      <w:r>
        <w:rPr>
          <w:rFonts w:ascii="仿宋_GB2312" w:hAnsi="仿宋_GB2312" w:cs="仿宋_GB2312" w:eastAsia="仿宋_GB2312"/>
        </w:rPr>
        <w:t>和</w:t>
      </w:r>
      <w:r>
        <w:rPr>
          <w:rFonts w:ascii="仿宋_GB2312" w:hAnsi="仿宋_GB2312" w:cs="仿宋_GB2312" w:eastAsia="仿宋_GB2312"/>
        </w:rPr>
        <w:t>陕西华采招标有限公司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西安市供水管理中心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陕西华采招标有限公司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西安市供水管理中心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陕西华采招标有限公司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采购包1：分包比例38%，分包履行的内容：城市供水水质专项检检测服务，后期经采购人同意中标人可将上述工作内容分包，但需按照技术要求内容分包给具有专业资质的服务商；资质要求详见第4章</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按照招标文件要求及合同约定执行。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联系人：党娜</w:t>
      </w:r>
    </w:p>
    <w:p>
      <w:pPr>
        <w:pStyle w:val="null3"/>
      </w:pPr>
      <w:r>
        <w:rPr>
          <w:rFonts w:ascii="仿宋_GB2312" w:hAnsi="仿宋_GB2312" w:cs="仿宋_GB2312" w:eastAsia="仿宋_GB2312"/>
        </w:rPr>
        <w:t>联系电话：029-68255920-806</w:t>
      </w:r>
    </w:p>
    <w:p>
      <w:pPr>
        <w:pStyle w:val="null3"/>
      </w:pPr>
      <w:r>
        <w:rPr>
          <w:rFonts w:ascii="仿宋_GB2312" w:hAnsi="仿宋_GB2312" w:cs="仿宋_GB2312" w:eastAsia="仿宋_GB2312"/>
        </w:rPr>
        <w:t>地址：西安高新区锦业路1号绿地领海大厦B座10层1006室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主要建设内容涵盖两大方面：供水管理技术服务与重点区域水质监测服务。其中，供水管理技术服务涵盖管理信息采集更新服务、城市供水水质抽检服务、城市供水管理服务（含供水管理技术服务、数据平台技术服务及二次供水设施验收备案技术支持服务）；重点区域水质监测服务采用“水质监测+服务治理”一体化模式，强化重点区域的水质监控与问题治理能力。</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1,323,500.00</w:t>
      </w:r>
    </w:p>
    <w:p>
      <w:pPr>
        <w:pStyle w:val="null3"/>
      </w:pPr>
      <w:r>
        <w:rPr>
          <w:rFonts w:ascii="仿宋_GB2312" w:hAnsi="仿宋_GB2312" w:cs="仿宋_GB2312" w:eastAsia="仿宋_GB2312"/>
        </w:rPr>
        <w:t>采购包最高限价（元）: 1,323,500.00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供水管理技术服务项目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1,323,500.00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1,476,500.00</w:t>
      </w:r>
    </w:p>
    <w:p>
      <w:pPr>
        <w:pStyle w:val="null3"/>
      </w:pPr>
      <w:r>
        <w:rPr>
          <w:rFonts w:ascii="仿宋_GB2312" w:hAnsi="仿宋_GB2312" w:cs="仿宋_GB2312" w:eastAsia="仿宋_GB2312"/>
        </w:rPr>
        <w:t>采购包最高限价（元）: 1,476,500.00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重点区域水质监测服务项目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1,476,500.00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标的名称：供水管理技术服务项目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jc w:val="left"/>
            </w:pPr>
            <w:r>
              <w:rPr>
                <w:rFonts w:ascii="仿宋_GB2312" w:hAnsi="仿宋_GB2312" w:cs="仿宋_GB2312" w:eastAsia="仿宋_GB2312"/>
                <w:b/>
              </w:rPr>
              <w:t>一、</w:t>
            </w:r>
            <w:r>
              <w:rPr>
                <w:rFonts w:ascii="仿宋_GB2312" w:hAnsi="仿宋_GB2312" w:cs="仿宋_GB2312" w:eastAsia="仿宋_GB2312"/>
                <w:b/>
              </w:rPr>
              <w:t>项目概况</w:t>
            </w:r>
          </w:p>
          <w:p>
            <w:pPr>
              <w:pStyle w:val="null3"/>
              <w:ind w:firstLine="400"/>
              <w:jc w:val="left"/>
            </w:pPr>
            <w:r>
              <w:rPr>
                <w:rFonts w:ascii="仿宋_GB2312" w:hAnsi="仿宋_GB2312" w:cs="仿宋_GB2312" w:eastAsia="仿宋_GB2312"/>
              </w:rPr>
              <w:t>供水管理技术服务涵盖管理信息采集更新服务、城市供水水质抽检服务、城市供水管理服务（含供水管理技术服务、数据平台技术服务及二次供水设施验收备案技术支持服务）。</w:t>
            </w:r>
          </w:p>
          <w:p>
            <w:pPr>
              <w:pStyle w:val="null3"/>
              <w:ind w:firstLine="400"/>
              <w:jc w:val="left"/>
            </w:pPr>
            <w:r>
              <w:rPr>
                <w:rFonts w:ascii="仿宋_GB2312" w:hAnsi="仿宋_GB2312" w:cs="仿宋_GB2312" w:eastAsia="仿宋_GB2312"/>
                <w:b/>
              </w:rPr>
              <w:t>二、具体服务要求</w:t>
            </w:r>
          </w:p>
          <w:p>
            <w:pPr>
              <w:pStyle w:val="null3"/>
              <w:ind w:firstLine="402"/>
              <w:jc w:val="left"/>
            </w:pPr>
            <w:r>
              <w:rPr>
                <w:rFonts w:ascii="仿宋_GB2312" w:hAnsi="仿宋_GB2312" w:cs="仿宋_GB2312" w:eastAsia="仿宋_GB2312"/>
                <w:b/>
              </w:rPr>
              <w:t>（一）管</w:t>
            </w:r>
            <w:r>
              <w:rPr>
                <w:rFonts w:ascii="仿宋_GB2312" w:hAnsi="仿宋_GB2312" w:cs="仿宋_GB2312" w:eastAsia="仿宋_GB2312"/>
                <w:b/>
              </w:rPr>
              <w:t>理信息采集更新服务</w:t>
            </w:r>
          </w:p>
          <w:p>
            <w:pPr>
              <w:pStyle w:val="null3"/>
              <w:ind w:firstLine="400"/>
              <w:jc w:val="left"/>
            </w:pPr>
            <w:r>
              <w:rPr>
                <w:rFonts w:ascii="仿宋_GB2312" w:hAnsi="仿宋_GB2312" w:cs="仿宋_GB2312" w:eastAsia="仿宋_GB2312"/>
                <w:b/>
              </w:rPr>
              <w:t>1、</w:t>
            </w:r>
            <w:r>
              <w:rPr>
                <w:rFonts w:ascii="仿宋_GB2312" w:hAnsi="仿宋_GB2312" w:cs="仿宋_GB2312" w:eastAsia="仿宋_GB2312"/>
                <w:b/>
              </w:rPr>
              <w:t>采集范围及</w:t>
            </w:r>
            <w:r>
              <w:rPr>
                <w:rFonts w:ascii="仿宋_GB2312" w:hAnsi="仿宋_GB2312" w:cs="仿宋_GB2312" w:eastAsia="仿宋_GB2312"/>
                <w:b/>
              </w:rPr>
              <w:t>点次</w:t>
            </w:r>
          </w:p>
          <w:p>
            <w:pPr>
              <w:pStyle w:val="null3"/>
              <w:ind w:firstLine="400"/>
              <w:jc w:val="left"/>
            </w:pPr>
            <w:r>
              <w:rPr>
                <w:rFonts w:ascii="仿宋_GB2312" w:hAnsi="仿宋_GB2312" w:cs="仿宋_GB2312" w:eastAsia="仿宋_GB2312"/>
              </w:rPr>
              <w:t>本项目旨在对西安市城市供水管网末端用水户（含小区、企事业单位等）进行全面信息采集与更新，同步整合水质快检结果，构建</w:t>
            </w:r>
            <w:r>
              <w:rPr>
                <w:rFonts w:ascii="仿宋_GB2312" w:hAnsi="仿宋_GB2312" w:cs="仿宋_GB2312" w:eastAsia="仿宋_GB2312"/>
              </w:rPr>
              <w:t>“基础信息+动态水质”的立体化数据库。</w:t>
            </w:r>
          </w:p>
          <w:p>
            <w:pPr>
              <w:pStyle w:val="null3"/>
              <w:ind w:firstLine="400"/>
              <w:jc w:val="left"/>
            </w:pPr>
            <w:r>
              <w:rPr>
                <w:rFonts w:ascii="仿宋_GB2312" w:hAnsi="仿宋_GB2312" w:cs="仿宋_GB2312" w:eastAsia="仿宋_GB2312"/>
              </w:rPr>
              <w:t>依据西安市供水管理中心历年</w:t>
            </w:r>
            <w:r>
              <w:rPr>
                <w:rFonts w:ascii="仿宋_GB2312" w:hAnsi="仿宋_GB2312" w:cs="仿宋_GB2312" w:eastAsia="仿宋_GB2312"/>
              </w:rPr>
              <w:t>“城市供水管理信息采集服务工作内容（2017—2026年）”，</w:t>
            </w:r>
            <w:r>
              <w:rPr>
                <w:rFonts w:ascii="仿宋_GB2312" w:hAnsi="仿宋_GB2312" w:cs="仿宋_GB2312" w:eastAsia="仿宋_GB2312"/>
              </w:rPr>
              <w:t>并结合当前西安市</w:t>
            </w:r>
            <w:r>
              <w:rPr>
                <w:rFonts w:ascii="仿宋_GB2312" w:hAnsi="仿宋_GB2312" w:cs="仿宋_GB2312" w:eastAsia="仿宋_GB2312"/>
              </w:rPr>
              <w:t>供水管理工作实际</w:t>
            </w:r>
            <w:r>
              <w:rPr>
                <w:rFonts w:ascii="仿宋_GB2312" w:hAnsi="仿宋_GB2312" w:cs="仿宋_GB2312" w:eastAsia="仿宋_GB2312"/>
              </w:rPr>
              <w:t>，本项目计划采集末端供水小区</w:t>
            </w:r>
            <w:r>
              <w:rPr>
                <w:rFonts w:ascii="仿宋_GB2312" w:hAnsi="仿宋_GB2312" w:cs="仿宋_GB2312" w:eastAsia="仿宋_GB2312"/>
              </w:rPr>
              <w:t>1800个点次，</w:t>
            </w:r>
            <w:r>
              <w:rPr>
                <w:rFonts w:ascii="仿宋_GB2312" w:hAnsi="仿宋_GB2312" w:cs="仿宋_GB2312" w:eastAsia="仿宋_GB2312"/>
              </w:rPr>
              <w:t>同步完成每个点次的水质快检工作，重点监测余氯、浊度等指标。在抽样策略上，采用</w:t>
            </w:r>
            <w:r>
              <w:rPr>
                <w:rFonts w:ascii="仿宋_GB2312" w:hAnsi="仿宋_GB2312" w:cs="仿宋_GB2312" w:eastAsia="仿宋_GB2312"/>
              </w:rPr>
              <w:t>“分层随机抽样法”，按行政区划（主城区与郊区县严格遵循9:1比例）、建筑年代等维度进行配额分配；同时结合历史投诉数据与管网GIS信息，将高风险区域直接纳入必采清单，确保采集成果与水质数据具备广泛代表性。</w:t>
            </w:r>
          </w:p>
          <w:p>
            <w:pPr>
              <w:pStyle w:val="null3"/>
              <w:ind w:firstLine="400"/>
              <w:jc w:val="left"/>
            </w:pPr>
            <w:r>
              <w:rPr>
                <w:rFonts w:ascii="仿宋_GB2312" w:hAnsi="仿宋_GB2312" w:cs="仿宋_GB2312" w:eastAsia="仿宋_GB2312"/>
              </w:rPr>
              <w:t>为保障数据的连续性与全域覆盖，采集点按</w:t>
            </w:r>
            <w:r>
              <w:rPr>
                <w:rFonts w:ascii="仿宋_GB2312" w:hAnsi="仿宋_GB2312" w:cs="仿宋_GB2312" w:eastAsia="仿宋_GB2312"/>
              </w:rPr>
              <w:t>4～5年轮换，并执行“30%保留+70%轮换”的动态管理策略：每年保留30%的关键点位（如医院、学校周边）以追踪水质变化趋势，其余70%点位从数据库剩余小区中滚动抽取。通过系统标记已采样ID，逐步实现平台已录入小区的100%全覆盖。</w:t>
            </w:r>
          </w:p>
          <w:p>
            <w:pPr>
              <w:pStyle w:val="null3"/>
              <w:ind w:firstLine="400"/>
              <w:jc w:val="left"/>
            </w:pPr>
            <w:r>
              <w:rPr>
                <w:rFonts w:ascii="仿宋_GB2312" w:hAnsi="仿宋_GB2312" w:cs="仿宋_GB2312" w:eastAsia="仿宋_GB2312"/>
                <w:b/>
              </w:rPr>
              <w:t>2、</w:t>
            </w:r>
            <w:r>
              <w:rPr>
                <w:rFonts w:ascii="仿宋_GB2312" w:hAnsi="仿宋_GB2312" w:cs="仿宋_GB2312" w:eastAsia="仿宋_GB2312"/>
                <w:b/>
              </w:rPr>
              <w:t>数据采集方式</w:t>
            </w:r>
          </w:p>
          <w:p>
            <w:pPr>
              <w:pStyle w:val="null3"/>
              <w:ind w:firstLine="400"/>
              <w:jc w:val="left"/>
            </w:pPr>
            <w:r>
              <w:rPr>
                <w:rFonts w:ascii="仿宋_GB2312" w:hAnsi="仿宋_GB2312" w:cs="仿宋_GB2312" w:eastAsia="仿宋_GB2312"/>
              </w:rPr>
              <w:t>按照日常监督检查、开学前专项监督检查、夏</w:t>
            </w:r>
            <w:r>
              <w:rPr>
                <w:rFonts w:ascii="仿宋_GB2312" w:hAnsi="仿宋_GB2312" w:cs="仿宋_GB2312" w:eastAsia="仿宋_GB2312"/>
              </w:rPr>
              <w:t>/冬季供水保障监督检查、重大活动及节假日监督检查等类别，分类采集相关信息，实现监督检查精细化。</w:t>
            </w:r>
          </w:p>
          <w:p>
            <w:pPr>
              <w:pStyle w:val="null3"/>
              <w:ind w:firstLine="400"/>
              <w:jc w:val="left"/>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日常监督检查</w:t>
            </w:r>
          </w:p>
          <w:p>
            <w:pPr>
              <w:pStyle w:val="null3"/>
              <w:ind w:firstLine="400"/>
              <w:jc w:val="left"/>
            </w:pPr>
            <w:r>
              <w:rPr>
                <w:rFonts w:ascii="仿宋_GB2312" w:hAnsi="仿宋_GB2312" w:cs="仿宋_GB2312" w:eastAsia="仿宋_GB2312"/>
              </w:rPr>
              <w:t>一是对当年新建并通过竣工验收备案的城市供水设施进行全面调查摸底，充实更新信息数据库台账，掌握全市供水管理信息统计与分析基础，支撑规范化管理。</w:t>
            </w:r>
          </w:p>
          <w:p>
            <w:pPr>
              <w:pStyle w:val="null3"/>
              <w:ind w:firstLine="400"/>
              <w:jc w:val="left"/>
            </w:pPr>
            <w:r>
              <w:rPr>
                <w:rFonts w:ascii="仿宋_GB2312" w:hAnsi="仿宋_GB2312" w:cs="仿宋_GB2312" w:eastAsia="仿宋_GB2312"/>
              </w:rPr>
              <w:t>二是全面摸排城市供水改造管理现状，完善信息动态更新机制，为供水设施（尤其是老旧小区）改造与管理提供依据。</w:t>
            </w:r>
          </w:p>
          <w:p>
            <w:pPr>
              <w:pStyle w:val="null3"/>
              <w:ind w:firstLine="400"/>
              <w:jc w:val="left"/>
            </w:pPr>
            <w:r>
              <w:rPr>
                <w:rFonts w:ascii="仿宋_GB2312" w:hAnsi="仿宋_GB2312" w:cs="仿宋_GB2312" w:eastAsia="仿宋_GB2312"/>
              </w:rPr>
              <w:t>三是以消除安全隐患为目标，实时更新供水设施信息底图，为城市供水监管提供业务支撑。</w:t>
            </w:r>
          </w:p>
          <w:p>
            <w:pPr>
              <w:pStyle w:val="null3"/>
              <w:ind w:firstLine="400"/>
              <w:jc w:val="left"/>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开学前专项监督检查</w:t>
            </w:r>
          </w:p>
          <w:p>
            <w:pPr>
              <w:pStyle w:val="null3"/>
              <w:ind w:firstLine="400"/>
              <w:jc w:val="left"/>
            </w:pPr>
            <w:r>
              <w:rPr>
                <w:rFonts w:ascii="仿宋_GB2312" w:hAnsi="仿宋_GB2312" w:cs="仿宋_GB2312" w:eastAsia="仿宋_GB2312"/>
              </w:rPr>
              <w:t>项目周期内春、秋季开学前，对西安市中心城区不同区域学校开展供水情况抽查检查，重点对学校供水设施运行情况进行检查，对学校水质进行抽检，并进行信息数据采集。</w:t>
            </w:r>
          </w:p>
          <w:p>
            <w:pPr>
              <w:pStyle w:val="null3"/>
              <w:ind w:firstLine="400"/>
              <w:jc w:val="left"/>
            </w:pPr>
            <w:r>
              <w:rPr>
                <w:rFonts w:ascii="仿宋_GB2312" w:hAnsi="仿宋_GB2312" w:cs="仿宋_GB2312" w:eastAsia="仿宋_GB2312"/>
              </w:rPr>
              <w:t>采集标准与日常监督检查相同，主要采集基本信息、水质快速检测信息数据。对存在安全隐患问题的区域（或学校），及时下达整改通知并跟踪处置，直至整改到位后确认该点位信息数据采集完成。</w:t>
            </w:r>
          </w:p>
          <w:p>
            <w:pPr>
              <w:pStyle w:val="null3"/>
              <w:ind w:firstLine="400"/>
              <w:jc w:val="left"/>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w:t>
            </w:r>
            <w:r>
              <w:rPr>
                <w:rFonts w:ascii="仿宋_GB2312" w:hAnsi="仿宋_GB2312" w:cs="仿宋_GB2312" w:eastAsia="仿宋_GB2312"/>
              </w:rPr>
              <w:t>夏</w:t>
            </w:r>
            <w:r>
              <w:rPr>
                <w:rFonts w:ascii="仿宋_GB2312" w:hAnsi="仿宋_GB2312" w:cs="仿宋_GB2312" w:eastAsia="仿宋_GB2312"/>
              </w:rPr>
              <w:t>/冬季高峰供水保障监督检查</w:t>
            </w:r>
          </w:p>
          <w:p>
            <w:pPr>
              <w:pStyle w:val="null3"/>
              <w:ind w:firstLine="400"/>
              <w:jc w:val="left"/>
            </w:pPr>
            <w:r>
              <w:rPr>
                <w:rFonts w:ascii="仿宋_GB2312" w:hAnsi="仿宋_GB2312" w:cs="仿宋_GB2312" w:eastAsia="仿宋_GB2312"/>
              </w:rPr>
              <w:t>夏季：结合用水高峰期及汛期强降雨影响（以地表水系统为主），易发水质不达标、水量水压不足、爆管等问题。供水管理中心需与供水企业建立联动机制，落实处置措施，保障高温时段供水安全。</w:t>
            </w:r>
          </w:p>
          <w:p>
            <w:pPr>
              <w:pStyle w:val="null3"/>
              <w:ind w:firstLine="400"/>
              <w:jc w:val="left"/>
            </w:pPr>
            <w:r>
              <w:rPr>
                <w:rFonts w:ascii="仿宋_GB2312" w:hAnsi="仿宋_GB2312" w:cs="仿宋_GB2312" w:eastAsia="仿宋_GB2312"/>
              </w:rPr>
              <w:t>冬季：针对寒冷天气易导致多层及老旧小区庭院管网、水表、高位水箱等冻损问题，对中心城区居民小区随机抽查。重点检查供水主体责任落实、水质安全保障、设施运行、安全管理措施等情况，并全面排查冬季供水保障方案、爆管应急措施、防寒防冻措施、抢修维修及备件储备情况。</w:t>
            </w:r>
          </w:p>
          <w:p>
            <w:pPr>
              <w:pStyle w:val="null3"/>
              <w:ind w:firstLine="400"/>
              <w:jc w:val="left"/>
            </w:pP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w:t>
            </w:r>
            <w:r>
              <w:rPr>
                <w:rFonts w:ascii="仿宋_GB2312" w:hAnsi="仿宋_GB2312" w:cs="仿宋_GB2312" w:eastAsia="仿宋_GB2312"/>
              </w:rPr>
              <w:t>重大活动及重大节假日监督检查</w:t>
            </w:r>
          </w:p>
          <w:p>
            <w:pPr>
              <w:pStyle w:val="null3"/>
              <w:ind w:firstLine="400"/>
              <w:jc w:val="left"/>
            </w:pPr>
            <w:r>
              <w:rPr>
                <w:rFonts w:ascii="仿宋_GB2312" w:hAnsi="仿宋_GB2312" w:cs="仿宋_GB2312" w:eastAsia="仿宋_GB2312"/>
              </w:rPr>
              <w:t>当前，西安市正处于</w:t>
            </w:r>
            <w:r>
              <w:rPr>
                <w:rFonts w:ascii="仿宋_GB2312" w:hAnsi="仿宋_GB2312" w:cs="仿宋_GB2312" w:eastAsia="仿宋_GB2312"/>
              </w:rPr>
              <w:t>“一带一路”建设、国家中心城市、国际化大都市建设等黄金机遇叠加期，区位优势明显、交通发达便利，拥有欧亚经济论坛、丝绸之路国际博览会等国际交流平台，也是全国重要的旅游城市。做好会议场所、接待酒店、商场、公共场所等区域的供水安全保障至关重要。因此，在重大活动及节假日期间，本项目计划开展供水专项检查，以会议场所、星级酒店、大型商场、重要场所等为重点检查区域。</w:t>
            </w:r>
          </w:p>
          <w:p>
            <w:pPr>
              <w:pStyle w:val="null3"/>
              <w:ind w:firstLine="400"/>
              <w:jc w:val="left"/>
            </w:pPr>
            <w:r>
              <w:rPr>
                <w:rFonts w:ascii="仿宋_GB2312" w:hAnsi="仿宋_GB2312" w:cs="仿宋_GB2312" w:eastAsia="仿宋_GB2312"/>
                <w:b/>
              </w:rPr>
              <w:t>3、</w:t>
            </w:r>
            <w:r>
              <w:rPr>
                <w:rFonts w:ascii="仿宋_GB2312" w:hAnsi="仿宋_GB2312" w:cs="仿宋_GB2312" w:eastAsia="仿宋_GB2312"/>
                <w:b/>
              </w:rPr>
              <w:t>数据采集内容</w:t>
            </w:r>
          </w:p>
          <w:p>
            <w:pPr>
              <w:pStyle w:val="null3"/>
              <w:ind w:firstLine="400"/>
              <w:jc w:val="left"/>
            </w:pPr>
            <w:r>
              <w:rPr>
                <w:rFonts w:ascii="仿宋_GB2312" w:hAnsi="仿宋_GB2312" w:cs="仿宋_GB2312" w:eastAsia="仿宋_GB2312"/>
              </w:rPr>
              <w:t>末端供水信息采集有助于完善供水监管体系，通过定期采集和分析信息，能够对供水单位的运行管理情况进行有效监督，确保其严格遵守相关法律法规和标准规范，规范供水行为，维护供水市场秩序。信息采集内容包括但不限于以下内容：</w:t>
            </w:r>
          </w:p>
          <w:p>
            <w:pPr>
              <w:pStyle w:val="null3"/>
              <w:ind w:firstLine="400"/>
              <w:jc w:val="left"/>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供水设施信息</w:t>
            </w:r>
          </w:p>
          <w:p>
            <w:pPr>
              <w:pStyle w:val="null3"/>
              <w:ind w:firstLine="400"/>
              <w:jc w:val="left"/>
            </w:pPr>
            <w:r>
              <w:rPr>
                <w:rFonts w:ascii="仿宋_GB2312" w:hAnsi="仿宋_GB2312" w:cs="仿宋_GB2312" w:eastAsia="仿宋_GB2312"/>
              </w:rPr>
              <w:t>基本信息包括名称、位置、类型（如水箱、水泵、管网等）、规格型号、生产厂家、安装日期、投用时间、设计参数（如水箱容积、水泵扬程、流量等）、设施产权单位、管理维护单位等；设施的数量、分布情况及各设施之间的连接关系；设施的完好程度及损坏、锈蚀、渗漏等情况；设施的维护保养记录，包括维护时间、维护内容、维护单位、维护人员等。</w:t>
            </w:r>
          </w:p>
          <w:p>
            <w:pPr>
              <w:pStyle w:val="null3"/>
              <w:ind w:firstLine="400"/>
              <w:jc w:val="left"/>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水质信息</w:t>
            </w:r>
          </w:p>
          <w:p>
            <w:pPr>
              <w:pStyle w:val="null3"/>
              <w:ind w:firstLine="400"/>
              <w:jc w:val="left"/>
            </w:pPr>
            <w:r>
              <w:rPr>
                <w:rFonts w:ascii="仿宋_GB2312" w:hAnsi="仿宋_GB2312" w:cs="仿宋_GB2312" w:eastAsia="仿宋_GB2312"/>
              </w:rPr>
              <w:t>水质检测结果包括浑浊度、色度、嗅和味、</w:t>
            </w:r>
            <w:r>
              <w:rPr>
                <w:rFonts w:ascii="仿宋_GB2312" w:hAnsi="仿宋_GB2312" w:cs="仿宋_GB2312" w:eastAsia="仿宋_GB2312"/>
              </w:rPr>
              <w:t>pH值、水温、游离余氯等常规指标的检测数据；水质异常情况记录，如是否出现异色、异味、浑浊等现象，以及异常发生的时间、范围、原因等；水质消毒情况包括消毒方式、消毒药剂种类及用量、消毒频率等；水质监测频次及监测机构信息。</w:t>
            </w:r>
          </w:p>
          <w:p>
            <w:pPr>
              <w:pStyle w:val="null3"/>
              <w:ind w:firstLine="400"/>
              <w:jc w:val="left"/>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w:t>
            </w:r>
            <w:r>
              <w:rPr>
                <w:rFonts w:ascii="仿宋_GB2312" w:hAnsi="仿宋_GB2312" w:cs="仿宋_GB2312" w:eastAsia="仿宋_GB2312"/>
              </w:rPr>
              <w:t>供水运行信息</w:t>
            </w:r>
          </w:p>
          <w:p>
            <w:pPr>
              <w:pStyle w:val="null3"/>
              <w:ind w:firstLine="400"/>
              <w:jc w:val="left"/>
            </w:pPr>
            <w:r>
              <w:rPr>
                <w:rFonts w:ascii="仿宋_GB2312" w:hAnsi="仿宋_GB2312" w:cs="仿宋_GB2312" w:eastAsia="仿宋_GB2312"/>
              </w:rPr>
              <w:t>供水量包括每日、每月的供水量数据；水压信息包括管网压力、水箱水位等数据；供水时间主要指停水情况、停水原因、停水时长及恢复供水时间等信息。</w:t>
            </w:r>
          </w:p>
          <w:p>
            <w:pPr>
              <w:pStyle w:val="null3"/>
              <w:ind w:firstLine="400"/>
              <w:jc w:val="left"/>
            </w:pP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w:t>
            </w:r>
            <w:r>
              <w:rPr>
                <w:rFonts w:ascii="仿宋_GB2312" w:hAnsi="仿宋_GB2312" w:cs="仿宋_GB2312" w:eastAsia="仿宋_GB2312"/>
              </w:rPr>
              <w:t>管理信息</w:t>
            </w:r>
          </w:p>
          <w:p>
            <w:pPr>
              <w:pStyle w:val="null3"/>
              <w:ind w:firstLine="400"/>
              <w:jc w:val="left"/>
            </w:pPr>
            <w:r>
              <w:rPr>
                <w:rFonts w:ascii="仿宋_GB2312" w:hAnsi="仿宋_GB2312" w:cs="仿宋_GB2312" w:eastAsia="仿宋_GB2312"/>
              </w:rPr>
              <w:t>二次供水单位的管理制度建立及执行情况；管理人员的配备情况，包括人员数量、资质证书等；应急预案的制定及演练情况。</w:t>
            </w:r>
          </w:p>
          <w:p>
            <w:pPr>
              <w:pStyle w:val="null3"/>
              <w:ind w:firstLine="400"/>
              <w:jc w:val="left"/>
            </w:pPr>
            <w:r>
              <w:rPr>
                <w:rFonts w:ascii="仿宋_GB2312" w:hAnsi="仿宋_GB2312" w:cs="仿宋_GB2312" w:eastAsia="仿宋_GB2312"/>
              </w:rPr>
              <w:t>本项目周期为</w:t>
            </w:r>
            <w:r>
              <w:rPr>
                <w:rFonts w:ascii="仿宋_GB2312" w:hAnsi="仿宋_GB2312" w:cs="仿宋_GB2312" w:eastAsia="仿宋_GB2312"/>
              </w:rPr>
              <w:t>2026年7月至2027年6月，共12个月，采集点次总量约1800个，结合重点节假日（春节、劳动节</w:t>
            </w:r>
            <w:r>
              <w:rPr>
                <w:rFonts w:ascii="仿宋_GB2312" w:hAnsi="仿宋_GB2312" w:cs="仿宋_GB2312" w:eastAsia="仿宋_GB2312"/>
              </w:rPr>
              <w:t>、</w:t>
            </w:r>
            <w:r>
              <w:rPr>
                <w:rFonts w:ascii="仿宋_GB2312" w:hAnsi="仿宋_GB2312" w:cs="仿宋_GB2312" w:eastAsia="仿宋_GB2312"/>
              </w:rPr>
              <w:t>端午节、国庆节</w:t>
            </w:r>
            <w:r>
              <w:rPr>
                <w:rFonts w:ascii="仿宋_GB2312" w:hAnsi="仿宋_GB2312" w:cs="仿宋_GB2312" w:eastAsia="仿宋_GB2312"/>
              </w:rPr>
              <w:t>）、</w:t>
            </w:r>
            <w:r>
              <w:rPr>
                <w:rFonts w:ascii="仿宋_GB2312" w:hAnsi="仿宋_GB2312" w:cs="仿宋_GB2312" w:eastAsia="仿宋_GB2312"/>
              </w:rPr>
              <w:t>春秋</w:t>
            </w:r>
            <w:r>
              <w:rPr>
                <w:rFonts w:ascii="仿宋_GB2312" w:hAnsi="仿宋_GB2312" w:cs="仿宋_GB2312" w:eastAsia="仿宋_GB2312"/>
              </w:rPr>
              <w:t>开学季（</w:t>
            </w:r>
            <w:r>
              <w:rPr>
                <w:rFonts w:ascii="仿宋_GB2312" w:hAnsi="仿宋_GB2312" w:cs="仿宋_GB2312" w:eastAsia="仿宋_GB2312"/>
              </w:rPr>
              <w:t>3月</w:t>
            </w:r>
            <w:r>
              <w:rPr>
                <w:rFonts w:ascii="仿宋_GB2312" w:hAnsi="仿宋_GB2312" w:cs="仿宋_GB2312" w:eastAsia="仿宋_GB2312"/>
              </w:rPr>
              <w:t>、</w:t>
            </w:r>
            <w:r>
              <w:rPr>
                <w:rFonts w:ascii="仿宋_GB2312" w:hAnsi="仿宋_GB2312" w:cs="仿宋_GB2312" w:eastAsia="仿宋_GB2312"/>
              </w:rPr>
              <w:t>9月</w:t>
            </w:r>
            <w:r>
              <w:rPr>
                <w:rFonts w:ascii="仿宋_GB2312" w:hAnsi="仿宋_GB2312" w:cs="仿宋_GB2312" w:eastAsia="仿宋_GB2312"/>
              </w:rPr>
              <w:t>）、用水高峰季节（</w:t>
            </w:r>
            <w:r>
              <w:rPr>
                <w:rFonts w:ascii="仿宋_GB2312" w:hAnsi="仿宋_GB2312" w:cs="仿宋_GB2312" w:eastAsia="仿宋_GB2312"/>
              </w:rPr>
              <w:t>6—8月）等节点需求，差异化分配各月采集点次。在重要节点、月份通过增加采集点次强化对二次供水设施运行状态、水质指标、供水量水压等核心信息的采集密度，非重点月份按日常及定期采集基础频次开展工作，采集计划详见表1。采集点次分配需结合实际辖区内二次供水点位分布，优先保障居民集中区、学校、医院等重点区域在重要节点的采集覆盖面</w:t>
            </w:r>
            <w:r>
              <w:rPr>
                <w:rFonts w:ascii="仿宋_GB2312" w:hAnsi="仿宋_GB2312" w:cs="仿宋_GB2312" w:eastAsia="仿宋_GB2312"/>
              </w:rPr>
              <w:t>。</w:t>
            </w:r>
          </w:p>
          <w:p>
            <w:pPr>
              <w:pStyle w:val="null3"/>
              <w:ind w:firstLine="400"/>
              <w:jc w:val="center"/>
            </w:pPr>
            <w:r>
              <w:rPr>
                <w:rFonts w:ascii="仿宋_GB2312" w:hAnsi="仿宋_GB2312" w:cs="仿宋_GB2312" w:eastAsia="仿宋_GB2312"/>
                <w:b/>
              </w:rPr>
              <w:t>表</w:t>
            </w:r>
            <w:r>
              <w:rPr>
                <w:rFonts w:ascii="仿宋_GB2312" w:hAnsi="仿宋_GB2312" w:cs="仿宋_GB2312" w:eastAsia="仿宋_GB2312"/>
                <w:b/>
              </w:rPr>
              <w:t>1</w:t>
            </w:r>
            <w:r>
              <w:rPr>
                <w:rFonts w:ascii="仿宋_GB2312" w:hAnsi="仿宋_GB2312" w:cs="仿宋_GB2312" w:eastAsia="仿宋_GB2312"/>
                <w:b/>
              </w:rPr>
              <w:t xml:space="preserve"> </w:t>
            </w:r>
            <w:r>
              <w:rPr>
                <w:rFonts w:ascii="仿宋_GB2312" w:hAnsi="仿宋_GB2312" w:cs="仿宋_GB2312" w:eastAsia="仿宋_GB2312"/>
                <w:b/>
              </w:rPr>
              <w:t>管理信息采集项目计划安排表</w:t>
            </w:r>
          </w:p>
          <w:tbl>
            <w:tblPr>
              <w:tblBorders>
                <w:top w:val="none" w:color="000000" w:sz="4"/>
                <w:left w:val="none" w:color="000000" w:sz="4"/>
                <w:bottom w:val="none" w:color="000000" w:sz="4"/>
                <w:right w:val="none" w:color="000000" w:sz="4"/>
                <w:insideH w:val="none"/>
                <w:insideV w:val="none"/>
              </w:tblBorders>
            </w:tblPr>
            <w:tblGrid>
              <w:gridCol w:w="346"/>
              <w:gridCol w:w="349"/>
              <w:gridCol w:w="343"/>
              <w:gridCol w:w="1515"/>
            </w:tblGrid>
            <w:tr>
              <w:tc>
                <w:tcPr>
                  <w:tcW w:type="dxa" w:w="346"/>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0"/>
                      <w:b/>
                    </w:rPr>
                    <w:t>工作</w:t>
                  </w:r>
                </w:p>
                <w:p>
                  <w:pPr>
                    <w:pStyle w:val="null3"/>
                    <w:jc w:val="center"/>
                  </w:pPr>
                  <w:r>
                    <w:rPr>
                      <w:rFonts w:ascii="仿宋_GB2312" w:hAnsi="仿宋_GB2312" w:cs="仿宋_GB2312" w:eastAsia="仿宋_GB2312"/>
                      <w:sz w:val="20"/>
                      <w:b/>
                    </w:rPr>
                    <w:t>周期</w:t>
                  </w:r>
                </w:p>
              </w:tc>
              <w:tc>
                <w:tcPr>
                  <w:tcW w:type="dxa" w:w="349"/>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0"/>
                      <w:b/>
                    </w:rPr>
                    <w:t>采样</w:t>
                  </w:r>
                </w:p>
                <w:p>
                  <w:pPr>
                    <w:pStyle w:val="null3"/>
                    <w:jc w:val="center"/>
                  </w:pPr>
                  <w:r>
                    <w:rPr>
                      <w:rFonts w:ascii="仿宋_GB2312" w:hAnsi="仿宋_GB2312" w:cs="仿宋_GB2312" w:eastAsia="仿宋_GB2312"/>
                      <w:sz w:val="20"/>
                      <w:b/>
                    </w:rPr>
                    <w:t>日期</w:t>
                  </w:r>
                </w:p>
              </w:tc>
              <w:tc>
                <w:tcPr>
                  <w:tcW w:type="dxa" w:w="343"/>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0"/>
                      <w:b/>
                    </w:rPr>
                    <w:t>采集</w:t>
                  </w:r>
                </w:p>
                <w:p>
                  <w:pPr>
                    <w:pStyle w:val="null3"/>
                    <w:jc w:val="center"/>
                  </w:pPr>
                  <w:r>
                    <w:rPr>
                      <w:rFonts w:ascii="仿宋_GB2312" w:hAnsi="仿宋_GB2312" w:cs="仿宋_GB2312" w:eastAsia="仿宋_GB2312"/>
                      <w:sz w:val="20"/>
                      <w:b/>
                    </w:rPr>
                    <w:t>点次</w:t>
                  </w:r>
                </w:p>
              </w:tc>
              <w:tc>
                <w:tcPr>
                  <w:tcW w:type="dxa" w:w="1515"/>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0"/>
                      <w:b/>
                    </w:rPr>
                    <w:t>频次调整说明</w:t>
                  </w:r>
                </w:p>
              </w:tc>
            </w:tr>
            <w:tr>
              <w:tc>
                <w:tcPr>
                  <w:tcW w:type="dxa" w:w="346"/>
                  <w:vMerge w:val="restart"/>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0"/>
                    </w:rPr>
                    <w:t>2026年</w:t>
                  </w:r>
                </w:p>
              </w:tc>
              <w:tc>
                <w:tcPr>
                  <w:tcW w:type="dxa" w:w="34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0"/>
                    </w:rPr>
                    <w:t>7</w:t>
                  </w:r>
                  <w:r>
                    <w:rPr>
                      <w:rFonts w:ascii="仿宋_GB2312" w:hAnsi="仿宋_GB2312" w:cs="仿宋_GB2312" w:eastAsia="仿宋_GB2312"/>
                      <w:sz w:val="20"/>
                    </w:rPr>
                    <w:t>月</w:t>
                  </w:r>
                </w:p>
              </w:tc>
              <w:tc>
                <w:tcPr>
                  <w:tcW w:type="dxa" w:w="34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0"/>
                    </w:rPr>
                    <w:t>170</w:t>
                  </w:r>
                </w:p>
              </w:tc>
              <w:tc>
                <w:tcPr>
                  <w:tcW w:type="dxa" w:w="151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0"/>
                    </w:rPr>
                    <w:t>高温阶段，用水需求仍处高位，保持较高采集频次，重点增加对老旧小区二次供水设施锈蚀、渗漏情况的排查采集，强化水质异常情况跟踪记录</w:t>
                  </w:r>
                </w:p>
              </w:tc>
            </w:tr>
            <w:tr>
              <w:tc>
                <w:tcPr>
                  <w:tcW w:type="dxa" w:w="346"/>
                  <w:vMerge/>
                  <w:tcBorders>
                    <w:top w:val="none" w:color="000000" w:sz="4"/>
                    <w:left w:val="single" w:color="000000" w:sz="4"/>
                    <w:bottom w:val="single" w:color="000000" w:sz="4"/>
                    <w:right w:val="single" w:color="000000" w:sz="4"/>
                  </w:tcBorders>
                </w:tcPr>
                <w:p/>
              </w:tc>
              <w:tc>
                <w:tcPr>
                  <w:tcW w:type="dxa" w:w="34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0"/>
                    </w:rPr>
                    <w:t>8</w:t>
                  </w:r>
                  <w:r>
                    <w:rPr>
                      <w:rFonts w:ascii="仿宋_GB2312" w:hAnsi="仿宋_GB2312" w:cs="仿宋_GB2312" w:eastAsia="仿宋_GB2312"/>
                      <w:sz w:val="20"/>
                    </w:rPr>
                    <w:t>月</w:t>
                  </w:r>
                </w:p>
              </w:tc>
              <w:tc>
                <w:tcPr>
                  <w:tcW w:type="dxa" w:w="34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0"/>
                    </w:rPr>
                    <w:t>160</w:t>
                  </w:r>
                </w:p>
              </w:tc>
              <w:tc>
                <w:tcPr>
                  <w:tcW w:type="dxa" w:w="151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0"/>
                    </w:rPr>
                    <w:t>夏季用水高峰</w:t>
                  </w:r>
                  <w:r>
                    <w:rPr>
                      <w:rFonts w:ascii="仿宋_GB2312" w:hAnsi="仿宋_GB2312" w:cs="仿宋_GB2312" w:eastAsia="仿宋_GB2312"/>
                      <w:sz w:val="20"/>
                    </w:rPr>
                    <w:t>期</w:t>
                  </w:r>
                  <w:r>
                    <w:rPr>
                      <w:rFonts w:ascii="仿宋_GB2312" w:hAnsi="仿宋_GB2312" w:cs="仿宋_GB2312" w:eastAsia="仿宋_GB2312"/>
                      <w:sz w:val="20"/>
                    </w:rPr>
                    <w:t>，适当微调但仍保持较高频次，重点关注供水设施在长期高负荷运行后的损耗情况，增加维护保养记录的采集密度</w:t>
                  </w:r>
                </w:p>
              </w:tc>
            </w:tr>
            <w:tr>
              <w:tc>
                <w:tcPr>
                  <w:tcW w:type="dxa" w:w="346"/>
                  <w:vMerge/>
                  <w:tcBorders>
                    <w:top w:val="none" w:color="000000" w:sz="4"/>
                    <w:left w:val="single" w:color="000000" w:sz="4"/>
                    <w:bottom w:val="single" w:color="000000" w:sz="4"/>
                    <w:right w:val="single" w:color="000000" w:sz="4"/>
                  </w:tcBorders>
                </w:tcPr>
                <w:p/>
              </w:tc>
              <w:tc>
                <w:tcPr>
                  <w:tcW w:type="dxa" w:w="34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0"/>
                    </w:rPr>
                    <w:t>9</w:t>
                  </w:r>
                  <w:r>
                    <w:rPr>
                      <w:rFonts w:ascii="仿宋_GB2312" w:hAnsi="仿宋_GB2312" w:cs="仿宋_GB2312" w:eastAsia="仿宋_GB2312"/>
                      <w:sz w:val="20"/>
                    </w:rPr>
                    <w:t>月</w:t>
                  </w:r>
                </w:p>
              </w:tc>
              <w:tc>
                <w:tcPr>
                  <w:tcW w:type="dxa" w:w="34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0"/>
                    </w:rPr>
                    <w:t>160</w:t>
                  </w:r>
                </w:p>
              </w:tc>
              <w:tc>
                <w:tcPr>
                  <w:tcW w:type="dxa" w:w="151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0"/>
                    </w:rPr>
                    <w:t>秋季开学后，学校及周边居民区用水需求上升，增加采集点次，重点采集学校及周边区域二次供水设施运行信息、水质检测数据</w:t>
                  </w:r>
                </w:p>
              </w:tc>
            </w:tr>
            <w:tr>
              <w:tc>
                <w:tcPr>
                  <w:tcW w:type="dxa" w:w="346"/>
                  <w:vMerge/>
                  <w:tcBorders>
                    <w:top w:val="none" w:color="000000" w:sz="4"/>
                    <w:left w:val="single" w:color="000000" w:sz="4"/>
                    <w:bottom w:val="single" w:color="000000" w:sz="4"/>
                    <w:right w:val="single" w:color="000000" w:sz="4"/>
                  </w:tcBorders>
                </w:tcPr>
                <w:p/>
              </w:tc>
              <w:tc>
                <w:tcPr>
                  <w:tcW w:type="dxa" w:w="34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0"/>
                    </w:rPr>
                    <w:t>10</w:t>
                  </w:r>
                  <w:r>
                    <w:rPr>
                      <w:rFonts w:ascii="仿宋_GB2312" w:hAnsi="仿宋_GB2312" w:cs="仿宋_GB2312" w:eastAsia="仿宋_GB2312"/>
                      <w:sz w:val="20"/>
                    </w:rPr>
                    <w:t>月</w:t>
                  </w:r>
                </w:p>
              </w:tc>
              <w:tc>
                <w:tcPr>
                  <w:tcW w:type="dxa" w:w="34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0"/>
                    </w:rPr>
                    <w:t>150</w:t>
                  </w:r>
                </w:p>
              </w:tc>
              <w:tc>
                <w:tcPr>
                  <w:tcW w:type="dxa" w:w="151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0"/>
                    </w:rPr>
                    <w:t>国庆假期期间，提高采集频次，重点关注旅游集中区域及居民区的供水压力、水质稳定性，加强设施故障应急信息的采集响应</w:t>
                  </w:r>
                </w:p>
              </w:tc>
            </w:tr>
            <w:tr>
              <w:tc>
                <w:tcPr>
                  <w:tcW w:type="dxa" w:w="346"/>
                  <w:vMerge/>
                  <w:tcBorders>
                    <w:top w:val="none" w:color="000000" w:sz="4"/>
                    <w:left w:val="single" w:color="000000" w:sz="4"/>
                    <w:bottom w:val="single" w:color="000000" w:sz="4"/>
                    <w:right w:val="single" w:color="000000" w:sz="4"/>
                  </w:tcBorders>
                </w:tcPr>
                <w:p/>
              </w:tc>
              <w:tc>
                <w:tcPr>
                  <w:tcW w:type="dxa" w:w="34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0"/>
                    </w:rPr>
                    <w:t>11</w:t>
                  </w:r>
                  <w:r>
                    <w:rPr>
                      <w:rFonts w:ascii="仿宋_GB2312" w:hAnsi="仿宋_GB2312" w:cs="仿宋_GB2312" w:eastAsia="仿宋_GB2312"/>
                      <w:sz w:val="20"/>
                    </w:rPr>
                    <w:t>月</w:t>
                  </w:r>
                </w:p>
              </w:tc>
              <w:tc>
                <w:tcPr>
                  <w:tcW w:type="dxa" w:w="34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0"/>
                    </w:rPr>
                    <w:t>130</w:t>
                  </w:r>
                </w:p>
              </w:tc>
              <w:tc>
                <w:tcPr>
                  <w:tcW w:type="dxa" w:w="151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0"/>
                    </w:rPr>
                    <w:t>无重点节点，按定期采集要求推进，重点完成二次供水单位管理制度执行情况、管理人员配备情况的半年度采集任务</w:t>
                  </w:r>
                </w:p>
              </w:tc>
            </w:tr>
            <w:tr>
              <w:tc>
                <w:tcPr>
                  <w:tcW w:type="dxa" w:w="346"/>
                  <w:vMerge/>
                  <w:tcBorders>
                    <w:top w:val="none" w:color="000000" w:sz="4"/>
                    <w:left w:val="single" w:color="000000" w:sz="4"/>
                    <w:bottom w:val="single" w:color="000000" w:sz="4"/>
                    <w:right w:val="single" w:color="000000" w:sz="4"/>
                  </w:tcBorders>
                </w:tcPr>
                <w:p/>
              </w:tc>
              <w:tc>
                <w:tcPr>
                  <w:tcW w:type="dxa" w:w="34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0"/>
                    </w:rPr>
                    <w:t>12</w:t>
                  </w:r>
                  <w:r>
                    <w:rPr>
                      <w:rFonts w:ascii="仿宋_GB2312" w:hAnsi="仿宋_GB2312" w:cs="仿宋_GB2312" w:eastAsia="仿宋_GB2312"/>
                      <w:sz w:val="20"/>
                    </w:rPr>
                    <w:t>月</w:t>
                  </w:r>
                </w:p>
              </w:tc>
              <w:tc>
                <w:tcPr>
                  <w:tcW w:type="dxa" w:w="34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0"/>
                    </w:rPr>
                    <w:t>130</w:t>
                  </w:r>
                </w:p>
              </w:tc>
              <w:tc>
                <w:tcPr>
                  <w:tcW w:type="dxa" w:w="151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0"/>
                    </w:rPr>
                    <w:t>冬季低温及元旦节前</w:t>
                  </w:r>
                  <w:r>
                    <w:rPr>
                      <w:rFonts w:ascii="仿宋_GB2312" w:hAnsi="仿宋_GB2312" w:cs="仿宋_GB2312" w:eastAsia="仿宋_GB2312"/>
                      <w:sz w:val="20"/>
                    </w:rPr>
                    <w:t>，同步梳理全年采集数据，重点采集设施年度维护总结信息</w:t>
                  </w:r>
                </w:p>
              </w:tc>
            </w:tr>
            <w:tr>
              <w:tc>
                <w:tcPr>
                  <w:tcW w:type="dxa" w:w="346"/>
                  <w:vMerge w:val="restart"/>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0"/>
                    </w:rPr>
                    <w:t>2027年</w:t>
                  </w:r>
                </w:p>
              </w:tc>
              <w:tc>
                <w:tcPr>
                  <w:tcW w:type="dxa" w:w="34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月</w:t>
                  </w:r>
                </w:p>
              </w:tc>
              <w:tc>
                <w:tcPr>
                  <w:tcW w:type="dxa" w:w="34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0"/>
                    </w:rPr>
                    <w:t>160</w:t>
                  </w:r>
                </w:p>
              </w:tc>
              <w:tc>
                <w:tcPr>
                  <w:tcW w:type="dxa" w:w="151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0"/>
                    </w:rPr>
                    <w:t>临近春节，增加对居民集中区域二次供水设施运行状态、水质常规指标的采集频次，重点关注水箱清洗消毒记录、水压稳定性等信息</w:t>
                  </w:r>
                </w:p>
              </w:tc>
            </w:tr>
            <w:tr>
              <w:tc>
                <w:tcPr>
                  <w:tcW w:type="dxa" w:w="346"/>
                  <w:vMerge/>
                  <w:tcBorders>
                    <w:top w:val="none" w:color="000000" w:sz="4"/>
                    <w:left w:val="single" w:color="000000" w:sz="4"/>
                    <w:bottom w:val="single" w:color="000000" w:sz="4"/>
                    <w:right w:val="single" w:color="000000" w:sz="4"/>
                  </w:tcBorders>
                </w:tcPr>
                <w:p/>
              </w:tc>
              <w:tc>
                <w:tcPr>
                  <w:tcW w:type="dxa" w:w="34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0"/>
                    </w:rPr>
                    <w:t>2</w:t>
                  </w:r>
                  <w:r>
                    <w:rPr>
                      <w:rFonts w:ascii="仿宋_GB2312" w:hAnsi="仿宋_GB2312" w:cs="仿宋_GB2312" w:eastAsia="仿宋_GB2312"/>
                      <w:sz w:val="20"/>
                    </w:rPr>
                    <w:t>月</w:t>
                  </w:r>
                </w:p>
              </w:tc>
              <w:tc>
                <w:tcPr>
                  <w:tcW w:type="dxa" w:w="34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0"/>
                    </w:rPr>
                    <w:t>160</w:t>
                  </w:r>
                </w:p>
              </w:tc>
              <w:tc>
                <w:tcPr>
                  <w:tcW w:type="dxa" w:w="151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0"/>
                    </w:rPr>
                    <w:t>春节假期期间，居民用水需求集中，提高采集频次，加强对供水设施故障隐患、水质异常情况的排查采集</w:t>
                  </w:r>
                </w:p>
              </w:tc>
            </w:tr>
            <w:tr>
              <w:tc>
                <w:tcPr>
                  <w:tcW w:type="dxa" w:w="346"/>
                  <w:vMerge/>
                  <w:tcBorders>
                    <w:top w:val="none" w:color="000000" w:sz="4"/>
                    <w:left w:val="single" w:color="000000" w:sz="4"/>
                    <w:bottom w:val="single" w:color="000000" w:sz="4"/>
                    <w:right w:val="single" w:color="000000" w:sz="4"/>
                  </w:tcBorders>
                </w:tcPr>
                <w:p/>
              </w:tc>
              <w:tc>
                <w:tcPr>
                  <w:tcW w:type="dxa" w:w="34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0"/>
                    </w:rPr>
                    <w:t>3</w:t>
                  </w:r>
                  <w:r>
                    <w:rPr>
                      <w:rFonts w:ascii="仿宋_GB2312" w:hAnsi="仿宋_GB2312" w:cs="仿宋_GB2312" w:eastAsia="仿宋_GB2312"/>
                      <w:sz w:val="20"/>
                    </w:rPr>
                    <w:t>月</w:t>
                  </w:r>
                </w:p>
              </w:tc>
              <w:tc>
                <w:tcPr>
                  <w:tcW w:type="dxa" w:w="34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0"/>
                    </w:rPr>
                    <w:t>120</w:t>
                  </w:r>
                </w:p>
              </w:tc>
              <w:tc>
                <w:tcPr>
                  <w:tcW w:type="dxa" w:w="151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0"/>
                    </w:rPr>
                    <w:t>春季开学季</w:t>
                  </w:r>
                  <w:r>
                    <w:rPr>
                      <w:rFonts w:ascii="仿宋_GB2312" w:hAnsi="仿宋_GB2312" w:cs="仿宋_GB2312" w:eastAsia="仿宋_GB2312"/>
                      <w:sz w:val="20"/>
                    </w:rPr>
                    <w:t>，按日常及定期采集要求开展工作，重点完成供水设施完好程度、维护保养记录的季度采集任务</w:t>
                  </w:r>
                </w:p>
              </w:tc>
            </w:tr>
            <w:tr>
              <w:tc>
                <w:tcPr>
                  <w:tcW w:type="dxa" w:w="346"/>
                  <w:vMerge/>
                  <w:tcBorders>
                    <w:top w:val="none" w:color="000000" w:sz="4"/>
                    <w:left w:val="single" w:color="000000" w:sz="4"/>
                    <w:bottom w:val="single" w:color="000000" w:sz="4"/>
                    <w:right w:val="single" w:color="000000" w:sz="4"/>
                  </w:tcBorders>
                </w:tcPr>
                <w:p/>
              </w:tc>
              <w:tc>
                <w:tcPr>
                  <w:tcW w:type="dxa" w:w="34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0"/>
                    </w:rPr>
                    <w:t>4</w:t>
                  </w:r>
                  <w:r>
                    <w:rPr>
                      <w:rFonts w:ascii="仿宋_GB2312" w:hAnsi="仿宋_GB2312" w:cs="仿宋_GB2312" w:eastAsia="仿宋_GB2312"/>
                      <w:sz w:val="20"/>
                    </w:rPr>
                    <w:t>月</w:t>
                  </w:r>
                </w:p>
              </w:tc>
              <w:tc>
                <w:tcPr>
                  <w:tcW w:type="dxa" w:w="34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0"/>
                    </w:rPr>
                    <w:t>140</w:t>
                  </w:r>
                </w:p>
              </w:tc>
              <w:tc>
                <w:tcPr>
                  <w:tcW w:type="dxa" w:w="151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0"/>
                    </w:rPr>
                    <w:t>结合清明节假期，适当增加采集频次，重点采集水质消毒情况、供水量变化数据</w:t>
                  </w:r>
                  <w:r>
                    <w:rPr>
                      <w:rFonts w:ascii="仿宋_GB2312" w:hAnsi="仿宋_GB2312" w:cs="仿宋_GB2312" w:eastAsia="仿宋_GB2312"/>
                      <w:sz w:val="20"/>
                    </w:rPr>
                    <w:t>，</w:t>
                  </w:r>
                  <w:r>
                    <w:rPr>
                      <w:rFonts w:ascii="仿宋_GB2312" w:hAnsi="仿宋_GB2312" w:cs="仿宋_GB2312" w:eastAsia="仿宋_GB2312"/>
                      <w:sz w:val="20"/>
                    </w:rPr>
                    <w:t>关注假期前后用水波动对二次供水系统的影响</w:t>
                  </w:r>
                </w:p>
              </w:tc>
            </w:tr>
            <w:tr>
              <w:tc>
                <w:tcPr>
                  <w:tcW w:type="dxa" w:w="346"/>
                  <w:vMerge/>
                  <w:tcBorders>
                    <w:top w:val="none" w:color="000000" w:sz="4"/>
                    <w:left w:val="single" w:color="000000" w:sz="4"/>
                    <w:bottom w:val="single" w:color="000000" w:sz="4"/>
                    <w:right w:val="single" w:color="000000" w:sz="4"/>
                  </w:tcBorders>
                </w:tcPr>
                <w:p/>
              </w:tc>
              <w:tc>
                <w:tcPr>
                  <w:tcW w:type="dxa" w:w="34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0"/>
                    </w:rPr>
                    <w:t>5</w:t>
                  </w:r>
                  <w:r>
                    <w:rPr>
                      <w:rFonts w:ascii="仿宋_GB2312" w:hAnsi="仿宋_GB2312" w:cs="仿宋_GB2312" w:eastAsia="仿宋_GB2312"/>
                      <w:sz w:val="20"/>
                    </w:rPr>
                    <w:t>月</w:t>
                  </w:r>
                </w:p>
              </w:tc>
              <w:tc>
                <w:tcPr>
                  <w:tcW w:type="dxa" w:w="34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0"/>
                    </w:rPr>
                    <w:t>150</w:t>
                  </w:r>
                </w:p>
              </w:tc>
              <w:tc>
                <w:tcPr>
                  <w:tcW w:type="dxa" w:w="151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0"/>
                    </w:rPr>
                    <w:t>劳动节期间，提高采集点次，强化对水压、水质检测结果的采集，及时掌握用水高峰时段系统运行状况</w:t>
                  </w:r>
                </w:p>
              </w:tc>
            </w:tr>
            <w:tr>
              <w:tc>
                <w:tcPr>
                  <w:tcW w:type="dxa" w:w="346"/>
                  <w:vMerge/>
                  <w:tcBorders>
                    <w:top w:val="none" w:color="000000" w:sz="4"/>
                    <w:left w:val="single" w:color="000000" w:sz="4"/>
                    <w:bottom w:val="single" w:color="000000" w:sz="4"/>
                    <w:right w:val="single" w:color="000000" w:sz="4"/>
                  </w:tcBorders>
                </w:tcPr>
                <w:p/>
              </w:tc>
              <w:tc>
                <w:tcPr>
                  <w:tcW w:type="dxa" w:w="34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0"/>
                    </w:rPr>
                    <w:t>6</w:t>
                  </w:r>
                  <w:r>
                    <w:rPr>
                      <w:rFonts w:ascii="仿宋_GB2312" w:hAnsi="仿宋_GB2312" w:cs="仿宋_GB2312" w:eastAsia="仿宋_GB2312"/>
                      <w:sz w:val="20"/>
                    </w:rPr>
                    <w:t>月</w:t>
                  </w:r>
                </w:p>
              </w:tc>
              <w:tc>
                <w:tcPr>
                  <w:tcW w:type="dxa" w:w="34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0"/>
                    </w:rPr>
                    <w:t>170</w:t>
                  </w:r>
                </w:p>
              </w:tc>
              <w:tc>
                <w:tcPr>
                  <w:tcW w:type="dxa" w:w="151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left"/>
                  </w:pPr>
                  <w:r>
                    <w:rPr>
                      <w:rFonts w:ascii="仿宋_GB2312" w:hAnsi="仿宋_GB2312" w:cs="仿宋_GB2312" w:eastAsia="仿宋_GB2312"/>
                      <w:sz w:val="20"/>
                    </w:rPr>
                    <w:t>进入夏季用水高峰，大幅增加采集频次，重点采集供水量、水压实时数据、水质微生物指标检测结果，加强对水泵运行状态、水箱水位的高频次监测</w:t>
                  </w:r>
                </w:p>
              </w:tc>
            </w:tr>
            <w:tr>
              <w:tc>
                <w:tcPr>
                  <w:tcW w:type="dxa" w:w="695"/>
                  <w:gridSpan w:val="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0"/>
                      <w:b/>
                    </w:rPr>
                    <w:t>合</w:t>
                  </w:r>
                  <w:r>
                    <w:rPr>
                      <w:rFonts w:ascii="仿宋_GB2312" w:hAnsi="仿宋_GB2312" w:cs="仿宋_GB2312" w:eastAsia="仿宋_GB2312"/>
                      <w:sz w:val="19"/>
                      <w:b/>
                    </w:rPr>
                    <w:t xml:space="preserve"> </w:t>
                  </w:r>
                  <w:r>
                    <w:rPr>
                      <w:rFonts w:ascii="仿宋_GB2312" w:hAnsi="仿宋_GB2312" w:cs="仿宋_GB2312" w:eastAsia="仿宋_GB2312"/>
                      <w:sz w:val="20"/>
                      <w:b/>
                    </w:rPr>
                    <w:t>计</w:t>
                  </w:r>
                </w:p>
              </w:tc>
              <w:tc>
                <w:tcPr>
                  <w:tcW w:type="dxa" w:w="34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0"/>
                      <w:b/>
                    </w:rPr>
                    <w:t>1800</w:t>
                  </w:r>
                </w:p>
              </w:tc>
              <w:tc>
                <w:tcPr>
                  <w:tcW w:type="dxa" w:w="151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0"/>
                    </w:rPr>
                    <w:t>——</w:t>
                  </w:r>
                </w:p>
              </w:tc>
            </w:tr>
          </w:tbl>
          <w:p>
            <w:pPr>
              <w:pStyle w:val="null3"/>
              <w:ind w:firstLine="400"/>
              <w:jc w:val="left"/>
            </w:pPr>
            <w:r>
              <w:rPr>
                <w:rFonts w:ascii="仿宋_GB2312" w:hAnsi="仿宋_GB2312" w:cs="仿宋_GB2312" w:eastAsia="仿宋_GB2312"/>
              </w:rPr>
              <w:t>（</w:t>
            </w:r>
            <w:r>
              <w:rPr>
                <w:rFonts w:ascii="仿宋_GB2312" w:hAnsi="仿宋_GB2312" w:cs="仿宋_GB2312" w:eastAsia="仿宋_GB2312"/>
              </w:rPr>
              <w:t>5</w:t>
            </w:r>
            <w:r>
              <w:rPr>
                <w:rFonts w:ascii="仿宋_GB2312" w:hAnsi="仿宋_GB2312" w:cs="仿宋_GB2312" w:eastAsia="仿宋_GB2312"/>
              </w:rPr>
              <w:t>）</w:t>
            </w:r>
            <w:r>
              <w:rPr>
                <w:rFonts w:ascii="仿宋_GB2312" w:hAnsi="仿宋_GB2312" w:cs="仿宋_GB2312" w:eastAsia="仿宋_GB2312"/>
              </w:rPr>
              <w:t>采集信息处理要求</w:t>
            </w:r>
          </w:p>
          <w:p>
            <w:pPr>
              <w:pStyle w:val="null3"/>
              <w:ind w:firstLine="400"/>
              <w:jc w:val="left"/>
            </w:pPr>
            <w:r>
              <w:rPr>
                <w:rFonts w:ascii="仿宋_GB2312" w:hAnsi="仿宋_GB2312" w:cs="仿宋_GB2312" w:eastAsia="仿宋_GB2312"/>
              </w:rPr>
              <w:t>一是采集信息内容须准确全面，避免引起歧义或存在明显逻辑错误，确因客观原因造成信息不全的，应在备注栏说明情况；</w:t>
            </w:r>
          </w:p>
          <w:p>
            <w:pPr>
              <w:pStyle w:val="null3"/>
              <w:ind w:firstLine="400"/>
              <w:jc w:val="left"/>
            </w:pPr>
            <w:r>
              <w:rPr>
                <w:rFonts w:ascii="仿宋_GB2312" w:hAnsi="仿宋_GB2312" w:cs="仿宋_GB2312" w:eastAsia="仿宋_GB2312"/>
              </w:rPr>
              <w:t>二是将信息采集数据表、影像资料按要求编码、分类、汇总、成册、建档，完善后期采集资料整理相关工作，形成检查档案，构建完整的采集对象基础数据信息；</w:t>
            </w:r>
          </w:p>
          <w:p>
            <w:pPr>
              <w:pStyle w:val="null3"/>
              <w:ind w:firstLine="400"/>
              <w:jc w:val="left"/>
            </w:pPr>
            <w:r>
              <w:rPr>
                <w:rFonts w:ascii="仿宋_GB2312" w:hAnsi="仿宋_GB2312" w:cs="仿宋_GB2312" w:eastAsia="仿宋_GB2312"/>
              </w:rPr>
              <w:t>三是拍摄的影像资料包括小区大门、小区环境、水泵房环境、设施重点部位、清洗消毒及水质情况，要求光线充足、拍摄清晰、格式一致。</w:t>
            </w:r>
          </w:p>
          <w:p>
            <w:pPr>
              <w:pStyle w:val="null3"/>
              <w:ind w:firstLine="400"/>
              <w:jc w:val="left"/>
            </w:pPr>
            <w:r>
              <w:rPr>
                <w:rFonts w:ascii="仿宋_GB2312" w:hAnsi="仿宋_GB2312" w:cs="仿宋_GB2312" w:eastAsia="仿宋_GB2312"/>
                <w:b/>
              </w:rPr>
              <w:t>4、</w:t>
            </w:r>
            <w:r>
              <w:rPr>
                <w:rFonts w:ascii="仿宋_GB2312" w:hAnsi="仿宋_GB2312" w:cs="仿宋_GB2312" w:eastAsia="仿宋_GB2312"/>
                <w:b/>
              </w:rPr>
              <w:t>数据采集人员要求</w:t>
            </w:r>
          </w:p>
          <w:p>
            <w:pPr>
              <w:pStyle w:val="null3"/>
              <w:ind w:firstLine="400"/>
              <w:jc w:val="left"/>
            </w:pPr>
            <w:r>
              <w:rPr>
                <w:rFonts w:ascii="仿宋_GB2312" w:hAnsi="仿宋_GB2312" w:cs="仿宋_GB2312" w:eastAsia="仿宋_GB2312"/>
              </w:rPr>
              <w:t>负责信息采集的人员应熟练掌握城市供水相关法律法规知识，沟通能力较强；业务水平较高，能够详细查看泵房情况，精准研判安全隐患，完善现场信息记录，熟练操作手持采集终端，对存在隐患指导物业整改；现场处置问题能力较强，实行首检负责制，填写城市供水管理信息采集表、安全管理监督检查表、水质检测表，对隐患下达整改通知单。</w:t>
            </w:r>
          </w:p>
          <w:p>
            <w:pPr>
              <w:pStyle w:val="null3"/>
              <w:ind w:firstLine="400"/>
              <w:jc w:val="left"/>
            </w:pPr>
            <w:r>
              <w:rPr>
                <w:rFonts w:ascii="仿宋_GB2312" w:hAnsi="仿宋_GB2312" w:cs="仿宋_GB2312" w:eastAsia="仿宋_GB2312"/>
              </w:rPr>
              <w:t>数据采集人员不得少于</w:t>
            </w:r>
            <w:r>
              <w:rPr>
                <w:rFonts w:ascii="仿宋_GB2312" w:hAnsi="仿宋_GB2312" w:cs="仿宋_GB2312" w:eastAsia="仿宋_GB2312"/>
              </w:rPr>
              <w:t>2人同行。其中一人负责检查供水设施情况并对现场问题进行处置，对隐患下达整改通知单；另一人负责拍摄供水设施现场情况，并填写相关表格。</w:t>
            </w:r>
          </w:p>
          <w:p>
            <w:pPr>
              <w:pStyle w:val="null3"/>
              <w:ind w:firstLine="400"/>
              <w:jc w:val="left"/>
            </w:pPr>
            <w:r>
              <w:rPr>
                <w:rFonts w:ascii="仿宋_GB2312" w:hAnsi="仿宋_GB2312" w:cs="仿宋_GB2312" w:eastAsia="仿宋_GB2312"/>
                <w:b/>
              </w:rPr>
              <w:t>5、</w:t>
            </w:r>
            <w:r>
              <w:rPr>
                <w:rFonts w:ascii="仿宋_GB2312" w:hAnsi="仿宋_GB2312" w:cs="仿宋_GB2312" w:eastAsia="仿宋_GB2312"/>
                <w:b/>
              </w:rPr>
              <w:t>信息录入及分析</w:t>
            </w:r>
          </w:p>
          <w:p>
            <w:pPr>
              <w:pStyle w:val="null3"/>
              <w:ind w:firstLine="400"/>
              <w:jc w:val="left"/>
            </w:pPr>
            <w:r>
              <w:rPr>
                <w:rFonts w:ascii="仿宋_GB2312" w:hAnsi="仿宋_GB2312" w:cs="仿宋_GB2312" w:eastAsia="仿宋_GB2312"/>
              </w:rPr>
              <w:t>信息录入要求：采集回的城市供水基础信息须严格把关，经相关部门抽检后录入数据库更新已有信息。录入信息应及时对比分析，具体包括：</w:t>
            </w:r>
          </w:p>
          <w:p>
            <w:pPr>
              <w:pStyle w:val="null3"/>
              <w:ind w:firstLine="400"/>
              <w:jc w:val="left"/>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城市供水基础台账总量变化分析；</w:t>
            </w:r>
          </w:p>
          <w:p>
            <w:pPr>
              <w:pStyle w:val="null3"/>
              <w:ind w:firstLine="400"/>
              <w:jc w:val="left"/>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按行政区划</w:t>
            </w:r>
            <w:r>
              <w:rPr>
                <w:rFonts w:ascii="仿宋_GB2312" w:hAnsi="仿宋_GB2312" w:cs="仿宋_GB2312" w:eastAsia="仿宋_GB2312"/>
              </w:rPr>
              <w:t>的</w:t>
            </w:r>
            <w:r>
              <w:rPr>
                <w:rFonts w:ascii="仿宋_GB2312" w:hAnsi="仿宋_GB2312" w:cs="仿宋_GB2312" w:eastAsia="仿宋_GB2312"/>
              </w:rPr>
              <w:t>总量变化分析；</w:t>
            </w:r>
          </w:p>
          <w:p>
            <w:pPr>
              <w:pStyle w:val="null3"/>
              <w:ind w:firstLine="400"/>
              <w:jc w:val="left"/>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w:t>
            </w:r>
            <w:r>
              <w:rPr>
                <w:rFonts w:ascii="仿宋_GB2312" w:hAnsi="仿宋_GB2312" w:cs="仿宋_GB2312" w:eastAsia="仿宋_GB2312"/>
              </w:rPr>
              <w:t>供水方式总量变化分析；</w:t>
            </w:r>
          </w:p>
          <w:p>
            <w:pPr>
              <w:pStyle w:val="null3"/>
              <w:ind w:firstLine="400"/>
              <w:jc w:val="left"/>
            </w:pP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w:t>
            </w:r>
            <w:r>
              <w:rPr>
                <w:rFonts w:ascii="仿宋_GB2312" w:hAnsi="仿宋_GB2312" w:cs="仿宋_GB2312" w:eastAsia="仿宋_GB2312"/>
              </w:rPr>
              <w:t>供水设施具体情况分析（为日常工作检查、重点监管任务、周报月报提供数据支撑）。</w:t>
            </w:r>
          </w:p>
          <w:p>
            <w:pPr>
              <w:pStyle w:val="null3"/>
              <w:ind w:firstLine="400"/>
              <w:jc w:val="left"/>
            </w:pPr>
            <w:r>
              <w:rPr>
                <w:rFonts w:ascii="仿宋_GB2312" w:hAnsi="仿宋_GB2312" w:cs="仿宋_GB2312" w:eastAsia="仿宋_GB2312"/>
                <w:b/>
              </w:rPr>
              <w:t>6、</w:t>
            </w:r>
            <w:r>
              <w:rPr>
                <w:rFonts w:ascii="仿宋_GB2312" w:hAnsi="仿宋_GB2312" w:cs="仿宋_GB2312" w:eastAsia="仿宋_GB2312"/>
                <w:b/>
              </w:rPr>
              <w:t>水质快检要求</w:t>
            </w:r>
          </w:p>
          <w:p>
            <w:pPr>
              <w:pStyle w:val="null3"/>
              <w:ind w:firstLine="400"/>
              <w:jc w:val="left"/>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水质快检流程</w:t>
            </w:r>
          </w:p>
          <w:p>
            <w:pPr>
              <w:pStyle w:val="null3"/>
              <w:ind w:firstLine="400"/>
              <w:jc w:val="left"/>
            </w:pPr>
            <w:r>
              <w:rPr>
                <w:rFonts w:ascii="仿宋_GB2312" w:hAnsi="仿宋_GB2312" w:cs="仿宋_GB2312" w:eastAsia="仿宋_GB2312"/>
              </w:rPr>
              <w:t>第一步：检测前准备</w:t>
            </w:r>
          </w:p>
          <w:p>
            <w:pPr>
              <w:pStyle w:val="null3"/>
              <w:ind w:firstLine="400"/>
              <w:jc w:val="left"/>
            </w:pPr>
            <w:r>
              <w:rPr>
                <w:rFonts w:ascii="仿宋_GB2312" w:hAnsi="仿宋_GB2312" w:cs="仿宋_GB2312" w:eastAsia="仿宋_GB2312"/>
              </w:rPr>
              <w:t>设备与药剂准备：检测人员在出发前，需检查便携式水质检测设备的电量及性能是否正常，确保设备能够正常工作。同时，核对所需药剂的种类、数量及有效期，保证药剂符合检测要求。</w:t>
            </w:r>
          </w:p>
          <w:p>
            <w:pPr>
              <w:pStyle w:val="null3"/>
              <w:ind w:firstLine="400"/>
              <w:jc w:val="left"/>
            </w:pPr>
            <w:r>
              <w:rPr>
                <w:rFonts w:ascii="仿宋_GB2312" w:hAnsi="仿宋_GB2312" w:cs="仿宋_GB2312" w:eastAsia="仿宋_GB2312"/>
              </w:rPr>
              <w:t>点位规划：根据日常检查计划，确定需要检测的水质点位，除常规监测点位外，应重点选择居民家庭、公共场所（如学校、医院、商场等）的常用水箱出水口或水龙头作为检测点位，明确每个点位的检测项目。</w:t>
            </w:r>
          </w:p>
          <w:p>
            <w:pPr>
              <w:pStyle w:val="null3"/>
              <w:ind w:firstLine="400"/>
              <w:jc w:val="left"/>
            </w:pPr>
            <w:r>
              <w:rPr>
                <w:rFonts w:ascii="仿宋_GB2312" w:hAnsi="仿宋_GB2312" w:cs="仿宋_GB2312" w:eastAsia="仿宋_GB2312"/>
              </w:rPr>
              <w:t>第二步：现场检测</w:t>
            </w:r>
          </w:p>
          <w:p>
            <w:pPr>
              <w:pStyle w:val="null3"/>
              <w:ind w:firstLine="400"/>
              <w:jc w:val="left"/>
            </w:pPr>
            <w:r>
              <w:rPr>
                <w:rFonts w:ascii="仿宋_GB2312" w:hAnsi="仿宋_GB2312" w:cs="仿宋_GB2312" w:eastAsia="仿宋_GB2312"/>
              </w:rPr>
              <w:t>多人多次检测：到达检测点位后，对于常用水龙头，应先打开水龙头放水</w:t>
            </w:r>
            <w:r>
              <w:rPr>
                <w:rFonts w:ascii="仿宋_GB2312" w:hAnsi="仿宋_GB2312" w:cs="仿宋_GB2312" w:eastAsia="仿宋_GB2312"/>
              </w:rPr>
              <w:t>3～5分钟，待管道内滞留水排空后再进行检测。由多名检测人员按照规定的操作步骤，对同一项目进行多次检测。检测过程中严格遵守操作规程，避免因操作不当影响检测结果。</w:t>
            </w:r>
          </w:p>
          <w:p>
            <w:pPr>
              <w:pStyle w:val="null3"/>
              <w:ind w:firstLine="400"/>
              <w:jc w:val="left"/>
            </w:pPr>
            <w:r>
              <w:rPr>
                <w:rFonts w:ascii="仿宋_GB2312" w:hAnsi="仿宋_GB2312" w:cs="仿宋_GB2312" w:eastAsia="仿宋_GB2312"/>
              </w:rPr>
              <w:t>数据采集：便携式水质检测设备得出数据结果后，检测人员及时记录每次检测的数据，包括检测点位（注明具体水龙头位置）、检测项目、检测时间、检测数值等信息。对于感官指标（如臭和味、肉眼可见物等），需详细描述实际情况。</w:t>
            </w:r>
          </w:p>
          <w:p>
            <w:pPr>
              <w:pStyle w:val="null3"/>
              <w:ind w:firstLine="400"/>
              <w:jc w:val="left"/>
            </w:pPr>
            <w:r>
              <w:rPr>
                <w:rFonts w:ascii="仿宋_GB2312" w:hAnsi="仿宋_GB2312" w:cs="仿宋_GB2312" w:eastAsia="仿宋_GB2312"/>
              </w:rPr>
              <w:t>第三步：数据处理与表格填写</w:t>
            </w:r>
          </w:p>
          <w:p>
            <w:pPr>
              <w:pStyle w:val="null3"/>
              <w:ind w:firstLine="400"/>
              <w:jc w:val="left"/>
            </w:pPr>
            <w:r>
              <w:rPr>
                <w:rFonts w:ascii="仿宋_GB2312" w:hAnsi="仿宋_GB2312" w:cs="仿宋_GB2312" w:eastAsia="仿宋_GB2312"/>
              </w:rPr>
              <w:t>检测人员对采集到的多次检测数据进行整理和分析，计算平均值等统计量，作为该点位该项目的倾向性判断依据。对于感官指标，汇总描述结果。</w:t>
            </w:r>
          </w:p>
          <w:p>
            <w:pPr>
              <w:pStyle w:val="null3"/>
              <w:ind w:firstLine="400"/>
              <w:jc w:val="left"/>
            </w:pPr>
            <w:r>
              <w:rPr>
                <w:rFonts w:ascii="仿宋_GB2312" w:hAnsi="仿宋_GB2312" w:cs="仿宋_GB2312" w:eastAsia="仿宋_GB2312"/>
              </w:rPr>
              <w:t>按照要求填写水质信息采集检测表，将检测点位、检测项目、检测时间、各次检测数值、统计量、感官指标描述等信息准确、完整地记录在表格中，并签字确认。</w:t>
            </w:r>
          </w:p>
          <w:p>
            <w:pPr>
              <w:pStyle w:val="null3"/>
              <w:ind w:firstLine="400"/>
              <w:jc w:val="left"/>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异常情况处理</w:t>
            </w:r>
          </w:p>
          <w:p>
            <w:pPr>
              <w:pStyle w:val="null3"/>
              <w:ind w:firstLine="400"/>
              <w:jc w:val="left"/>
            </w:pPr>
            <w:r>
              <w:rPr>
                <w:rFonts w:ascii="仿宋_GB2312" w:hAnsi="仿宋_GB2312" w:cs="仿宋_GB2312" w:eastAsia="仿宋_GB2312"/>
              </w:rPr>
              <w:t>当检测数值超出正常值范围，或感官指标出现异常（如存在明显异臭异味、肉眼可见物等），显示有污染倾向时，检测人员应立即停止该点位的检测工作，并进行复核检测，确认检测结果的准确性。</w:t>
            </w:r>
          </w:p>
          <w:p>
            <w:pPr>
              <w:pStyle w:val="null3"/>
              <w:ind w:firstLine="400"/>
              <w:jc w:val="left"/>
            </w:pPr>
            <w:r>
              <w:rPr>
                <w:rFonts w:ascii="仿宋_GB2312" w:hAnsi="仿宋_GB2312" w:cs="仿宋_GB2312" w:eastAsia="仿宋_GB2312"/>
              </w:rPr>
              <w:t>若复核检测结果仍显示有污染倾向，检测人员需及时向相关负责人汇报，并按照规定流程委托有资质的第三方检测机构加急对该点位水质进行检测。</w:t>
            </w:r>
          </w:p>
          <w:p>
            <w:pPr>
              <w:pStyle w:val="null3"/>
              <w:ind w:firstLine="400"/>
              <w:jc w:val="left"/>
            </w:pPr>
            <w:r>
              <w:rPr>
                <w:rFonts w:ascii="仿宋_GB2312" w:hAnsi="仿宋_GB2312" w:cs="仿宋_GB2312" w:eastAsia="仿宋_GB2312"/>
              </w:rPr>
              <w:t>第三方检测机构出具水质检测报告后，检测人员应及时将报告上报上级单位，由专家进行研判，确定后续处理措施。</w:t>
            </w:r>
          </w:p>
          <w:p>
            <w:pPr>
              <w:pStyle w:val="null3"/>
              <w:ind w:firstLine="400"/>
              <w:jc w:val="left"/>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w:t>
            </w:r>
            <w:r>
              <w:rPr>
                <w:rFonts w:ascii="仿宋_GB2312" w:hAnsi="仿宋_GB2312" w:cs="仿宋_GB2312" w:eastAsia="仿宋_GB2312"/>
              </w:rPr>
              <w:t>检测人员要求</w:t>
            </w:r>
          </w:p>
          <w:p>
            <w:pPr>
              <w:pStyle w:val="null3"/>
              <w:ind w:firstLine="400"/>
              <w:jc w:val="left"/>
            </w:pPr>
            <w:r>
              <w:rPr>
                <w:rFonts w:ascii="仿宋_GB2312" w:hAnsi="仿宋_GB2312" w:cs="仿宋_GB2312" w:eastAsia="仿宋_GB2312"/>
              </w:rPr>
              <w:t>检测人员需熟练掌握便携式水质监测仪及相关药剂的使用方法，确保操作规范。严格按照检测流程进行现场检测、数据记录和表格填写。对检测过程中出现的异常情况及时上报，并配合后续的第三方检测及专家研判等工作。负责妥善保管检测设备和药剂，定期进行维护和校准，保证设备的正常运行。</w:t>
            </w:r>
          </w:p>
          <w:p>
            <w:pPr>
              <w:pStyle w:val="null3"/>
              <w:ind w:firstLine="400"/>
              <w:jc w:val="left"/>
            </w:pP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w:t>
            </w:r>
            <w:r>
              <w:rPr>
                <w:rFonts w:ascii="仿宋_GB2312" w:hAnsi="仿宋_GB2312" w:cs="仿宋_GB2312" w:eastAsia="仿宋_GB2312"/>
              </w:rPr>
              <w:t>质量控制要求</w:t>
            </w:r>
          </w:p>
          <w:p>
            <w:pPr>
              <w:pStyle w:val="null3"/>
              <w:ind w:firstLine="400"/>
              <w:jc w:val="left"/>
            </w:pPr>
            <w:r>
              <w:rPr>
                <w:rFonts w:ascii="仿宋_GB2312" w:hAnsi="仿宋_GB2312" w:cs="仿宋_GB2312" w:eastAsia="仿宋_GB2312"/>
              </w:rPr>
              <w:t>定期对便携式水质检测设备进行校准和维护，确保设备检测精度符合要求；严格控制药剂的储存和使用条件，避免药剂失效影响检测结果；对检测人员进行定期培训和考核，提高操作技能和责任意识，确保检测过程规范、数据准确，尤其对于感官指标的判断要保持一致性。</w:t>
            </w:r>
          </w:p>
          <w:p>
            <w:pPr>
              <w:pStyle w:val="null3"/>
              <w:ind w:firstLine="400"/>
              <w:jc w:val="left"/>
            </w:pPr>
            <w:r>
              <w:rPr>
                <w:rFonts w:ascii="仿宋_GB2312" w:hAnsi="仿宋_GB2312" w:cs="仿宋_GB2312" w:eastAsia="仿宋_GB2312"/>
              </w:rPr>
              <w:t>（</w:t>
            </w:r>
            <w:r>
              <w:rPr>
                <w:rFonts w:ascii="仿宋_GB2312" w:hAnsi="仿宋_GB2312" w:cs="仿宋_GB2312" w:eastAsia="仿宋_GB2312"/>
              </w:rPr>
              <w:t>5</w:t>
            </w:r>
            <w:r>
              <w:rPr>
                <w:rFonts w:ascii="仿宋_GB2312" w:hAnsi="仿宋_GB2312" w:cs="仿宋_GB2312" w:eastAsia="仿宋_GB2312"/>
              </w:rPr>
              <w:t>）</w:t>
            </w:r>
            <w:r>
              <w:rPr>
                <w:rFonts w:ascii="仿宋_GB2312" w:hAnsi="仿宋_GB2312" w:cs="仿宋_GB2312" w:eastAsia="仿宋_GB2312"/>
              </w:rPr>
              <w:t>质量保障措施</w:t>
            </w:r>
          </w:p>
          <w:p>
            <w:pPr>
              <w:pStyle w:val="null3"/>
              <w:ind w:firstLine="400"/>
              <w:jc w:val="left"/>
            </w:pPr>
            <w:r>
              <w:rPr>
                <w:rFonts w:ascii="仿宋_GB2312" w:hAnsi="仿宋_GB2312" w:cs="仿宋_GB2312" w:eastAsia="仿宋_GB2312"/>
              </w:rPr>
              <w:t>配备充足的便携式水质检测设备、药剂及相关耗材，满足日常检测工作的需求；建立健全设备管理制度和药剂管理制度，明确管理责任，确保设备和药剂的合理使用和妥善保管；设立应急处理机制，对突发的水质异常情况能够迅速响应，及时采取有效的处理措施</w:t>
            </w:r>
            <w:r>
              <w:rPr>
                <w:rFonts w:ascii="仿宋_GB2312" w:hAnsi="仿宋_GB2312" w:cs="仿宋_GB2312" w:eastAsia="仿宋_GB2312"/>
              </w:rPr>
              <w:t>。</w:t>
            </w:r>
          </w:p>
          <w:p>
            <w:pPr>
              <w:pStyle w:val="null3"/>
              <w:ind w:firstLine="400"/>
              <w:jc w:val="left"/>
            </w:pPr>
            <w:r>
              <w:rPr>
                <w:rFonts w:ascii="仿宋_GB2312" w:hAnsi="仿宋_GB2312" w:cs="仿宋_GB2312" w:eastAsia="仿宋_GB2312"/>
                <w:b/>
              </w:rPr>
              <w:t>（</w:t>
            </w:r>
            <w:r>
              <w:rPr>
                <w:rFonts w:ascii="仿宋_GB2312" w:hAnsi="仿宋_GB2312" w:cs="仿宋_GB2312" w:eastAsia="仿宋_GB2312"/>
                <w:b/>
              </w:rPr>
              <w:t>二</w:t>
            </w:r>
            <w:r>
              <w:rPr>
                <w:rFonts w:ascii="仿宋_GB2312" w:hAnsi="仿宋_GB2312" w:cs="仿宋_GB2312" w:eastAsia="仿宋_GB2312"/>
                <w:b/>
              </w:rPr>
              <w:t>）</w:t>
            </w:r>
            <w:r>
              <w:rPr>
                <w:rFonts w:ascii="仿宋_GB2312" w:hAnsi="仿宋_GB2312" w:cs="仿宋_GB2312" w:eastAsia="仿宋_GB2312"/>
                <w:b/>
              </w:rPr>
              <w:t>城市供水水质抽检服务</w:t>
            </w:r>
          </w:p>
          <w:p>
            <w:pPr>
              <w:pStyle w:val="null3"/>
              <w:ind w:firstLine="400"/>
              <w:jc w:val="left"/>
            </w:pPr>
            <w:r>
              <w:rPr>
                <w:rFonts w:ascii="仿宋_GB2312" w:hAnsi="仿宋_GB2312" w:cs="仿宋_GB2312" w:eastAsia="仿宋_GB2312"/>
              </w:rPr>
              <w:t>依据《传染病防治法》《水污染防治法》《生活饮用水卫生监督管理办法》等法律法规及省、市水污染防治工作部署，委托具备</w:t>
            </w:r>
            <w:r>
              <w:rPr>
                <w:rFonts w:ascii="仿宋_GB2312" w:hAnsi="仿宋_GB2312" w:cs="仿宋_GB2312" w:eastAsia="仿宋_GB2312"/>
              </w:rPr>
              <w:t>CMA资质第三方检测单位，对西安市主城区及远郊区县开展水质专项检测。本次抽检严格遵循“问题导向、风险预警、全面覆盖”原则，科学优化监测点位布局，实施差异化、精准化布点管控，重点聚焦三大高风险核心监测区域并加密布设监测点位：一是医院、学校、养老院等重点公用建筑用水点位，全力保障特殊易感人群用水安全；二是群众投诉集中、水质异常频发区域，加密监测点位，精准溯源水质问题，闭环落实整改核验；三是水厂服务边界、地势较高的管网末梢及老旧小区，补齐管网末端监测短板，有效消除城郊及末梢管网水质监管盲区。</w:t>
            </w:r>
          </w:p>
          <w:p>
            <w:pPr>
              <w:pStyle w:val="null3"/>
              <w:ind w:firstLine="400"/>
              <w:jc w:val="left"/>
            </w:pPr>
            <w:r>
              <w:rPr>
                <w:rFonts w:ascii="仿宋_GB2312" w:hAnsi="仿宋_GB2312" w:cs="仿宋_GB2312" w:eastAsia="仿宋_GB2312"/>
              </w:rPr>
              <w:t>检测服务实行全流程闭环管理，涵盖科学布点、现场取样、实验室分析、出具</w:t>
            </w:r>
            <w:r>
              <w:rPr>
                <w:rFonts w:ascii="仿宋_GB2312" w:hAnsi="仿宋_GB2312" w:cs="仿宋_GB2312" w:eastAsia="仿宋_GB2312"/>
              </w:rPr>
              <w:t>CMA认证报告及专项水质分析总结。检测全过程严格执行国家技术标准，依托第三方机构完善的实验室设施与专业团队，确保样本代表性与结果准确性，旨在通过精准的数据支撑，为市供水管理中心实施靶向治理、消除供水隐患提供科学依据。</w:t>
            </w:r>
          </w:p>
          <w:p>
            <w:pPr>
              <w:pStyle w:val="null3"/>
              <w:ind w:firstLine="400"/>
              <w:jc w:val="left"/>
            </w:pPr>
            <w:r>
              <w:rPr>
                <w:rFonts w:ascii="仿宋_GB2312" w:hAnsi="仿宋_GB2312" w:cs="仿宋_GB2312" w:eastAsia="仿宋_GB2312"/>
              </w:rPr>
              <w:t>1、</w:t>
            </w:r>
            <w:r>
              <w:rPr>
                <w:rFonts w:ascii="仿宋_GB2312" w:hAnsi="仿宋_GB2312" w:cs="仿宋_GB2312" w:eastAsia="仿宋_GB2312"/>
              </w:rPr>
              <w:t>检测指标及点次</w:t>
            </w:r>
          </w:p>
          <w:p>
            <w:pPr>
              <w:pStyle w:val="null3"/>
              <w:ind w:firstLine="400"/>
              <w:jc w:val="left"/>
            </w:pPr>
            <w:r>
              <w:rPr>
                <w:rFonts w:ascii="仿宋_GB2312" w:hAnsi="仿宋_GB2312" w:cs="仿宋_GB2312" w:eastAsia="仿宋_GB2312"/>
              </w:rPr>
              <w:t>根据市水务局对城市供水水质保障工作的高度重视，同时考虑到部分末端用水户尤其在夏季水质投诉相对较多的实际情况，为进一步提升城市供水水质管理水平，本项目在参照西安市供水管理中心</w:t>
            </w:r>
            <w:r>
              <w:rPr>
                <w:rFonts w:ascii="仿宋_GB2312" w:hAnsi="仿宋_GB2312" w:cs="仿宋_GB2312" w:eastAsia="仿宋_GB2312"/>
              </w:rPr>
              <w:t>2017—2026年城市供水管理项目水质专项检测服务工作内容的基础上，将抽检点次增加至9</w:t>
            </w:r>
            <w:r>
              <w:rPr>
                <w:rFonts w:ascii="仿宋_GB2312" w:hAnsi="仿宋_GB2312" w:cs="仿宋_GB2312" w:eastAsia="仿宋_GB2312"/>
              </w:rPr>
              <w:t>2</w:t>
            </w:r>
            <w:r>
              <w:rPr>
                <w:rFonts w:ascii="仿宋_GB2312" w:hAnsi="仿宋_GB2312" w:cs="仿宋_GB2312" w:eastAsia="仿宋_GB2312"/>
              </w:rPr>
              <w:t>0点次，以更全面、及时地掌握城市供水水质状况，切实保障居民用水安全。</w:t>
            </w:r>
          </w:p>
          <w:p>
            <w:pPr>
              <w:pStyle w:val="null3"/>
              <w:ind w:firstLine="400"/>
              <w:jc w:val="left"/>
            </w:pPr>
            <w:r>
              <w:rPr>
                <w:rFonts w:ascii="仿宋_GB2312" w:hAnsi="仿宋_GB2312" w:cs="仿宋_GB2312" w:eastAsia="仿宋_GB2312"/>
              </w:rPr>
              <w:t>专项水质检测</w:t>
            </w:r>
            <w:r>
              <w:rPr>
                <w:rFonts w:ascii="仿宋_GB2312" w:hAnsi="仿宋_GB2312" w:cs="仿宋_GB2312" w:eastAsia="仿宋_GB2312"/>
              </w:rPr>
              <w:t>指标依据《二次供水设施卫生规范》</w:t>
            </w:r>
            <w:r>
              <w:rPr>
                <w:rFonts w:ascii="仿宋_GB2312" w:hAnsi="仿宋_GB2312" w:cs="仿宋_GB2312" w:eastAsia="仿宋_GB2312"/>
              </w:rPr>
              <w:t>(GB 17051-2025)、《生活饮用水卫生标准》（GB 5749-2022）选取，</w:t>
            </w:r>
            <w:r>
              <w:rPr>
                <w:rFonts w:ascii="仿宋_GB2312" w:hAnsi="仿宋_GB2312" w:cs="仿宋_GB2312" w:eastAsia="仿宋_GB2312"/>
              </w:rPr>
              <w:t>分为两类：</w:t>
            </w:r>
          </w:p>
          <w:p>
            <w:pPr>
              <w:pStyle w:val="null3"/>
              <w:ind w:firstLine="400"/>
              <w:jc w:val="left"/>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水质常规指标及扩展指标检测（</w:t>
            </w:r>
            <w:r>
              <w:rPr>
                <w:rFonts w:ascii="仿宋_GB2312" w:hAnsi="仿宋_GB2312" w:cs="仿宋_GB2312" w:eastAsia="仿宋_GB2312"/>
              </w:rPr>
              <w:t>39项）（A）</w:t>
            </w:r>
            <w:r>
              <w:rPr>
                <w:rFonts w:ascii="仿宋_GB2312" w:hAnsi="仿宋_GB2312" w:cs="仿宋_GB2312" w:eastAsia="仿宋_GB2312"/>
              </w:rPr>
              <w:t>：</w:t>
            </w:r>
            <w:r>
              <w:rPr>
                <w:rFonts w:ascii="仿宋_GB2312" w:hAnsi="仿宋_GB2312" w:cs="仿宋_GB2312" w:eastAsia="仿宋_GB2312"/>
              </w:rPr>
              <w:t>20点次。因检测点次较少，不具备按月排布的可行性，本类别不纳入月度检测计划，仅作为针对特定区域的专项抽查任务。鉴于长安、临潼等区域近期水质反馈较为强烈，该20点次将重点倾斜于上述水质敏感区域，实施精准诊断与深度排查。</w:t>
            </w:r>
          </w:p>
          <w:p>
            <w:pPr>
              <w:pStyle w:val="null3"/>
              <w:ind w:firstLine="400"/>
              <w:jc w:val="left"/>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水质常规指标检测（</w:t>
            </w:r>
            <w:r>
              <w:rPr>
                <w:rFonts w:ascii="仿宋_GB2312" w:hAnsi="仿宋_GB2312" w:cs="仿宋_GB2312" w:eastAsia="仿宋_GB2312"/>
              </w:rPr>
              <w:t>10</w:t>
            </w:r>
            <w:r>
              <w:rPr>
                <w:rFonts w:ascii="仿宋_GB2312" w:hAnsi="仿宋_GB2312" w:cs="仿宋_GB2312" w:eastAsia="仿宋_GB2312"/>
              </w:rPr>
              <w:t>项）（</w:t>
            </w:r>
            <w:r>
              <w:rPr>
                <w:rFonts w:ascii="仿宋_GB2312" w:hAnsi="仿宋_GB2312" w:cs="仿宋_GB2312" w:eastAsia="仿宋_GB2312"/>
              </w:rPr>
              <w:t>B）</w:t>
            </w:r>
            <w:r>
              <w:rPr>
                <w:rFonts w:ascii="仿宋_GB2312" w:hAnsi="仿宋_GB2312" w:cs="仿宋_GB2312" w:eastAsia="仿宋_GB2312"/>
              </w:rPr>
              <w:t>：</w:t>
            </w:r>
            <w:r>
              <w:rPr>
                <w:rFonts w:ascii="仿宋_GB2312" w:hAnsi="仿宋_GB2312" w:cs="仿宋_GB2312" w:eastAsia="仿宋_GB2312"/>
              </w:rPr>
              <w:t>900点次。该10项指标依据新版《二次供水设施卫生规范》制定，并结合二次供水特点，取消了仅在总大肠菌群检出后才需测定的大肠埃希氏菌指标，新增余氯指标，以直观反映水体消毒效果与管网水质稳定性。该900点次将严格按照检测计划执行，按月度及重点时段排布，确保覆盖面与时效性。</w:t>
            </w:r>
          </w:p>
          <w:p>
            <w:pPr>
              <w:pStyle w:val="null3"/>
              <w:ind w:firstLine="400"/>
              <w:jc w:val="left"/>
            </w:pPr>
            <w:r>
              <w:rPr>
                <w:rFonts w:ascii="仿宋_GB2312" w:hAnsi="仿宋_GB2312" w:cs="仿宋_GB2312" w:eastAsia="仿宋_GB2312"/>
              </w:rPr>
              <w:t>检测频次紧密结合用水场景特点与水质风险规律，以精准防控安全隐患。节假日期间（春节、劳动节</w:t>
            </w:r>
            <w:r>
              <w:rPr>
                <w:rFonts w:ascii="仿宋_GB2312" w:hAnsi="仿宋_GB2312" w:cs="仿宋_GB2312" w:eastAsia="仿宋_GB2312"/>
              </w:rPr>
              <w:t>、</w:t>
            </w:r>
            <w:r>
              <w:rPr>
                <w:rFonts w:ascii="仿宋_GB2312" w:hAnsi="仿宋_GB2312" w:cs="仿宋_GB2312" w:eastAsia="仿宋_GB2312"/>
              </w:rPr>
              <w:t>国庆节</w:t>
            </w:r>
            <w:r>
              <w:rPr>
                <w:rFonts w:ascii="仿宋_GB2312" w:hAnsi="仿宋_GB2312" w:cs="仿宋_GB2312" w:eastAsia="仿宋_GB2312"/>
              </w:rPr>
              <w:t>等），因居民用水需求波动大且小区物业管理易出现松懈，需针对性强化监测；春秋开学季人员集中返校，校园及周边用水负荷骤增，用水人群密集，需同步加密水质检测；夏季（</w:t>
            </w:r>
            <w:r>
              <w:rPr>
                <w:rFonts w:ascii="仿宋_GB2312" w:hAnsi="仿宋_GB2312" w:cs="仿宋_GB2312" w:eastAsia="仿宋_GB2312"/>
              </w:rPr>
              <w:t>6～8月）气温高导致微生物污染风险攀升，冬季（12月至次年1月）因水温低可能改变供水设施运行状态，需加强检测频次。具体检测任务频次及检测项目安排见表2</w:t>
            </w:r>
            <w:r>
              <w:rPr>
                <w:rFonts w:ascii="仿宋_GB2312" w:hAnsi="仿宋_GB2312" w:cs="仿宋_GB2312" w:eastAsia="仿宋_GB2312"/>
              </w:rPr>
              <w:t>。</w:t>
            </w:r>
          </w:p>
          <w:p>
            <w:pPr>
              <w:pStyle w:val="null3"/>
              <w:ind w:firstLine="400"/>
              <w:jc w:val="center"/>
            </w:pPr>
            <w:r>
              <w:rPr>
                <w:rFonts w:ascii="仿宋_GB2312" w:hAnsi="仿宋_GB2312" w:cs="仿宋_GB2312" w:eastAsia="仿宋_GB2312"/>
                <w:b/>
              </w:rPr>
              <w:t>表</w:t>
            </w:r>
            <w:r>
              <w:rPr>
                <w:rFonts w:ascii="仿宋_GB2312" w:hAnsi="仿宋_GB2312" w:cs="仿宋_GB2312" w:eastAsia="仿宋_GB2312"/>
                <w:b/>
              </w:rPr>
              <w:t>2</w:t>
            </w:r>
            <w:r>
              <w:rPr>
                <w:rFonts w:ascii="仿宋_GB2312" w:hAnsi="仿宋_GB2312" w:cs="仿宋_GB2312" w:eastAsia="仿宋_GB2312"/>
                <w:b/>
              </w:rPr>
              <w:t xml:space="preserve"> </w:t>
            </w:r>
            <w:r>
              <w:rPr>
                <w:rFonts w:ascii="仿宋_GB2312" w:hAnsi="仿宋_GB2312" w:cs="仿宋_GB2312" w:eastAsia="仿宋_GB2312"/>
                <w:b/>
              </w:rPr>
              <w:t>水质常规指标检测（</w:t>
            </w:r>
            <w:r>
              <w:rPr>
                <w:rFonts w:ascii="仿宋_GB2312" w:hAnsi="仿宋_GB2312" w:cs="仿宋_GB2312" w:eastAsia="仿宋_GB2312"/>
                <w:b/>
              </w:rPr>
              <w:t>39项）项目计划安排表</w:t>
            </w:r>
          </w:p>
          <w:tbl>
            <w:tblPr>
              <w:tblInd w:type="dxa" w:w="120"/>
              <w:tblBorders>
                <w:top w:val="none" w:color="000000" w:sz="4"/>
                <w:left w:val="none" w:color="000000" w:sz="4"/>
                <w:bottom w:val="none" w:color="000000" w:sz="4"/>
                <w:right w:val="none" w:color="000000" w:sz="4"/>
                <w:insideH w:val="none"/>
                <w:insideV w:val="none"/>
              </w:tblBorders>
            </w:tblPr>
            <w:tblGrid>
              <w:gridCol w:w="742"/>
              <w:gridCol w:w="847"/>
              <w:gridCol w:w="886"/>
            </w:tblGrid>
            <w:tr>
              <w:tc>
                <w:tcPr>
                  <w:tcW w:type="dxa" w:w="742"/>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0"/>
                      <w:color w:val="000000"/>
                    </w:rPr>
                    <w:t>工作周期</w:t>
                  </w:r>
                </w:p>
              </w:tc>
              <w:tc>
                <w:tcPr>
                  <w:tcW w:type="dxa" w:w="847"/>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0"/>
                      <w:color w:val="000000"/>
                    </w:rPr>
                    <w:t>点数</w:t>
                  </w:r>
                </w:p>
              </w:tc>
              <w:tc>
                <w:tcPr>
                  <w:tcW w:type="dxa" w:w="886"/>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0"/>
                      <w:color w:val="000000"/>
                    </w:rPr>
                    <w:t>采样日期</w:t>
                  </w:r>
                </w:p>
              </w:tc>
            </w:tr>
            <w:tr>
              <w:tc>
                <w:tcPr>
                  <w:tcW w:type="dxa" w:w="742"/>
                  <w:vMerge w:val="restart"/>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0"/>
                      <w:color w:val="000000"/>
                    </w:rPr>
                    <w:t>2026年</w:t>
                  </w:r>
                </w:p>
              </w:tc>
              <w:tc>
                <w:tcPr>
                  <w:tcW w:type="dxa" w:w="84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0"/>
                      <w:color w:val="000000"/>
                    </w:rPr>
                    <w:t>80</w:t>
                  </w:r>
                </w:p>
              </w:tc>
              <w:tc>
                <w:tcPr>
                  <w:tcW w:type="dxa" w:w="88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0"/>
                      <w:color w:val="000000"/>
                    </w:rPr>
                    <w:t>7月</w:t>
                  </w:r>
                </w:p>
              </w:tc>
            </w:tr>
            <w:tr>
              <w:tc>
                <w:tcPr>
                  <w:tcW w:type="dxa" w:w="742"/>
                  <w:vMerge/>
                  <w:tcBorders>
                    <w:top w:val="none" w:color="000000" w:sz="4"/>
                    <w:left w:val="single" w:color="000000" w:sz="4"/>
                    <w:bottom w:val="single" w:color="000000" w:sz="4"/>
                    <w:right w:val="single" w:color="000000" w:sz="4"/>
                  </w:tcBorders>
                </w:tcPr>
                <w:p/>
              </w:tc>
              <w:tc>
                <w:tcPr>
                  <w:tcW w:type="dxa" w:w="84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0"/>
                      <w:color w:val="000000"/>
                    </w:rPr>
                    <w:t>80</w:t>
                  </w:r>
                </w:p>
              </w:tc>
              <w:tc>
                <w:tcPr>
                  <w:tcW w:type="dxa" w:w="88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0"/>
                      <w:color w:val="000000"/>
                    </w:rPr>
                    <w:t>8月</w:t>
                  </w:r>
                </w:p>
              </w:tc>
            </w:tr>
            <w:tr>
              <w:tc>
                <w:tcPr>
                  <w:tcW w:type="dxa" w:w="742"/>
                  <w:vMerge/>
                  <w:tcBorders>
                    <w:top w:val="none" w:color="000000" w:sz="4"/>
                    <w:left w:val="single" w:color="000000" w:sz="4"/>
                    <w:bottom w:val="single" w:color="000000" w:sz="4"/>
                    <w:right w:val="single" w:color="000000" w:sz="4"/>
                  </w:tcBorders>
                </w:tcPr>
                <w:p/>
              </w:tc>
              <w:tc>
                <w:tcPr>
                  <w:tcW w:type="dxa" w:w="84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0"/>
                      <w:color w:val="000000"/>
                    </w:rPr>
                    <w:t>90</w:t>
                  </w:r>
                </w:p>
              </w:tc>
              <w:tc>
                <w:tcPr>
                  <w:tcW w:type="dxa" w:w="88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0"/>
                      <w:color w:val="000000"/>
                    </w:rPr>
                    <w:t>9月</w:t>
                  </w:r>
                </w:p>
              </w:tc>
            </w:tr>
            <w:tr>
              <w:tc>
                <w:tcPr>
                  <w:tcW w:type="dxa" w:w="742"/>
                  <w:vMerge/>
                  <w:tcBorders>
                    <w:top w:val="none" w:color="000000" w:sz="4"/>
                    <w:left w:val="single" w:color="000000" w:sz="4"/>
                    <w:bottom w:val="single" w:color="000000" w:sz="4"/>
                    <w:right w:val="single" w:color="000000" w:sz="4"/>
                  </w:tcBorders>
                </w:tcPr>
                <w:p/>
              </w:tc>
              <w:tc>
                <w:tcPr>
                  <w:tcW w:type="dxa" w:w="84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0"/>
                      <w:color w:val="000000"/>
                    </w:rPr>
                    <w:t>85</w:t>
                  </w:r>
                </w:p>
              </w:tc>
              <w:tc>
                <w:tcPr>
                  <w:tcW w:type="dxa" w:w="88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0"/>
                      <w:color w:val="000000"/>
                    </w:rPr>
                    <w:t>10月</w:t>
                  </w:r>
                </w:p>
              </w:tc>
            </w:tr>
            <w:tr>
              <w:tc>
                <w:tcPr>
                  <w:tcW w:type="dxa" w:w="742"/>
                  <w:vMerge/>
                  <w:tcBorders>
                    <w:top w:val="none" w:color="000000" w:sz="4"/>
                    <w:left w:val="single" w:color="000000" w:sz="4"/>
                    <w:bottom w:val="single" w:color="000000" w:sz="4"/>
                    <w:right w:val="single" w:color="000000" w:sz="4"/>
                  </w:tcBorders>
                </w:tcPr>
                <w:p/>
              </w:tc>
              <w:tc>
                <w:tcPr>
                  <w:tcW w:type="dxa" w:w="84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0"/>
                      <w:color w:val="000000"/>
                    </w:rPr>
                    <w:t>45</w:t>
                  </w:r>
                </w:p>
              </w:tc>
              <w:tc>
                <w:tcPr>
                  <w:tcW w:type="dxa" w:w="88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0"/>
                      <w:color w:val="000000"/>
                    </w:rPr>
                    <w:t>11月</w:t>
                  </w:r>
                </w:p>
              </w:tc>
            </w:tr>
            <w:tr>
              <w:tc>
                <w:tcPr>
                  <w:tcW w:type="dxa" w:w="742"/>
                  <w:vMerge/>
                  <w:tcBorders>
                    <w:top w:val="none" w:color="000000" w:sz="4"/>
                    <w:left w:val="single" w:color="000000" w:sz="4"/>
                    <w:bottom w:val="single" w:color="000000" w:sz="4"/>
                    <w:right w:val="single" w:color="000000" w:sz="4"/>
                  </w:tcBorders>
                </w:tcPr>
                <w:p/>
              </w:tc>
              <w:tc>
                <w:tcPr>
                  <w:tcW w:type="dxa" w:w="84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0"/>
                      <w:color w:val="000000"/>
                    </w:rPr>
                    <w:t>75</w:t>
                  </w:r>
                </w:p>
              </w:tc>
              <w:tc>
                <w:tcPr>
                  <w:tcW w:type="dxa" w:w="88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0"/>
                      <w:color w:val="000000"/>
                    </w:rPr>
                    <w:t>12月</w:t>
                  </w:r>
                </w:p>
              </w:tc>
            </w:tr>
            <w:tr>
              <w:tc>
                <w:tcPr>
                  <w:tcW w:type="dxa" w:w="742"/>
                  <w:vMerge w:val="restart"/>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0"/>
                      <w:color w:val="000000"/>
                    </w:rPr>
                    <w:t>2027年</w:t>
                  </w:r>
                </w:p>
              </w:tc>
              <w:tc>
                <w:tcPr>
                  <w:tcW w:type="dxa" w:w="84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0"/>
                      <w:color w:val="000000"/>
                    </w:rPr>
                    <w:t>60</w:t>
                  </w:r>
                </w:p>
              </w:tc>
              <w:tc>
                <w:tcPr>
                  <w:tcW w:type="dxa" w:w="88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0"/>
                      <w:color w:val="000000"/>
                    </w:rPr>
                    <w:t>1月</w:t>
                  </w:r>
                </w:p>
              </w:tc>
            </w:tr>
            <w:tr>
              <w:tc>
                <w:tcPr>
                  <w:tcW w:type="dxa" w:w="742"/>
                  <w:vMerge/>
                  <w:tcBorders>
                    <w:top w:val="none" w:color="000000" w:sz="4"/>
                    <w:left w:val="single" w:color="000000" w:sz="4"/>
                    <w:bottom w:val="single" w:color="000000" w:sz="4"/>
                    <w:right w:val="single" w:color="000000" w:sz="4"/>
                  </w:tcBorders>
                </w:tcPr>
                <w:p/>
              </w:tc>
              <w:tc>
                <w:tcPr>
                  <w:tcW w:type="dxa" w:w="84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0"/>
                      <w:color w:val="000000"/>
                    </w:rPr>
                    <w:t>85</w:t>
                  </w:r>
                </w:p>
              </w:tc>
              <w:tc>
                <w:tcPr>
                  <w:tcW w:type="dxa" w:w="88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0"/>
                      <w:color w:val="000000"/>
                    </w:rPr>
                    <w:t>2月</w:t>
                  </w:r>
                </w:p>
              </w:tc>
            </w:tr>
            <w:tr>
              <w:tc>
                <w:tcPr>
                  <w:tcW w:type="dxa" w:w="742"/>
                  <w:vMerge/>
                  <w:tcBorders>
                    <w:top w:val="none" w:color="000000" w:sz="4"/>
                    <w:left w:val="single" w:color="000000" w:sz="4"/>
                    <w:bottom w:val="single" w:color="000000" w:sz="4"/>
                    <w:right w:val="single" w:color="000000" w:sz="4"/>
                  </w:tcBorders>
                </w:tcPr>
                <w:p/>
              </w:tc>
              <w:tc>
                <w:tcPr>
                  <w:tcW w:type="dxa" w:w="84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0"/>
                      <w:color w:val="000000"/>
                    </w:rPr>
                    <w:t>90</w:t>
                  </w:r>
                </w:p>
              </w:tc>
              <w:tc>
                <w:tcPr>
                  <w:tcW w:type="dxa" w:w="88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0"/>
                      <w:color w:val="000000"/>
                    </w:rPr>
                    <w:t>3月</w:t>
                  </w:r>
                </w:p>
              </w:tc>
            </w:tr>
            <w:tr>
              <w:tc>
                <w:tcPr>
                  <w:tcW w:type="dxa" w:w="742"/>
                  <w:vMerge/>
                  <w:tcBorders>
                    <w:top w:val="none" w:color="000000" w:sz="4"/>
                    <w:left w:val="single" w:color="000000" w:sz="4"/>
                    <w:bottom w:val="single" w:color="000000" w:sz="4"/>
                    <w:right w:val="single" w:color="000000" w:sz="4"/>
                  </w:tcBorders>
                </w:tcPr>
                <w:p/>
              </w:tc>
              <w:tc>
                <w:tcPr>
                  <w:tcW w:type="dxa" w:w="84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0"/>
                      <w:color w:val="000000"/>
                    </w:rPr>
                    <w:t>45</w:t>
                  </w:r>
                </w:p>
              </w:tc>
              <w:tc>
                <w:tcPr>
                  <w:tcW w:type="dxa" w:w="88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0"/>
                      <w:color w:val="000000"/>
                    </w:rPr>
                    <w:t>4月</w:t>
                  </w:r>
                </w:p>
              </w:tc>
            </w:tr>
            <w:tr>
              <w:tc>
                <w:tcPr>
                  <w:tcW w:type="dxa" w:w="742"/>
                  <w:vMerge/>
                  <w:tcBorders>
                    <w:top w:val="none" w:color="000000" w:sz="4"/>
                    <w:left w:val="single" w:color="000000" w:sz="4"/>
                    <w:bottom w:val="single" w:color="000000" w:sz="4"/>
                    <w:right w:val="single" w:color="000000" w:sz="4"/>
                  </w:tcBorders>
                </w:tcPr>
                <w:p/>
              </w:tc>
              <w:tc>
                <w:tcPr>
                  <w:tcW w:type="dxa" w:w="84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0"/>
                      <w:color w:val="000000"/>
                    </w:rPr>
                    <w:t>85</w:t>
                  </w:r>
                </w:p>
              </w:tc>
              <w:tc>
                <w:tcPr>
                  <w:tcW w:type="dxa" w:w="88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0"/>
                      <w:color w:val="000000"/>
                    </w:rPr>
                    <w:t>5月</w:t>
                  </w:r>
                </w:p>
              </w:tc>
            </w:tr>
            <w:tr>
              <w:tc>
                <w:tcPr>
                  <w:tcW w:type="dxa" w:w="742"/>
                  <w:vMerge/>
                  <w:tcBorders>
                    <w:top w:val="none" w:color="000000" w:sz="4"/>
                    <w:left w:val="single" w:color="000000" w:sz="4"/>
                    <w:bottom w:val="single" w:color="000000" w:sz="4"/>
                    <w:right w:val="single" w:color="000000" w:sz="4"/>
                  </w:tcBorders>
                </w:tcPr>
                <w:p/>
              </w:tc>
              <w:tc>
                <w:tcPr>
                  <w:tcW w:type="dxa" w:w="84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0"/>
                      <w:color w:val="000000"/>
                    </w:rPr>
                    <w:t>80</w:t>
                  </w:r>
                </w:p>
              </w:tc>
              <w:tc>
                <w:tcPr>
                  <w:tcW w:type="dxa" w:w="88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0"/>
                      <w:color w:val="000000"/>
                    </w:rPr>
                    <w:t>6月</w:t>
                  </w:r>
                </w:p>
              </w:tc>
            </w:tr>
            <w:tr>
              <w:tc>
                <w:tcPr>
                  <w:tcW w:type="dxa" w:w="742"/>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0"/>
                      <w:color w:val="000000"/>
                    </w:rPr>
                    <w:t>合计</w:t>
                  </w:r>
                </w:p>
              </w:tc>
              <w:tc>
                <w:tcPr>
                  <w:tcW w:type="dxa" w:w="84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rFonts w:ascii="仿宋_GB2312" w:hAnsi="仿宋_GB2312" w:cs="仿宋_GB2312" w:eastAsia="仿宋_GB2312"/>
                      <w:sz w:val="20"/>
                      <w:color w:val="000000"/>
                    </w:rPr>
                    <w:t>900</w:t>
                  </w:r>
                </w:p>
              </w:tc>
              <w:tc>
                <w:tcPr>
                  <w:tcW w:type="dxa" w:w="88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p>
              </w:tc>
            </w:tr>
          </w:tbl>
          <w:p>
            <w:pPr>
              <w:pStyle w:val="null3"/>
              <w:jc w:val="left"/>
            </w:pPr>
            <w:r>
              <w:rPr>
                <w:rFonts w:ascii="仿宋_GB2312" w:hAnsi="仿宋_GB2312" w:cs="仿宋_GB2312" w:eastAsia="仿宋_GB2312"/>
              </w:rPr>
              <w:t>2、</w:t>
            </w:r>
            <w:r>
              <w:rPr>
                <w:rFonts w:ascii="仿宋_GB2312" w:hAnsi="仿宋_GB2312" w:cs="仿宋_GB2312" w:eastAsia="仿宋_GB2312"/>
              </w:rPr>
              <w:t>制定采样计划</w:t>
            </w:r>
          </w:p>
          <w:p>
            <w:pPr>
              <w:pStyle w:val="null3"/>
              <w:ind w:firstLine="400"/>
              <w:jc w:val="left"/>
            </w:pPr>
            <w:r>
              <w:rPr>
                <w:rFonts w:ascii="仿宋_GB2312" w:hAnsi="仿宋_GB2312" w:cs="仿宋_GB2312" w:eastAsia="仿宋_GB2312"/>
              </w:rPr>
              <w:t>采样计划应明确以下内容：采样目的、检验指标、采样时间、采样地点、采样方法、采样频率、采样数量、采样容器与清洗要求、采样体积、样品保存方法、样品标签、现场测定指标、采样质量控制、样品运输工具和贮存条件等。</w:t>
            </w:r>
          </w:p>
          <w:p>
            <w:pPr>
              <w:pStyle w:val="null3"/>
              <w:ind w:firstLine="400"/>
              <w:jc w:val="left"/>
            </w:pPr>
            <w:r>
              <w:rPr>
                <w:rFonts w:ascii="仿宋_GB2312" w:hAnsi="仿宋_GB2312" w:cs="仿宋_GB2312" w:eastAsia="仿宋_GB2312"/>
              </w:rPr>
              <w:t>3、</w:t>
            </w:r>
            <w:r>
              <w:rPr>
                <w:rFonts w:ascii="仿宋_GB2312" w:hAnsi="仿宋_GB2312" w:cs="仿宋_GB2312" w:eastAsia="仿宋_GB2312"/>
              </w:rPr>
              <w:t>确定采样工作流程</w:t>
            </w:r>
          </w:p>
          <w:p>
            <w:pPr>
              <w:pStyle w:val="null3"/>
              <w:ind w:firstLine="400"/>
              <w:jc w:val="left"/>
            </w:pPr>
            <w:r>
              <w:rPr>
                <w:rFonts w:ascii="仿宋_GB2312" w:hAnsi="仿宋_GB2312" w:cs="仿宋_GB2312" w:eastAsia="仿宋_GB2312"/>
              </w:rPr>
              <w:t>根据水样采集计划，提前与供水主体管理单位对接沟通，确定水样采集工作的相关流程：</w:t>
            </w:r>
          </w:p>
          <w:p>
            <w:pPr>
              <w:pStyle w:val="null3"/>
              <w:ind w:firstLine="400"/>
              <w:jc w:val="left"/>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确定好水样采集点位和时间后，做好现场水样采集及采样信息登记；</w:t>
            </w:r>
          </w:p>
          <w:p>
            <w:pPr>
              <w:pStyle w:val="null3"/>
              <w:ind w:firstLine="400"/>
              <w:jc w:val="left"/>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取样过程中完成现场水样采集、水样封存等工作，确保所取样品符合《生活饮用水标准检验方法</w:t>
            </w:r>
            <w:r>
              <w:rPr>
                <w:rFonts w:ascii="仿宋_GB2312" w:hAnsi="仿宋_GB2312" w:cs="仿宋_GB2312" w:eastAsia="仿宋_GB2312"/>
              </w:rPr>
              <w:t>水样的采集和保存》（</w:t>
            </w:r>
            <w:r>
              <w:rPr>
                <w:rFonts w:ascii="仿宋_GB2312" w:hAnsi="仿宋_GB2312" w:cs="仿宋_GB2312" w:eastAsia="仿宋_GB2312"/>
              </w:rPr>
              <w:t>GB/T 5750.2-2023）标准；</w:t>
            </w:r>
          </w:p>
          <w:p>
            <w:pPr>
              <w:pStyle w:val="null3"/>
              <w:ind w:firstLine="400"/>
              <w:jc w:val="left"/>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w:t>
            </w:r>
            <w:r>
              <w:rPr>
                <w:rFonts w:ascii="仿宋_GB2312" w:hAnsi="仿宋_GB2312" w:cs="仿宋_GB2312" w:eastAsia="仿宋_GB2312"/>
              </w:rPr>
              <w:t>做好取样现场影像资料留存、采样信息登记表填写、样品编号等工作；</w:t>
            </w:r>
          </w:p>
          <w:p>
            <w:pPr>
              <w:pStyle w:val="null3"/>
              <w:ind w:firstLine="400"/>
              <w:jc w:val="left"/>
            </w:pP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w:t>
            </w:r>
            <w:r>
              <w:rPr>
                <w:rFonts w:ascii="仿宋_GB2312" w:hAnsi="仿宋_GB2312" w:cs="仿宋_GB2312" w:eastAsia="仿宋_GB2312"/>
              </w:rPr>
              <w:t>水样采集工作完成后，将水样运送至检测实验室，现场对采集的水样进行信息核实并完成样品移交手续，及时对移交水样进行保管、封存；</w:t>
            </w:r>
          </w:p>
          <w:p>
            <w:pPr>
              <w:pStyle w:val="null3"/>
              <w:ind w:firstLine="400"/>
              <w:jc w:val="left"/>
            </w:pPr>
            <w:r>
              <w:rPr>
                <w:rFonts w:ascii="仿宋_GB2312" w:hAnsi="仿宋_GB2312" w:cs="仿宋_GB2312" w:eastAsia="仿宋_GB2312"/>
              </w:rPr>
              <w:t>（</w:t>
            </w:r>
            <w:r>
              <w:rPr>
                <w:rFonts w:ascii="仿宋_GB2312" w:hAnsi="仿宋_GB2312" w:cs="仿宋_GB2312" w:eastAsia="仿宋_GB2312"/>
              </w:rPr>
              <w:t>5</w:t>
            </w:r>
            <w:r>
              <w:rPr>
                <w:rFonts w:ascii="仿宋_GB2312" w:hAnsi="仿宋_GB2312" w:cs="仿宋_GB2312" w:eastAsia="仿宋_GB2312"/>
              </w:rPr>
              <w:t>）</w:t>
            </w:r>
            <w:r>
              <w:rPr>
                <w:rFonts w:ascii="仿宋_GB2312" w:hAnsi="仿宋_GB2312" w:cs="仿宋_GB2312" w:eastAsia="仿宋_GB2312"/>
              </w:rPr>
              <w:t>按照《生活饮用水标准检验方法》（</w:t>
            </w:r>
            <w:r>
              <w:rPr>
                <w:rFonts w:ascii="仿宋_GB2312" w:hAnsi="仿宋_GB2312" w:cs="仿宋_GB2312" w:eastAsia="仿宋_GB2312"/>
              </w:rPr>
              <w:t>GB/T 5750.1-2023）的要求，及时对水质进行检测，并出具水质检测报告。</w:t>
            </w:r>
          </w:p>
          <w:p>
            <w:pPr>
              <w:pStyle w:val="null3"/>
              <w:ind w:firstLine="400"/>
              <w:jc w:val="left"/>
            </w:pPr>
            <w:r>
              <w:rPr>
                <w:rFonts w:ascii="仿宋_GB2312" w:hAnsi="仿宋_GB2312" w:cs="仿宋_GB2312" w:eastAsia="仿宋_GB2312"/>
              </w:rPr>
              <w:t>4、</w:t>
            </w:r>
            <w:r>
              <w:rPr>
                <w:rFonts w:ascii="仿宋_GB2312" w:hAnsi="仿宋_GB2312" w:cs="仿宋_GB2312" w:eastAsia="仿宋_GB2312"/>
              </w:rPr>
              <w:t>检测项目指标及限值</w:t>
            </w:r>
          </w:p>
          <w:p>
            <w:pPr>
              <w:pStyle w:val="null3"/>
              <w:ind w:firstLine="400"/>
              <w:jc w:val="left"/>
            </w:pPr>
            <w:r>
              <w:rPr>
                <w:rFonts w:ascii="仿宋_GB2312" w:hAnsi="仿宋_GB2312" w:cs="仿宋_GB2312" w:eastAsia="仿宋_GB2312"/>
              </w:rPr>
              <w:t>由专业检测公司取水样检测并出具正式检测报告，检测项目及限值详见表</w:t>
            </w:r>
            <w:r>
              <w:rPr>
                <w:rFonts w:ascii="仿宋_GB2312" w:hAnsi="仿宋_GB2312" w:cs="仿宋_GB2312" w:eastAsia="仿宋_GB2312"/>
              </w:rPr>
              <w:t>3</w:t>
            </w:r>
            <w:r>
              <w:rPr>
                <w:rFonts w:ascii="仿宋_GB2312" w:hAnsi="仿宋_GB2312" w:cs="仿宋_GB2312" w:eastAsia="仿宋_GB2312"/>
              </w:rPr>
              <w:t>、</w:t>
            </w:r>
            <w:r>
              <w:rPr>
                <w:rFonts w:ascii="仿宋_GB2312" w:hAnsi="仿宋_GB2312" w:cs="仿宋_GB2312" w:eastAsia="仿宋_GB2312"/>
              </w:rPr>
              <w:t>表</w:t>
            </w:r>
            <w:r>
              <w:rPr>
                <w:rFonts w:ascii="仿宋_GB2312" w:hAnsi="仿宋_GB2312" w:cs="仿宋_GB2312" w:eastAsia="仿宋_GB2312"/>
              </w:rPr>
              <w:t>4、</w:t>
            </w:r>
            <w:r>
              <w:rPr>
                <w:rFonts w:ascii="仿宋_GB2312" w:hAnsi="仿宋_GB2312" w:cs="仿宋_GB2312" w:eastAsia="仿宋_GB2312"/>
              </w:rPr>
              <w:t>表</w:t>
            </w:r>
            <w:r>
              <w:rPr>
                <w:rFonts w:ascii="仿宋_GB2312" w:hAnsi="仿宋_GB2312" w:cs="仿宋_GB2312" w:eastAsia="仿宋_GB2312"/>
              </w:rPr>
              <w:t>5</w:t>
            </w:r>
            <w:r>
              <w:rPr>
                <w:rFonts w:ascii="仿宋_GB2312" w:hAnsi="仿宋_GB2312" w:cs="仿宋_GB2312" w:eastAsia="仿宋_GB2312"/>
              </w:rPr>
              <w:t>。</w:t>
            </w:r>
          </w:p>
          <w:p>
            <w:pPr>
              <w:pStyle w:val="null3"/>
              <w:ind w:firstLine="400"/>
              <w:jc w:val="center"/>
            </w:pPr>
            <w:r>
              <w:rPr>
                <w:rFonts w:ascii="仿宋_GB2312" w:hAnsi="仿宋_GB2312" w:cs="仿宋_GB2312" w:eastAsia="仿宋_GB2312"/>
                <w:b/>
              </w:rPr>
              <w:t>表</w:t>
            </w:r>
            <w:r>
              <w:rPr>
                <w:rFonts w:ascii="仿宋_GB2312" w:hAnsi="仿宋_GB2312" w:cs="仿宋_GB2312" w:eastAsia="仿宋_GB2312"/>
                <w:b/>
              </w:rPr>
              <w:t>3</w:t>
            </w:r>
            <w:r>
              <w:rPr>
                <w:rFonts w:ascii="仿宋_GB2312" w:hAnsi="仿宋_GB2312" w:cs="仿宋_GB2312" w:eastAsia="仿宋_GB2312"/>
                <w:b/>
              </w:rPr>
              <w:t xml:space="preserve">  </w:t>
            </w:r>
            <w:r>
              <w:rPr>
                <w:rFonts w:ascii="仿宋_GB2312" w:hAnsi="仿宋_GB2312" w:cs="仿宋_GB2312" w:eastAsia="仿宋_GB2312"/>
                <w:b/>
              </w:rPr>
              <w:t>水质常规指标检测（</w:t>
            </w:r>
            <w:r>
              <w:rPr>
                <w:rFonts w:ascii="仿宋_GB2312" w:hAnsi="仿宋_GB2312" w:cs="仿宋_GB2312" w:eastAsia="仿宋_GB2312"/>
                <w:b/>
              </w:rPr>
              <w:t>10</w:t>
            </w:r>
            <w:r>
              <w:rPr>
                <w:rFonts w:ascii="仿宋_GB2312" w:hAnsi="仿宋_GB2312" w:cs="仿宋_GB2312" w:eastAsia="仿宋_GB2312"/>
                <w:b/>
              </w:rPr>
              <w:t>项）及限值</w:t>
            </w:r>
          </w:p>
          <w:tbl>
            <w:tblPr>
              <w:tblBorders>
                <w:top w:val="none" w:color="000000" w:sz="4"/>
                <w:left w:val="none" w:color="000000" w:sz="4"/>
                <w:bottom w:val="none" w:color="000000" w:sz="4"/>
                <w:right w:val="none" w:color="000000" w:sz="4"/>
                <w:insideH w:val="none"/>
                <w:insideV w:val="none"/>
              </w:tblBorders>
            </w:tblPr>
            <w:tblGrid>
              <w:gridCol w:w="209"/>
              <w:gridCol w:w="1379"/>
              <w:gridCol w:w="965"/>
            </w:tblGrid>
            <w:tr>
              <w:tc>
                <w:tcPr>
                  <w:tcW w:type="dxa" w:w="20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color w:val="000000"/>
                    </w:rPr>
                    <w:t>序号</w:t>
                  </w:r>
                </w:p>
              </w:tc>
              <w:tc>
                <w:tcPr>
                  <w:tcW w:type="dxa" w:w="137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color w:val="000000"/>
                    </w:rPr>
                    <w:t>指标</w:t>
                  </w:r>
                </w:p>
              </w:tc>
              <w:tc>
                <w:tcPr>
                  <w:tcW w:type="dxa" w:w="96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color w:val="000000"/>
                    </w:rPr>
                    <w:t>限值</w:t>
                  </w:r>
                </w:p>
              </w:tc>
            </w:tr>
            <w:tr>
              <w:tc>
                <w:tcPr>
                  <w:tcW w:type="dxa" w:w="2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w:t>
                  </w:r>
                </w:p>
              </w:tc>
              <w:tc>
                <w:tcPr>
                  <w:tcW w:type="dxa" w:w="13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色度</w:t>
                  </w:r>
                  <w:r>
                    <w:rPr>
                      <w:rFonts w:ascii="仿宋_GB2312" w:hAnsi="仿宋_GB2312" w:cs="仿宋_GB2312" w:eastAsia="仿宋_GB2312"/>
                      <w:sz w:val="20"/>
                      <w:color w:val="000000"/>
                    </w:rPr>
                    <w:t>(铂钻色度单位)/度</w:t>
                  </w:r>
                </w:p>
              </w:tc>
              <w:tc>
                <w:tcPr>
                  <w:tcW w:type="dxa" w:w="9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15</w:t>
                  </w:r>
                </w:p>
              </w:tc>
            </w:tr>
            <w:tr>
              <w:tc>
                <w:tcPr>
                  <w:tcW w:type="dxa" w:w="2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2</w:t>
                  </w:r>
                </w:p>
              </w:tc>
              <w:tc>
                <w:tcPr>
                  <w:tcW w:type="dxa" w:w="13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浑浊度</w:t>
                  </w:r>
                  <w:r>
                    <w:rPr>
                      <w:rFonts w:ascii="仿宋_GB2312" w:hAnsi="仿宋_GB2312" w:cs="仿宋_GB2312" w:eastAsia="仿宋_GB2312"/>
                      <w:sz w:val="20"/>
                      <w:color w:val="000000"/>
                    </w:rPr>
                    <w:t>(散射浑浊度单位)/NTU</w:t>
                  </w:r>
                </w:p>
              </w:tc>
              <w:tc>
                <w:tcPr>
                  <w:tcW w:type="dxa" w:w="9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w:t>
                  </w:r>
                </w:p>
              </w:tc>
            </w:tr>
            <w:tr>
              <w:tc>
                <w:tcPr>
                  <w:tcW w:type="dxa" w:w="2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3</w:t>
                  </w:r>
                </w:p>
              </w:tc>
              <w:tc>
                <w:tcPr>
                  <w:tcW w:type="dxa" w:w="13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嗅味</w:t>
                  </w:r>
                </w:p>
              </w:tc>
              <w:tc>
                <w:tcPr>
                  <w:tcW w:type="dxa" w:w="9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无异臭、异味</w:t>
                  </w:r>
                </w:p>
              </w:tc>
            </w:tr>
            <w:tr>
              <w:tc>
                <w:tcPr>
                  <w:tcW w:type="dxa" w:w="2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4</w:t>
                  </w:r>
                </w:p>
              </w:tc>
              <w:tc>
                <w:tcPr>
                  <w:tcW w:type="dxa" w:w="13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肉眼可见物</w:t>
                  </w:r>
                </w:p>
              </w:tc>
              <w:tc>
                <w:tcPr>
                  <w:tcW w:type="dxa" w:w="9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无</w:t>
                  </w:r>
                </w:p>
              </w:tc>
            </w:tr>
            <w:tr>
              <w:tc>
                <w:tcPr>
                  <w:tcW w:type="dxa" w:w="2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5</w:t>
                  </w:r>
                </w:p>
              </w:tc>
              <w:tc>
                <w:tcPr>
                  <w:tcW w:type="dxa" w:w="13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pH</w:t>
                  </w:r>
                </w:p>
              </w:tc>
              <w:tc>
                <w:tcPr>
                  <w:tcW w:type="dxa" w:w="9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6.5～8.5</w:t>
                  </w:r>
                </w:p>
              </w:tc>
            </w:tr>
            <w:tr>
              <w:tc>
                <w:tcPr>
                  <w:tcW w:type="dxa" w:w="2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6</w:t>
                  </w:r>
                </w:p>
              </w:tc>
              <w:tc>
                <w:tcPr>
                  <w:tcW w:type="dxa" w:w="13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总</w:t>
                  </w:r>
                  <w:r>
                    <w:rPr>
                      <w:rFonts w:ascii="仿宋_GB2312" w:hAnsi="仿宋_GB2312" w:cs="仿宋_GB2312" w:eastAsia="仿宋_GB2312"/>
                      <w:sz w:val="20"/>
                      <w:color w:val="000000"/>
                    </w:rPr>
                    <w:t>大肠菌群</w:t>
                  </w:r>
                  <w:r>
                    <w:rPr>
                      <w:rFonts w:ascii="仿宋_GB2312" w:hAnsi="仿宋_GB2312" w:cs="仿宋_GB2312" w:eastAsia="仿宋_GB2312"/>
                      <w:sz w:val="20"/>
                      <w:color w:val="000000"/>
                    </w:rPr>
                    <w:t>（</w:t>
                  </w:r>
                  <w:r>
                    <w:rPr>
                      <w:rFonts w:ascii="仿宋_GB2312" w:hAnsi="仿宋_GB2312" w:cs="仿宋_GB2312" w:eastAsia="仿宋_GB2312"/>
                      <w:sz w:val="20"/>
                      <w:color w:val="000000"/>
                    </w:rPr>
                    <w:t>MPN/100mL或CFU/100mL）</w:t>
                  </w:r>
                </w:p>
              </w:tc>
              <w:tc>
                <w:tcPr>
                  <w:tcW w:type="dxa" w:w="9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不应检出</w:t>
                  </w:r>
                </w:p>
              </w:tc>
            </w:tr>
            <w:tr>
              <w:tc>
                <w:tcPr>
                  <w:tcW w:type="dxa" w:w="2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7</w:t>
                  </w:r>
                </w:p>
              </w:tc>
              <w:tc>
                <w:tcPr>
                  <w:tcW w:type="dxa" w:w="13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菌落总数</w:t>
                  </w:r>
                  <w:r>
                    <w:rPr>
                      <w:rFonts w:ascii="仿宋_GB2312" w:hAnsi="仿宋_GB2312" w:cs="仿宋_GB2312" w:eastAsia="仿宋_GB2312"/>
                      <w:sz w:val="20"/>
                      <w:color w:val="000000"/>
                    </w:rPr>
                    <w:t>（</w:t>
                  </w:r>
                  <w:r>
                    <w:rPr>
                      <w:rFonts w:ascii="仿宋_GB2312" w:hAnsi="仿宋_GB2312" w:cs="仿宋_GB2312" w:eastAsia="仿宋_GB2312"/>
                      <w:sz w:val="20"/>
                      <w:color w:val="000000"/>
                    </w:rPr>
                    <w:t>MPN/mL或CFU/mL）</w:t>
                  </w:r>
                </w:p>
              </w:tc>
              <w:tc>
                <w:tcPr>
                  <w:tcW w:type="dxa" w:w="9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100</w:t>
                  </w:r>
                </w:p>
              </w:tc>
            </w:tr>
            <w:tr>
              <w:tc>
                <w:tcPr>
                  <w:tcW w:type="dxa" w:w="2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8</w:t>
                  </w:r>
                </w:p>
              </w:tc>
              <w:tc>
                <w:tcPr>
                  <w:tcW w:type="dxa" w:w="13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余氯</w:t>
                  </w:r>
                </w:p>
              </w:tc>
              <w:tc>
                <w:tcPr>
                  <w:tcW w:type="dxa" w:w="9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w:t>
                  </w:r>
                  <w:r>
                    <w:rPr>
                      <w:rFonts w:ascii="仿宋_GB2312" w:hAnsi="仿宋_GB2312" w:cs="仿宋_GB2312" w:eastAsia="仿宋_GB2312"/>
                      <w:sz w:val="20"/>
                      <w:color w:val="000000"/>
                    </w:rPr>
                    <w:t>0.</w:t>
                  </w:r>
                  <w:r>
                    <w:rPr>
                      <w:rFonts w:ascii="仿宋_GB2312" w:hAnsi="仿宋_GB2312" w:cs="仿宋_GB2312" w:eastAsia="仿宋_GB2312"/>
                      <w:sz w:val="20"/>
                      <w:color w:val="000000"/>
                    </w:rPr>
                    <w:t>05</w:t>
                  </w:r>
                  <w:r>
                    <w:rPr>
                      <w:rFonts w:ascii="仿宋_GB2312" w:hAnsi="仿宋_GB2312" w:cs="仿宋_GB2312" w:eastAsia="仿宋_GB2312"/>
                      <w:sz w:val="20"/>
                      <w:color w:val="000000"/>
                    </w:rPr>
                    <w:t>mg/L</w:t>
                  </w:r>
                  <w:r>
                    <w:rPr>
                      <w:rFonts w:ascii="仿宋_GB2312" w:hAnsi="仿宋_GB2312" w:cs="仿宋_GB2312" w:eastAsia="仿宋_GB2312"/>
                      <w:sz w:val="20"/>
                      <w:color w:val="000000"/>
                    </w:rPr>
                    <w:t>（</w:t>
                  </w:r>
                  <w:r>
                    <w:rPr>
                      <w:rFonts w:ascii="仿宋_GB2312" w:hAnsi="仿宋_GB2312" w:cs="仿宋_GB2312" w:eastAsia="仿宋_GB2312"/>
                      <w:sz w:val="20"/>
                      <w:color w:val="000000"/>
                    </w:rPr>
                    <w:t>末梢水）</w:t>
                  </w:r>
                </w:p>
              </w:tc>
            </w:tr>
            <w:tr>
              <w:tc>
                <w:tcPr>
                  <w:tcW w:type="dxa" w:w="2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9</w:t>
                  </w:r>
                </w:p>
              </w:tc>
              <w:tc>
                <w:tcPr>
                  <w:tcW w:type="dxa" w:w="13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高锰酸盐指数（以</w:t>
                  </w:r>
                  <w:r>
                    <w:rPr>
                      <w:rFonts w:ascii="仿宋_GB2312" w:hAnsi="仿宋_GB2312" w:cs="仿宋_GB2312" w:eastAsia="仿宋_GB2312"/>
                      <w:sz w:val="20"/>
                      <w:color w:val="000000"/>
                    </w:rPr>
                    <w:t>O</w:t>
                  </w:r>
                  <w:r>
                    <w:rPr>
                      <w:rFonts w:ascii="仿宋_GB2312" w:hAnsi="仿宋_GB2312" w:cs="仿宋_GB2312" w:eastAsia="仿宋_GB2312"/>
                      <w:sz w:val="20"/>
                      <w:color w:val="000000"/>
                      <w:vertAlign w:val="subscript"/>
                    </w:rPr>
                    <w:t>2</w:t>
                  </w:r>
                  <w:r>
                    <w:rPr>
                      <w:rFonts w:ascii="仿宋_GB2312" w:hAnsi="仿宋_GB2312" w:cs="仿宋_GB2312" w:eastAsia="仿宋_GB2312"/>
                      <w:sz w:val="20"/>
                      <w:color w:val="000000"/>
                    </w:rPr>
                    <w:t>计）（</w:t>
                  </w:r>
                  <w:r>
                    <w:rPr>
                      <w:rFonts w:ascii="仿宋_GB2312" w:hAnsi="仿宋_GB2312" w:cs="仿宋_GB2312" w:eastAsia="仿宋_GB2312"/>
                      <w:sz w:val="20"/>
                      <w:color w:val="000000"/>
                    </w:rPr>
                    <w:t>mg/L）</w:t>
                  </w:r>
                </w:p>
              </w:tc>
              <w:tc>
                <w:tcPr>
                  <w:tcW w:type="dxa" w:w="9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3</w:t>
                  </w:r>
                </w:p>
              </w:tc>
            </w:tr>
            <w:tr>
              <w:tc>
                <w:tcPr>
                  <w:tcW w:type="dxa" w:w="2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10</w:t>
                  </w:r>
                </w:p>
              </w:tc>
              <w:tc>
                <w:tcPr>
                  <w:tcW w:type="dxa" w:w="13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氨（以</w:t>
                  </w:r>
                  <w:r>
                    <w:rPr>
                      <w:rFonts w:ascii="仿宋_GB2312" w:hAnsi="仿宋_GB2312" w:cs="仿宋_GB2312" w:eastAsia="仿宋_GB2312"/>
                      <w:sz w:val="20"/>
                      <w:color w:val="000000"/>
                    </w:rPr>
                    <w:t>N计）（mg/L）</w:t>
                  </w:r>
                </w:p>
              </w:tc>
              <w:tc>
                <w:tcPr>
                  <w:tcW w:type="dxa" w:w="9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0.5</w:t>
                  </w:r>
                </w:p>
              </w:tc>
            </w:tr>
          </w:tbl>
          <w:p>
            <w:pPr>
              <w:pStyle w:val="null3"/>
              <w:ind w:firstLine="400"/>
              <w:jc w:val="center"/>
            </w:pPr>
            <w:r>
              <w:rPr>
                <w:rFonts w:ascii="仿宋_GB2312" w:hAnsi="仿宋_GB2312" w:cs="仿宋_GB2312" w:eastAsia="仿宋_GB2312"/>
                <w:b/>
              </w:rPr>
              <w:t>表</w:t>
            </w:r>
            <w:r>
              <w:rPr>
                <w:rFonts w:ascii="仿宋_GB2312" w:hAnsi="仿宋_GB2312" w:cs="仿宋_GB2312" w:eastAsia="仿宋_GB2312"/>
                <w:b/>
              </w:rPr>
              <w:t>4</w:t>
            </w:r>
            <w:r>
              <w:rPr>
                <w:rFonts w:ascii="仿宋_GB2312" w:hAnsi="仿宋_GB2312" w:cs="仿宋_GB2312" w:eastAsia="仿宋_GB2312"/>
                <w:b/>
              </w:rPr>
              <w:t xml:space="preserve">  </w:t>
            </w:r>
            <w:r>
              <w:rPr>
                <w:rFonts w:ascii="仿宋_GB2312" w:hAnsi="仿宋_GB2312" w:cs="仿宋_GB2312" w:eastAsia="仿宋_GB2312"/>
                <w:b/>
              </w:rPr>
              <w:t>水质常规指标及扩展指标检测（</w:t>
            </w:r>
            <w:r>
              <w:rPr>
                <w:rFonts w:ascii="仿宋_GB2312" w:hAnsi="仿宋_GB2312" w:cs="仿宋_GB2312" w:eastAsia="仿宋_GB2312"/>
                <w:b/>
              </w:rPr>
              <w:t>39项）及限值</w:t>
            </w:r>
          </w:p>
          <w:tbl>
            <w:tblPr>
              <w:tblBorders>
                <w:top w:val="none" w:color="000000" w:sz="4"/>
                <w:left w:val="none" w:color="000000" w:sz="4"/>
                <w:bottom w:val="none" w:color="000000" w:sz="4"/>
                <w:right w:val="none" w:color="000000" w:sz="4"/>
                <w:insideH w:val="none"/>
                <w:insideV w:val="none"/>
              </w:tblBorders>
            </w:tblPr>
            <w:tblGrid>
              <w:gridCol w:w="209"/>
              <w:gridCol w:w="1279"/>
              <w:gridCol w:w="1065"/>
            </w:tblGrid>
            <w:tr>
              <w:tc>
                <w:tcPr>
                  <w:tcW w:type="dxa" w:w="20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color w:val="000000"/>
                    </w:rPr>
                    <w:t>序号</w:t>
                  </w:r>
                </w:p>
              </w:tc>
              <w:tc>
                <w:tcPr>
                  <w:tcW w:type="dxa" w:w="127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color w:val="000000"/>
                    </w:rPr>
                    <w:t>指标</w:t>
                  </w:r>
                </w:p>
              </w:tc>
              <w:tc>
                <w:tcPr>
                  <w:tcW w:type="dxa" w:w="106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color w:val="000000"/>
                    </w:rPr>
                    <w:t>限值</w:t>
                  </w:r>
                </w:p>
              </w:tc>
            </w:tr>
            <w:tr>
              <w:tc>
                <w:tcPr>
                  <w:tcW w:type="dxa" w:w="2553"/>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b/>
                      <w:color w:val="000000"/>
                    </w:rPr>
                    <w:t>一、微生物指标</w:t>
                  </w:r>
                </w:p>
              </w:tc>
            </w:tr>
            <w:tr>
              <w:tc>
                <w:tcPr>
                  <w:tcW w:type="dxa" w:w="2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w:t>
                  </w:r>
                </w:p>
              </w:tc>
              <w:tc>
                <w:tcPr>
                  <w:tcW w:type="dxa" w:w="127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总大肠菌群（</w:t>
                  </w:r>
                  <w:r>
                    <w:rPr>
                      <w:rFonts w:ascii="仿宋_GB2312" w:hAnsi="仿宋_GB2312" w:cs="仿宋_GB2312" w:eastAsia="仿宋_GB2312"/>
                      <w:sz w:val="20"/>
                      <w:color w:val="000000"/>
                    </w:rPr>
                    <w:t>MPN/100mL或CFU/100mL）</w:t>
                  </w:r>
                </w:p>
              </w:tc>
              <w:tc>
                <w:tcPr>
                  <w:tcW w:type="dxa" w:w="106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不应检出</w:t>
                  </w:r>
                </w:p>
              </w:tc>
            </w:tr>
            <w:tr>
              <w:tc>
                <w:tcPr>
                  <w:tcW w:type="dxa" w:w="2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2</w:t>
                  </w:r>
                </w:p>
              </w:tc>
              <w:tc>
                <w:tcPr>
                  <w:tcW w:type="dxa" w:w="1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大肠埃希氏菌（</w:t>
                  </w:r>
                  <w:r>
                    <w:rPr>
                      <w:rFonts w:ascii="仿宋_GB2312" w:hAnsi="仿宋_GB2312" w:cs="仿宋_GB2312" w:eastAsia="仿宋_GB2312"/>
                      <w:sz w:val="20"/>
                      <w:color w:val="000000"/>
                    </w:rPr>
                    <w:t>MPN/100mL或CFU/100mL）</w:t>
                  </w:r>
                </w:p>
              </w:tc>
              <w:tc>
                <w:tcPr>
                  <w:tcW w:type="dxa" w:w="10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不应检出</w:t>
                  </w:r>
                </w:p>
              </w:tc>
            </w:tr>
            <w:tr>
              <w:tc>
                <w:tcPr>
                  <w:tcW w:type="dxa" w:w="2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3</w:t>
                  </w:r>
                </w:p>
              </w:tc>
              <w:tc>
                <w:tcPr>
                  <w:tcW w:type="dxa" w:w="1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菌落总数（</w:t>
                  </w:r>
                  <w:r>
                    <w:rPr>
                      <w:rFonts w:ascii="仿宋_GB2312" w:hAnsi="仿宋_GB2312" w:cs="仿宋_GB2312" w:eastAsia="仿宋_GB2312"/>
                      <w:sz w:val="20"/>
                      <w:color w:val="000000"/>
                    </w:rPr>
                    <w:t>MPN/mL或CFU/mL）</w:t>
                  </w:r>
                </w:p>
              </w:tc>
              <w:tc>
                <w:tcPr>
                  <w:tcW w:type="dxa" w:w="10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100</w:t>
                  </w:r>
                </w:p>
              </w:tc>
            </w:tr>
            <w:tr>
              <w:tc>
                <w:tcPr>
                  <w:tcW w:type="dxa" w:w="2553"/>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b/>
                      <w:color w:val="000000"/>
                    </w:rPr>
                    <w:t>二、毒理指标</w:t>
                  </w:r>
                </w:p>
              </w:tc>
            </w:tr>
            <w:tr>
              <w:tc>
                <w:tcPr>
                  <w:tcW w:type="dxa" w:w="2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4</w:t>
                  </w:r>
                </w:p>
              </w:tc>
              <w:tc>
                <w:tcPr>
                  <w:tcW w:type="dxa" w:w="127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砷（</w:t>
                  </w:r>
                  <w:r>
                    <w:rPr>
                      <w:rFonts w:ascii="仿宋_GB2312" w:hAnsi="仿宋_GB2312" w:cs="仿宋_GB2312" w:eastAsia="仿宋_GB2312"/>
                      <w:sz w:val="20"/>
                      <w:color w:val="000000"/>
                    </w:rPr>
                    <w:t>mg/L）</w:t>
                  </w:r>
                </w:p>
              </w:tc>
              <w:tc>
                <w:tcPr>
                  <w:tcW w:type="dxa" w:w="106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0.01</w:t>
                  </w:r>
                </w:p>
              </w:tc>
            </w:tr>
            <w:tr>
              <w:tc>
                <w:tcPr>
                  <w:tcW w:type="dxa" w:w="2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5</w:t>
                  </w:r>
                </w:p>
              </w:tc>
              <w:tc>
                <w:tcPr>
                  <w:tcW w:type="dxa" w:w="1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镉（</w:t>
                  </w:r>
                  <w:r>
                    <w:rPr>
                      <w:rFonts w:ascii="仿宋_GB2312" w:hAnsi="仿宋_GB2312" w:cs="仿宋_GB2312" w:eastAsia="仿宋_GB2312"/>
                      <w:sz w:val="20"/>
                      <w:color w:val="000000"/>
                    </w:rPr>
                    <w:t>mg/L）</w:t>
                  </w:r>
                </w:p>
              </w:tc>
              <w:tc>
                <w:tcPr>
                  <w:tcW w:type="dxa" w:w="10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0.005</w:t>
                  </w:r>
                </w:p>
              </w:tc>
            </w:tr>
            <w:tr>
              <w:tc>
                <w:tcPr>
                  <w:tcW w:type="dxa" w:w="2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6</w:t>
                  </w:r>
                </w:p>
              </w:tc>
              <w:tc>
                <w:tcPr>
                  <w:tcW w:type="dxa" w:w="1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铬（六价，</w:t>
                  </w:r>
                  <w:r>
                    <w:rPr>
                      <w:rFonts w:ascii="仿宋_GB2312" w:hAnsi="仿宋_GB2312" w:cs="仿宋_GB2312" w:eastAsia="仿宋_GB2312"/>
                      <w:sz w:val="20"/>
                      <w:color w:val="000000"/>
                    </w:rPr>
                    <w:t>mg/L）</w:t>
                  </w:r>
                </w:p>
              </w:tc>
              <w:tc>
                <w:tcPr>
                  <w:tcW w:type="dxa" w:w="10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0.05</w:t>
                  </w:r>
                </w:p>
              </w:tc>
            </w:tr>
            <w:tr>
              <w:tc>
                <w:tcPr>
                  <w:tcW w:type="dxa" w:w="2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7</w:t>
                  </w:r>
                </w:p>
              </w:tc>
              <w:tc>
                <w:tcPr>
                  <w:tcW w:type="dxa" w:w="1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铅（</w:t>
                  </w:r>
                  <w:r>
                    <w:rPr>
                      <w:rFonts w:ascii="仿宋_GB2312" w:hAnsi="仿宋_GB2312" w:cs="仿宋_GB2312" w:eastAsia="仿宋_GB2312"/>
                      <w:sz w:val="20"/>
                      <w:color w:val="000000"/>
                    </w:rPr>
                    <w:t>mg/L）</w:t>
                  </w:r>
                </w:p>
              </w:tc>
              <w:tc>
                <w:tcPr>
                  <w:tcW w:type="dxa" w:w="10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0.01</w:t>
                  </w:r>
                </w:p>
              </w:tc>
            </w:tr>
            <w:tr>
              <w:tc>
                <w:tcPr>
                  <w:tcW w:type="dxa" w:w="2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8</w:t>
                  </w:r>
                </w:p>
              </w:tc>
              <w:tc>
                <w:tcPr>
                  <w:tcW w:type="dxa" w:w="1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汞（</w:t>
                  </w:r>
                  <w:r>
                    <w:rPr>
                      <w:rFonts w:ascii="仿宋_GB2312" w:hAnsi="仿宋_GB2312" w:cs="仿宋_GB2312" w:eastAsia="仿宋_GB2312"/>
                      <w:sz w:val="20"/>
                      <w:color w:val="000000"/>
                    </w:rPr>
                    <w:t>mg/L）</w:t>
                  </w:r>
                </w:p>
              </w:tc>
              <w:tc>
                <w:tcPr>
                  <w:tcW w:type="dxa" w:w="10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0.001</w:t>
                  </w:r>
                </w:p>
              </w:tc>
            </w:tr>
            <w:tr>
              <w:tc>
                <w:tcPr>
                  <w:tcW w:type="dxa" w:w="2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9</w:t>
                  </w:r>
                </w:p>
              </w:tc>
              <w:tc>
                <w:tcPr>
                  <w:tcW w:type="dxa" w:w="1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氰化物（</w:t>
                  </w:r>
                  <w:r>
                    <w:rPr>
                      <w:rFonts w:ascii="仿宋_GB2312" w:hAnsi="仿宋_GB2312" w:cs="仿宋_GB2312" w:eastAsia="仿宋_GB2312"/>
                      <w:sz w:val="20"/>
                      <w:color w:val="000000"/>
                    </w:rPr>
                    <w:t>mg/L）</w:t>
                  </w:r>
                </w:p>
              </w:tc>
              <w:tc>
                <w:tcPr>
                  <w:tcW w:type="dxa" w:w="10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0.05</w:t>
                  </w:r>
                </w:p>
              </w:tc>
            </w:tr>
            <w:tr>
              <w:tc>
                <w:tcPr>
                  <w:tcW w:type="dxa" w:w="2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10</w:t>
                  </w:r>
                </w:p>
              </w:tc>
              <w:tc>
                <w:tcPr>
                  <w:tcW w:type="dxa" w:w="1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氟化物（</w:t>
                  </w:r>
                  <w:r>
                    <w:rPr>
                      <w:rFonts w:ascii="仿宋_GB2312" w:hAnsi="仿宋_GB2312" w:cs="仿宋_GB2312" w:eastAsia="仿宋_GB2312"/>
                      <w:sz w:val="20"/>
                      <w:color w:val="000000"/>
                    </w:rPr>
                    <w:t>mg/L）</w:t>
                  </w:r>
                </w:p>
              </w:tc>
              <w:tc>
                <w:tcPr>
                  <w:tcW w:type="dxa" w:w="10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1.0</w:t>
                  </w:r>
                </w:p>
              </w:tc>
            </w:tr>
            <w:tr>
              <w:tc>
                <w:tcPr>
                  <w:tcW w:type="dxa" w:w="2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11</w:t>
                  </w:r>
                </w:p>
              </w:tc>
              <w:tc>
                <w:tcPr>
                  <w:tcW w:type="dxa" w:w="1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硝酸盐（以</w:t>
                  </w:r>
                  <w:r>
                    <w:rPr>
                      <w:rFonts w:ascii="仿宋_GB2312" w:hAnsi="仿宋_GB2312" w:cs="仿宋_GB2312" w:eastAsia="仿宋_GB2312"/>
                      <w:sz w:val="20"/>
                      <w:color w:val="000000"/>
                    </w:rPr>
                    <w:t>N计，mg/L）</w:t>
                  </w:r>
                  <w:r>
                    <w:rPr>
                      <w:rFonts w:ascii="仿宋_GB2312" w:hAnsi="仿宋_GB2312" w:cs="仿宋_GB2312" w:eastAsia="仿宋_GB2312"/>
                      <w:sz w:val="20"/>
                      <w:color w:val="000000"/>
                      <w:vertAlign w:val="superscript"/>
                    </w:rPr>
                    <w:t>b</w:t>
                  </w:r>
                </w:p>
              </w:tc>
              <w:tc>
                <w:tcPr>
                  <w:tcW w:type="dxa" w:w="10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10</w:t>
                  </w:r>
                </w:p>
              </w:tc>
            </w:tr>
            <w:tr>
              <w:tc>
                <w:tcPr>
                  <w:tcW w:type="dxa" w:w="2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12</w:t>
                  </w:r>
                </w:p>
              </w:tc>
              <w:tc>
                <w:tcPr>
                  <w:tcW w:type="dxa" w:w="1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三氯甲烷（</w:t>
                  </w:r>
                  <w:r>
                    <w:rPr>
                      <w:rFonts w:ascii="仿宋_GB2312" w:hAnsi="仿宋_GB2312" w:cs="仿宋_GB2312" w:eastAsia="仿宋_GB2312"/>
                      <w:sz w:val="20"/>
                      <w:color w:val="000000"/>
                    </w:rPr>
                    <w:t>mg/L）</w:t>
                  </w:r>
                </w:p>
              </w:tc>
              <w:tc>
                <w:tcPr>
                  <w:tcW w:type="dxa" w:w="10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0.06</w:t>
                  </w:r>
                </w:p>
              </w:tc>
            </w:tr>
            <w:tr>
              <w:tc>
                <w:tcPr>
                  <w:tcW w:type="dxa" w:w="2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13</w:t>
                  </w:r>
                </w:p>
              </w:tc>
              <w:tc>
                <w:tcPr>
                  <w:tcW w:type="dxa" w:w="1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一氯二溴甲烷（</w:t>
                  </w:r>
                  <w:r>
                    <w:rPr>
                      <w:rFonts w:ascii="仿宋_GB2312" w:hAnsi="仿宋_GB2312" w:cs="仿宋_GB2312" w:eastAsia="仿宋_GB2312"/>
                      <w:sz w:val="20"/>
                      <w:color w:val="000000"/>
                    </w:rPr>
                    <w:t>mg/L）</w:t>
                  </w:r>
                </w:p>
              </w:tc>
              <w:tc>
                <w:tcPr>
                  <w:tcW w:type="dxa" w:w="10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0.1</w:t>
                  </w:r>
                </w:p>
              </w:tc>
            </w:tr>
            <w:tr>
              <w:tc>
                <w:tcPr>
                  <w:tcW w:type="dxa" w:w="2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14</w:t>
                  </w:r>
                </w:p>
              </w:tc>
              <w:tc>
                <w:tcPr>
                  <w:tcW w:type="dxa" w:w="1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二氯一溴甲烷（</w:t>
                  </w:r>
                  <w:r>
                    <w:rPr>
                      <w:rFonts w:ascii="仿宋_GB2312" w:hAnsi="仿宋_GB2312" w:cs="仿宋_GB2312" w:eastAsia="仿宋_GB2312"/>
                      <w:sz w:val="20"/>
                      <w:color w:val="000000"/>
                    </w:rPr>
                    <w:t>mg/L）</w:t>
                  </w:r>
                </w:p>
              </w:tc>
              <w:tc>
                <w:tcPr>
                  <w:tcW w:type="dxa" w:w="10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0.06</w:t>
                  </w:r>
                </w:p>
              </w:tc>
            </w:tr>
            <w:tr>
              <w:tc>
                <w:tcPr>
                  <w:tcW w:type="dxa" w:w="2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15</w:t>
                  </w:r>
                </w:p>
              </w:tc>
              <w:tc>
                <w:tcPr>
                  <w:tcW w:type="dxa" w:w="1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三溴甲烷（</w:t>
                  </w:r>
                  <w:r>
                    <w:rPr>
                      <w:rFonts w:ascii="仿宋_GB2312" w:hAnsi="仿宋_GB2312" w:cs="仿宋_GB2312" w:eastAsia="仿宋_GB2312"/>
                      <w:sz w:val="20"/>
                      <w:color w:val="000000"/>
                    </w:rPr>
                    <w:t>mg/L）</w:t>
                  </w:r>
                </w:p>
              </w:tc>
              <w:tc>
                <w:tcPr>
                  <w:tcW w:type="dxa" w:w="10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0.1</w:t>
                  </w:r>
                </w:p>
              </w:tc>
            </w:tr>
            <w:tr>
              <w:tc>
                <w:tcPr>
                  <w:tcW w:type="dxa" w:w="2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16</w:t>
                  </w:r>
                </w:p>
              </w:tc>
              <w:tc>
                <w:tcPr>
                  <w:tcW w:type="dxa" w:w="1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三卤甲烷（三氯甲烷、一氯二溴甲烷、二氯一溴甲烷、三溴甲烷的总和）</w:t>
                  </w:r>
                </w:p>
              </w:tc>
              <w:tc>
                <w:tcPr>
                  <w:tcW w:type="dxa" w:w="10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该类化合物中各种化合物的实测浓度与其各自限值的比值之和不超过</w:t>
                  </w:r>
                  <w:r>
                    <w:rPr>
                      <w:rFonts w:ascii="仿宋_GB2312" w:hAnsi="仿宋_GB2312" w:cs="仿宋_GB2312" w:eastAsia="仿宋_GB2312"/>
                      <w:sz w:val="20"/>
                      <w:color w:val="000000"/>
                    </w:rPr>
                    <w:t>1</w:t>
                  </w:r>
                </w:p>
              </w:tc>
            </w:tr>
            <w:tr>
              <w:tc>
                <w:tcPr>
                  <w:tcW w:type="dxa" w:w="2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17</w:t>
                  </w:r>
                </w:p>
              </w:tc>
              <w:tc>
                <w:tcPr>
                  <w:tcW w:type="dxa" w:w="1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二氯一酸（</w:t>
                  </w:r>
                  <w:r>
                    <w:rPr>
                      <w:rFonts w:ascii="仿宋_GB2312" w:hAnsi="仿宋_GB2312" w:cs="仿宋_GB2312" w:eastAsia="仿宋_GB2312"/>
                      <w:sz w:val="20"/>
                      <w:color w:val="000000"/>
                    </w:rPr>
                    <w:t>mg/L）</w:t>
                  </w:r>
                </w:p>
              </w:tc>
              <w:tc>
                <w:tcPr>
                  <w:tcW w:type="dxa" w:w="10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0.05</w:t>
                  </w:r>
                </w:p>
              </w:tc>
            </w:tr>
            <w:tr>
              <w:tc>
                <w:tcPr>
                  <w:tcW w:type="dxa" w:w="2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18</w:t>
                  </w:r>
                </w:p>
              </w:tc>
              <w:tc>
                <w:tcPr>
                  <w:tcW w:type="dxa" w:w="1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三氯一酸（</w:t>
                  </w:r>
                  <w:r>
                    <w:rPr>
                      <w:rFonts w:ascii="仿宋_GB2312" w:hAnsi="仿宋_GB2312" w:cs="仿宋_GB2312" w:eastAsia="仿宋_GB2312"/>
                      <w:sz w:val="20"/>
                      <w:color w:val="000000"/>
                    </w:rPr>
                    <w:t>mg/L）</w:t>
                  </w:r>
                </w:p>
              </w:tc>
              <w:tc>
                <w:tcPr>
                  <w:tcW w:type="dxa" w:w="10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0.1</w:t>
                  </w:r>
                </w:p>
              </w:tc>
            </w:tr>
            <w:tr>
              <w:tc>
                <w:tcPr>
                  <w:tcW w:type="dxa" w:w="2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19</w:t>
                  </w:r>
                </w:p>
              </w:tc>
              <w:tc>
                <w:tcPr>
                  <w:tcW w:type="dxa" w:w="1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溴酸盐（</w:t>
                  </w:r>
                  <w:r>
                    <w:rPr>
                      <w:rFonts w:ascii="仿宋_GB2312" w:hAnsi="仿宋_GB2312" w:cs="仿宋_GB2312" w:eastAsia="仿宋_GB2312"/>
                      <w:sz w:val="20"/>
                      <w:color w:val="000000"/>
                    </w:rPr>
                    <w:t>mg/L）</w:t>
                  </w:r>
                </w:p>
              </w:tc>
              <w:tc>
                <w:tcPr>
                  <w:tcW w:type="dxa" w:w="10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0.01</w:t>
                  </w:r>
                </w:p>
              </w:tc>
            </w:tr>
            <w:tr>
              <w:tc>
                <w:tcPr>
                  <w:tcW w:type="dxa" w:w="2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20</w:t>
                  </w:r>
                </w:p>
              </w:tc>
              <w:tc>
                <w:tcPr>
                  <w:tcW w:type="dxa" w:w="1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亚氯酸盐（</w:t>
                  </w:r>
                  <w:r>
                    <w:rPr>
                      <w:rFonts w:ascii="仿宋_GB2312" w:hAnsi="仿宋_GB2312" w:cs="仿宋_GB2312" w:eastAsia="仿宋_GB2312"/>
                      <w:sz w:val="20"/>
                      <w:color w:val="000000"/>
                    </w:rPr>
                    <w:t>mg/L）</w:t>
                  </w:r>
                </w:p>
              </w:tc>
              <w:tc>
                <w:tcPr>
                  <w:tcW w:type="dxa" w:w="10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0.7</w:t>
                  </w:r>
                </w:p>
              </w:tc>
            </w:tr>
            <w:tr>
              <w:tc>
                <w:tcPr>
                  <w:tcW w:type="dxa" w:w="2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21</w:t>
                  </w:r>
                </w:p>
              </w:tc>
              <w:tc>
                <w:tcPr>
                  <w:tcW w:type="dxa" w:w="1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氯酸盐（</w:t>
                  </w:r>
                  <w:r>
                    <w:rPr>
                      <w:rFonts w:ascii="仿宋_GB2312" w:hAnsi="仿宋_GB2312" w:cs="仿宋_GB2312" w:eastAsia="仿宋_GB2312"/>
                      <w:sz w:val="20"/>
                      <w:color w:val="000000"/>
                    </w:rPr>
                    <w:t>mg/L）</w:t>
                  </w:r>
                </w:p>
              </w:tc>
              <w:tc>
                <w:tcPr>
                  <w:tcW w:type="dxa" w:w="10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0.7</w:t>
                  </w:r>
                </w:p>
              </w:tc>
            </w:tr>
            <w:tr>
              <w:tc>
                <w:tcPr>
                  <w:tcW w:type="dxa" w:w="2553"/>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b/>
                      <w:color w:val="000000"/>
                    </w:rPr>
                    <w:t>三、感官性状和一般化学指标</w:t>
                  </w:r>
                </w:p>
              </w:tc>
            </w:tr>
            <w:tr>
              <w:tc>
                <w:tcPr>
                  <w:tcW w:type="dxa" w:w="2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22</w:t>
                  </w:r>
                </w:p>
              </w:tc>
              <w:tc>
                <w:tcPr>
                  <w:tcW w:type="dxa" w:w="127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色度（铂钴色度单位）</w:t>
                  </w:r>
                </w:p>
              </w:tc>
              <w:tc>
                <w:tcPr>
                  <w:tcW w:type="dxa" w:w="106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15</w:t>
                  </w:r>
                </w:p>
              </w:tc>
            </w:tr>
            <w:tr>
              <w:tc>
                <w:tcPr>
                  <w:tcW w:type="dxa" w:w="2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23</w:t>
                  </w:r>
                </w:p>
              </w:tc>
              <w:tc>
                <w:tcPr>
                  <w:tcW w:type="dxa" w:w="1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浑浊度（</w:t>
                  </w:r>
                  <w:r>
                    <w:rPr>
                      <w:rFonts w:ascii="仿宋_GB2312" w:hAnsi="仿宋_GB2312" w:cs="仿宋_GB2312" w:eastAsia="仿宋_GB2312"/>
                      <w:sz w:val="20"/>
                      <w:color w:val="000000"/>
                    </w:rPr>
                    <w:t>NTU-散射浊度单位）</w:t>
                  </w:r>
                </w:p>
              </w:tc>
              <w:tc>
                <w:tcPr>
                  <w:tcW w:type="dxa" w:w="10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w:t>
                  </w:r>
                </w:p>
              </w:tc>
            </w:tr>
            <w:tr>
              <w:tc>
                <w:tcPr>
                  <w:tcW w:type="dxa" w:w="2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24</w:t>
                  </w:r>
                </w:p>
              </w:tc>
              <w:tc>
                <w:tcPr>
                  <w:tcW w:type="dxa" w:w="1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臭和味</w:t>
                  </w:r>
                </w:p>
              </w:tc>
              <w:tc>
                <w:tcPr>
                  <w:tcW w:type="dxa" w:w="10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无异臭、异味</w:t>
                  </w:r>
                </w:p>
              </w:tc>
            </w:tr>
            <w:tr>
              <w:tc>
                <w:tcPr>
                  <w:tcW w:type="dxa" w:w="2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25</w:t>
                  </w:r>
                </w:p>
              </w:tc>
              <w:tc>
                <w:tcPr>
                  <w:tcW w:type="dxa" w:w="1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肉眼可见物</w:t>
                  </w:r>
                </w:p>
              </w:tc>
              <w:tc>
                <w:tcPr>
                  <w:tcW w:type="dxa" w:w="10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无</w:t>
                  </w:r>
                </w:p>
              </w:tc>
            </w:tr>
            <w:tr>
              <w:tc>
                <w:tcPr>
                  <w:tcW w:type="dxa" w:w="2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26</w:t>
                  </w:r>
                </w:p>
              </w:tc>
              <w:tc>
                <w:tcPr>
                  <w:tcW w:type="dxa" w:w="1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pH（pH单位）</w:t>
                  </w:r>
                </w:p>
              </w:tc>
              <w:tc>
                <w:tcPr>
                  <w:tcW w:type="dxa" w:w="10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不小于</w:t>
                  </w:r>
                  <w:r>
                    <w:rPr>
                      <w:rFonts w:ascii="仿宋_GB2312" w:hAnsi="仿宋_GB2312" w:cs="仿宋_GB2312" w:eastAsia="仿宋_GB2312"/>
                      <w:sz w:val="20"/>
                      <w:color w:val="000000"/>
                    </w:rPr>
                    <w:t>6.5且不大于8.5</w:t>
                  </w:r>
                </w:p>
              </w:tc>
            </w:tr>
            <w:tr>
              <w:tc>
                <w:tcPr>
                  <w:tcW w:type="dxa" w:w="2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27</w:t>
                  </w:r>
                </w:p>
              </w:tc>
              <w:tc>
                <w:tcPr>
                  <w:tcW w:type="dxa" w:w="1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铝（</w:t>
                  </w:r>
                  <w:r>
                    <w:rPr>
                      <w:rFonts w:ascii="仿宋_GB2312" w:hAnsi="仿宋_GB2312" w:cs="仿宋_GB2312" w:eastAsia="仿宋_GB2312"/>
                      <w:sz w:val="20"/>
                      <w:color w:val="000000"/>
                    </w:rPr>
                    <w:t>mg/L）</w:t>
                  </w:r>
                </w:p>
              </w:tc>
              <w:tc>
                <w:tcPr>
                  <w:tcW w:type="dxa" w:w="10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0.2</w:t>
                  </w:r>
                </w:p>
              </w:tc>
            </w:tr>
            <w:tr>
              <w:tc>
                <w:tcPr>
                  <w:tcW w:type="dxa" w:w="2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28</w:t>
                  </w:r>
                </w:p>
              </w:tc>
              <w:tc>
                <w:tcPr>
                  <w:tcW w:type="dxa" w:w="1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铁（</w:t>
                  </w:r>
                  <w:r>
                    <w:rPr>
                      <w:rFonts w:ascii="仿宋_GB2312" w:hAnsi="仿宋_GB2312" w:cs="仿宋_GB2312" w:eastAsia="仿宋_GB2312"/>
                      <w:sz w:val="20"/>
                      <w:color w:val="000000"/>
                    </w:rPr>
                    <w:t>mg/L）</w:t>
                  </w:r>
                </w:p>
              </w:tc>
              <w:tc>
                <w:tcPr>
                  <w:tcW w:type="dxa" w:w="10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0.3</w:t>
                  </w:r>
                </w:p>
              </w:tc>
            </w:tr>
            <w:tr>
              <w:tc>
                <w:tcPr>
                  <w:tcW w:type="dxa" w:w="2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29</w:t>
                  </w:r>
                </w:p>
              </w:tc>
              <w:tc>
                <w:tcPr>
                  <w:tcW w:type="dxa" w:w="1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锰（</w:t>
                  </w:r>
                  <w:r>
                    <w:rPr>
                      <w:rFonts w:ascii="仿宋_GB2312" w:hAnsi="仿宋_GB2312" w:cs="仿宋_GB2312" w:eastAsia="仿宋_GB2312"/>
                      <w:sz w:val="20"/>
                      <w:color w:val="000000"/>
                    </w:rPr>
                    <w:t>mg/L）</w:t>
                  </w:r>
                </w:p>
              </w:tc>
              <w:tc>
                <w:tcPr>
                  <w:tcW w:type="dxa" w:w="10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0.1</w:t>
                  </w:r>
                </w:p>
              </w:tc>
            </w:tr>
            <w:tr>
              <w:tc>
                <w:tcPr>
                  <w:tcW w:type="dxa" w:w="2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30</w:t>
                  </w:r>
                </w:p>
              </w:tc>
              <w:tc>
                <w:tcPr>
                  <w:tcW w:type="dxa" w:w="1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铜（</w:t>
                  </w:r>
                  <w:r>
                    <w:rPr>
                      <w:rFonts w:ascii="仿宋_GB2312" w:hAnsi="仿宋_GB2312" w:cs="仿宋_GB2312" w:eastAsia="仿宋_GB2312"/>
                      <w:sz w:val="20"/>
                      <w:color w:val="000000"/>
                    </w:rPr>
                    <w:t>mg/L）</w:t>
                  </w:r>
                </w:p>
              </w:tc>
              <w:tc>
                <w:tcPr>
                  <w:tcW w:type="dxa" w:w="10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1.0</w:t>
                  </w:r>
                </w:p>
              </w:tc>
            </w:tr>
            <w:tr>
              <w:tc>
                <w:tcPr>
                  <w:tcW w:type="dxa" w:w="2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31</w:t>
                  </w:r>
                </w:p>
              </w:tc>
              <w:tc>
                <w:tcPr>
                  <w:tcW w:type="dxa" w:w="1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锌（</w:t>
                  </w:r>
                  <w:r>
                    <w:rPr>
                      <w:rFonts w:ascii="仿宋_GB2312" w:hAnsi="仿宋_GB2312" w:cs="仿宋_GB2312" w:eastAsia="仿宋_GB2312"/>
                      <w:sz w:val="20"/>
                      <w:color w:val="000000"/>
                    </w:rPr>
                    <w:t>mg/L）</w:t>
                  </w:r>
                </w:p>
              </w:tc>
              <w:tc>
                <w:tcPr>
                  <w:tcW w:type="dxa" w:w="10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1.0</w:t>
                  </w:r>
                </w:p>
              </w:tc>
            </w:tr>
            <w:tr>
              <w:tc>
                <w:tcPr>
                  <w:tcW w:type="dxa" w:w="2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32</w:t>
                  </w:r>
                </w:p>
              </w:tc>
              <w:tc>
                <w:tcPr>
                  <w:tcW w:type="dxa" w:w="1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氯化物（</w:t>
                  </w:r>
                  <w:r>
                    <w:rPr>
                      <w:rFonts w:ascii="仿宋_GB2312" w:hAnsi="仿宋_GB2312" w:cs="仿宋_GB2312" w:eastAsia="仿宋_GB2312"/>
                      <w:sz w:val="20"/>
                      <w:color w:val="000000"/>
                    </w:rPr>
                    <w:t>mg/L）</w:t>
                  </w:r>
                </w:p>
              </w:tc>
              <w:tc>
                <w:tcPr>
                  <w:tcW w:type="dxa" w:w="10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250</w:t>
                  </w:r>
                </w:p>
              </w:tc>
            </w:tr>
            <w:tr>
              <w:tc>
                <w:tcPr>
                  <w:tcW w:type="dxa" w:w="2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33</w:t>
                  </w:r>
                </w:p>
              </w:tc>
              <w:tc>
                <w:tcPr>
                  <w:tcW w:type="dxa" w:w="1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硫酸盐（</w:t>
                  </w:r>
                  <w:r>
                    <w:rPr>
                      <w:rFonts w:ascii="仿宋_GB2312" w:hAnsi="仿宋_GB2312" w:cs="仿宋_GB2312" w:eastAsia="仿宋_GB2312"/>
                      <w:sz w:val="20"/>
                      <w:color w:val="000000"/>
                    </w:rPr>
                    <w:t>mg/L）</w:t>
                  </w:r>
                </w:p>
              </w:tc>
              <w:tc>
                <w:tcPr>
                  <w:tcW w:type="dxa" w:w="10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250</w:t>
                  </w:r>
                </w:p>
              </w:tc>
            </w:tr>
            <w:tr>
              <w:tc>
                <w:tcPr>
                  <w:tcW w:type="dxa" w:w="2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34</w:t>
                  </w:r>
                </w:p>
              </w:tc>
              <w:tc>
                <w:tcPr>
                  <w:tcW w:type="dxa" w:w="1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溶解性总固体（</w:t>
                  </w:r>
                  <w:r>
                    <w:rPr>
                      <w:rFonts w:ascii="仿宋_GB2312" w:hAnsi="仿宋_GB2312" w:cs="仿宋_GB2312" w:eastAsia="仿宋_GB2312"/>
                      <w:sz w:val="20"/>
                      <w:color w:val="000000"/>
                    </w:rPr>
                    <w:t>mg/L）</w:t>
                  </w:r>
                </w:p>
              </w:tc>
              <w:tc>
                <w:tcPr>
                  <w:tcW w:type="dxa" w:w="10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1000</w:t>
                  </w:r>
                </w:p>
              </w:tc>
            </w:tr>
            <w:tr>
              <w:tc>
                <w:tcPr>
                  <w:tcW w:type="dxa" w:w="2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35</w:t>
                  </w:r>
                </w:p>
              </w:tc>
              <w:tc>
                <w:tcPr>
                  <w:tcW w:type="dxa" w:w="1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总硬度</w:t>
                  </w:r>
                  <w:r>
                    <w:rPr>
                      <w:rFonts w:ascii="仿宋_GB2312" w:hAnsi="仿宋_GB2312" w:cs="仿宋_GB2312" w:eastAsia="仿宋_GB2312"/>
                      <w:sz w:val="20"/>
                      <w:color w:val="000000"/>
                    </w:rPr>
                    <w:t>(以CaCO3计，mg/L）</w:t>
                  </w:r>
                </w:p>
              </w:tc>
              <w:tc>
                <w:tcPr>
                  <w:tcW w:type="dxa" w:w="10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450</w:t>
                  </w:r>
                </w:p>
              </w:tc>
            </w:tr>
            <w:tr>
              <w:tc>
                <w:tcPr>
                  <w:tcW w:type="dxa" w:w="2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36</w:t>
                  </w:r>
                </w:p>
              </w:tc>
              <w:tc>
                <w:tcPr>
                  <w:tcW w:type="dxa" w:w="1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高锰酸盐指数（以</w:t>
                  </w:r>
                  <w:r>
                    <w:rPr>
                      <w:rFonts w:ascii="仿宋_GB2312" w:hAnsi="仿宋_GB2312" w:cs="仿宋_GB2312" w:eastAsia="仿宋_GB2312"/>
                      <w:sz w:val="20"/>
                      <w:color w:val="000000"/>
                    </w:rPr>
                    <w:t>O</w:t>
                  </w:r>
                  <w:r>
                    <w:rPr>
                      <w:rFonts w:ascii="仿宋_GB2312" w:hAnsi="仿宋_GB2312" w:cs="仿宋_GB2312" w:eastAsia="仿宋_GB2312"/>
                      <w:sz w:val="20"/>
                      <w:color w:val="000000"/>
                      <w:vertAlign w:val="subscript"/>
                    </w:rPr>
                    <w:t>2</w:t>
                  </w:r>
                  <w:r>
                    <w:rPr>
                      <w:rFonts w:ascii="仿宋_GB2312" w:hAnsi="仿宋_GB2312" w:cs="仿宋_GB2312" w:eastAsia="仿宋_GB2312"/>
                      <w:sz w:val="20"/>
                      <w:color w:val="000000"/>
                    </w:rPr>
                    <w:t>计，</w:t>
                  </w:r>
                  <w:r>
                    <w:rPr>
                      <w:rFonts w:ascii="仿宋_GB2312" w:hAnsi="仿宋_GB2312" w:cs="仿宋_GB2312" w:eastAsia="仿宋_GB2312"/>
                      <w:sz w:val="20"/>
                      <w:color w:val="000000"/>
                    </w:rPr>
                    <w:t>mg/L）</w:t>
                  </w:r>
                </w:p>
              </w:tc>
              <w:tc>
                <w:tcPr>
                  <w:tcW w:type="dxa" w:w="10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3</w:t>
                  </w:r>
                </w:p>
              </w:tc>
            </w:tr>
            <w:tr>
              <w:tc>
                <w:tcPr>
                  <w:tcW w:type="dxa" w:w="2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37</w:t>
                  </w:r>
                </w:p>
              </w:tc>
              <w:tc>
                <w:tcPr>
                  <w:tcW w:type="dxa" w:w="1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氨（以</w:t>
                  </w:r>
                  <w:r>
                    <w:rPr>
                      <w:rFonts w:ascii="仿宋_GB2312" w:hAnsi="仿宋_GB2312" w:cs="仿宋_GB2312" w:eastAsia="仿宋_GB2312"/>
                      <w:sz w:val="20"/>
                      <w:color w:val="000000"/>
                    </w:rPr>
                    <w:t>N计，mg/L）</w:t>
                  </w:r>
                </w:p>
              </w:tc>
              <w:tc>
                <w:tcPr>
                  <w:tcW w:type="dxa" w:w="10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0.5</w:t>
                  </w:r>
                </w:p>
              </w:tc>
            </w:tr>
            <w:tr>
              <w:tc>
                <w:tcPr>
                  <w:tcW w:type="dxa" w:w="2553"/>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b/>
                      <w:color w:val="000000"/>
                    </w:rPr>
                    <w:t>四、放射性指标</w:t>
                  </w:r>
                </w:p>
              </w:tc>
            </w:tr>
            <w:tr>
              <w:tc>
                <w:tcPr>
                  <w:tcW w:type="dxa" w:w="2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38</w:t>
                  </w:r>
                </w:p>
              </w:tc>
              <w:tc>
                <w:tcPr>
                  <w:tcW w:type="dxa" w:w="127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总</w:t>
                  </w:r>
                  <w:r>
                    <w:rPr>
                      <w:rFonts w:ascii="仿宋_GB2312" w:hAnsi="仿宋_GB2312" w:cs="仿宋_GB2312" w:eastAsia="仿宋_GB2312"/>
                      <w:sz w:val="20"/>
                      <w:color w:val="000000"/>
                    </w:rPr>
                    <w:t>α放射性（Bq/L）</w:t>
                  </w:r>
                </w:p>
              </w:tc>
              <w:tc>
                <w:tcPr>
                  <w:tcW w:type="dxa" w:w="106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0.5（指导值）</w:t>
                  </w:r>
                </w:p>
              </w:tc>
            </w:tr>
            <w:tr>
              <w:tc>
                <w:tcPr>
                  <w:tcW w:type="dxa" w:w="2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39</w:t>
                  </w:r>
                </w:p>
              </w:tc>
              <w:tc>
                <w:tcPr>
                  <w:tcW w:type="dxa" w:w="1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总</w:t>
                  </w:r>
                  <w:r>
                    <w:rPr>
                      <w:rFonts w:ascii="仿宋_GB2312" w:hAnsi="仿宋_GB2312" w:cs="仿宋_GB2312" w:eastAsia="仿宋_GB2312"/>
                      <w:sz w:val="20"/>
                      <w:color w:val="000000"/>
                    </w:rPr>
                    <w:t>β放射性（Bq/L）</w:t>
                  </w:r>
                </w:p>
              </w:tc>
              <w:tc>
                <w:tcPr>
                  <w:tcW w:type="dxa" w:w="10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1（指导值）</w:t>
                  </w:r>
                </w:p>
              </w:tc>
            </w:tr>
          </w:tbl>
          <w:p>
            <w:pPr>
              <w:pStyle w:val="null3"/>
              <w:ind w:firstLine="400"/>
              <w:jc w:val="center"/>
            </w:pPr>
            <w:r>
              <w:rPr>
                <w:rFonts w:ascii="仿宋_GB2312" w:hAnsi="仿宋_GB2312" w:cs="仿宋_GB2312" w:eastAsia="仿宋_GB2312"/>
                <w:b/>
              </w:rPr>
              <w:t>表</w:t>
            </w:r>
            <w:r>
              <w:rPr>
                <w:rFonts w:ascii="仿宋_GB2312" w:hAnsi="仿宋_GB2312" w:cs="仿宋_GB2312" w:eastAsia="仿宋_GB2312"/>
                <w:b/>
              </w:rPr>
              <w:t>5</w:t>
            </w:r>
            <w:r>
              <w:rPr>
                <w:rFonts w:ascii="仿宋_GB2312" w:hAnsi="仿宋_GB2312" w:cs="仿宋_GB2312" w:eastAsia="仿宋_GB2312"/>
                <w:b/>
              </w:rPr>
              <w:t xml:space="preserve">  </w:t>
            </w:r>
            <w:r>
              <w:rPr>
                <w:rFonts w:ascii="仿宋_GB2312" w:hAnsi="仿宋_GB2312" w:cs="仿宋_GB2312" w:eastAsia="仿宋_GB2312"/>
                <w:b/>
              </w:rPr>
              <w:t>饮用水中消毒剂常规指标及要求</w:t>
            </w:r>
          </w:p>
          <w:tbl>
            <w:tblPr>
              <w:tblBorders>
                <w:top w:val="none" w:color="000000" w:sz="4"/>
                <w:left w:val="none" w:color="000000" w:sz="4"/>
                <w:bottom w:val="none" w:color="000000" w:sz="4"/>
                <w:right w:val="none" w:color="000000" w:sz="4"/>
                <w:insideH w:val="none"/>
                <w:insideV w:val="none"/>
              </w:tblBorders>
            </w:tblPr>
            <w:tblGrid>
              <w:gridCol w:w="196"/>
              <w:gridCol w:w="372"/>
              <w:gridCol w:w="490"/>
              <w:gridCol w:w="490"/>
              <w:gridCol w:w="490"/>
              <w:gridCol w:w="490"/>
            </w:tblGrid>
            <w:tr>
              <w:tc>
                <w:tcPr>
                  <w:tcW w:type="dxa" w:w="19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color w:val="000000"/>
                    </w:rPr>
                    <w:t>序号</w:t>
                  </w:r>
                </w:p>
              </w:tc>
              <w:tc>
                <w:tcPr>
                  <w:tcW w:type="dxa" w:w="37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color w:val="000000"/>
                    </w:rPr>
                    <w:t>指标</w:t>
                  </w:r>
                </w:p>
              </w:tc>
              <w:tc>
                <w:tcPr>
                  <w:tcW w:type="dxa" w:w="49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color w:val="000000"/>
                    </w:rPr>
                    <w:t>与水接触时间</w:t>
                  </w:r>
                </w:p>
                <w:p>
                  <w:pPr>
                    <w:pStyle w:val="null3"/>
                    <w:jc w:val="center"/>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min）</w:t>
                  </w:r>
                </w:p>
              </w:tc>
              <w:tc>
                <w:tcPr>
                  <w:tcW w:type="dxa" w:w="49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color w:val="000000"/>
                    </w:rPr>
                    <w:t>出厂水中限值</w:t>
                  </w:r>
                </w:p>
                <w:p>
                  <w:pPr>
                    <w:pStyle w:val="null3"/>
                    <w:jc w:val="center"/>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mg/L）</w:t>
                  </w:r>
                </w:p>
              </w:tc>
              <w:tc>
                <w:tcPr>
                  <w:tcW w:type="dxa" w:w="49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color w:val="000000"/>
                    </w:rPr>
                    <w:t>出厂水中余量</w:t>
                  </w:r>
                </w:p>
                <w:p>
                  <w:pPr>
                    <w:pStyle w:val="null3"/>
                    <w:jc w:val="center"/>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mg/L）</w:t>
                  </w:r>
                </w:p>
              </w:tc>
              <w:tc>
                <w:tcPr>
                  <w:tcW w:type="dxa" w:w="49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b/>
                      <w:color w:val="000000"/>
                    </w:rPr>
                    <w:t>末梢水中余量</w:t>
                  </w:r>
                </w:p>
                <w:p>
                  <w:pPr>
                    <w:pStyle w:val="null3"/>
                    <w:jc w:val="center"/>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mg/L）</w:t>
                  </w:r>
                </w:p>
              </w:tc>
            </w:tr>
            <w:tr>
              <w:tc>
                <w:tcPr>
                  <w:tcW w:type="dxa" w:w="1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w:t>
                  </w:r>
                </w:p>
              </w:tc>
              <w:tc>
                <w:tcPr>
                  <w:tcW w:type="dxa" w:w="3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游离氯</w:t>
                  </w:r>
                </w:p>
              </w:tc>
              <w:tc>
                <w:tcPr>
                  <w:tcW w:type="dxa" w:w="4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≥30</w:t>
                  </w:r>
                </w:p>
              </w:tc>
              <w:tc>
                <w:tcPr>
                  <w:tcW w:type="dxa" w:w="4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≤2</w:t>
                  </w:r>
                </w:p>
              </w:tc>
              <w:tc>
                <w:tcPr>
                  <w:tcW w:type="dxa" w:w="4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≥0.3</w:t>
                  </w:r>
                </w:p>
              </w:tc>
              <w:tc>
                <w:tcPr>
                  <w:tcW w:type="dxa" w:w="4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≥0.05</w:t>
                  </w:r>
                </w:p>
              </w:tc>
            </w:tr>
            <w:tr>
              <w:tc>
                <w:tcPr>
                  <w:tcW w:type="dxa" w:w="1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2</w:t>
                  </w:r>
                </w:p>
              </w:tc>
              <w:tc>
                <w:tcPr>
                  <w:tcW w:type="dxa" w:w="3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总氯</w:t>
                  </w:r>
                </w:p>
              </w:tc>
              <w:tc>
                <w:tcPr>
                  <w:tcW w:type="dxa" w:w="4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≥120</w:t>
                  </w:r>
                </w:p>
              </w:tc>
              <w:tc>
                <w:tcPr>
                  <w:tcW w:type="dxa" w:w="4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≤3</w:t>
                  </w:r>
                </w:p>
              </w:tc>
              <w:tc>
                <w:tcPr>
                  <w:tcW w:type="dxa" w:w="4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≥0.5</w:t>
                  </w:r>
                </w:p>
              </w:tc>
              <w:tc>
                <w:tcPr>
                  <w:tcW w:type="dxa" w:w="4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≥0.05</w:t>
                  </w:r>
                </w:p>
              </w:tc>
            </w:tr>
            <w:tr>
              <w:tc>
                <w:tcPr>
                  <w:tcW w:type="dxa" w:w="1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3</w:t>
                  </w:r>
                </w:p>
              </w:tc>
              <w:tc>
                <w:tcPr>
                  <w:tcW w:type="dxa" w:w="3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臭氧</w:t>
                  </w:r>
                </w:p>
              </w:tc>
              <w:tc>
                <w:tcPr>
                  <w:tcW w:type="dxa" w:w="4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≥12</w:t>
                  </w:r>
                </w:p>
              </w:tc>
              <w:tc>
                <w:tcPr>
                  <w:tcW w:type="dxa" w:w="4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≤0.3</w:t>
                  </w:r>
                </w:p>
              </w:tc>
              <w:tc>
                <w:tcPr>
                  <w:tcW w:type="dxa" w:w="4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w:t>
                  </w:r>
                </w:p>
              </w:tc>
              <w:tc>
                <w:tcPr>
                  <w:tcW w:type="dxa" w:w="4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≥0.02</w:t>
                  </w:r>
                </w:p>
              </w:tc>
            </w:tr>
            <w:tr>
              <w:tc>
                <w:tcPr>
                  <w:tcW w:type="dxa" w:w="1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4</w:t>
                  </w:r>
                </w:p>
              </w:tc>
              <w:tc>
                <w:tcPr>
                  <w:tcW w:type="dxa" w:w="3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二氧化氯</w:t>
                  </w:r>
                </w:p>
              </w:tc>
              <w:tc>
                <w:tcPr>
                  <w:tcW w:type="dxa" w:w="4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≥30</w:t>
                  </w:r>
                </w:p>
              </w:tc>
              <w:tc>
                <w:tcPr>
                  <w:tcW w:type="dxa" w:w="4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≤0.8</w:t>
                  </w:r>
                </w:p>
              </w:tc>
              <w:tc>
                <w:tcPr>
                  <w:tcW w:type="dxa" w:w="4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≥0.1</w:t>
                  </w:r>
                </w:p>
              </w:tc>
              <w:tc>
                <w:tcPr>
                  <w:tcW w:type="dxa" w:w="4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≥0.02</w:t>
                  </w:r>
                </w:p>
              </w:tc>
            </w:tr>
          </w:tbl>
          <w:p>
            <w:pPr>
              <w:pStyle w:val="null3"/>
              <w:ind w:firstLine="400"/>
              <w:jc w:val="left"/>
            </w:pPr>
            <w:r>
              <w:rPr>
                <w:rFonts w:ascii="仿宋_GB2312" w:hAnsi="仿宋_GB2312" w:cs="仿宋_GB2312" w:eastAsia="仿宋_GB2312"/>
                <w:b/>
              </w:rPr>
              <w:t>注：常规检测和必检项检测时，需根据消毒方式分类选择消毒剂常规指标检测。如采用其他协同消毒方式，消毒剂限值及余量应满足相应要求。</w:t>
            </w:r>
          </w:p>
          <w:p>
            <w:pPr>
              <w:pStyle w:val="null3"/>
              <w:ind w:firstLine="400"/>
              <w:jc w:val="left"/>
            </w:pPr>
            <w:r>
              <w:rPr>
                <w:rFonts w:ascii="仿宋_GB2312" w:hAnsi="仿宋_GB2312" w:cs="仿宋_GB2312" w:eastAsia="仿宋_GB2312"/>
              </w:rPr>
              <w:t>根据检测结果，形成城市供水专项水质台账；对水质不符合国家标准的点位，及时反馈属地管理部门、卫生部门和主体管理单位，协助进行成因研判，监督整改；上报市水行政主管部门研判处理</w:t>
            </w:r>
            <w:r>
              <w:rPr>
                <w:rFonts w:ascii="仿宋_GB2312" w:hAnsi="仿宋_GB2312" w:cs="仿宋_GB2312" w:eastAsia="仿宋_GB2312"/>
              </w:rPr>
              <w:t>。</w:t>
            </w:r>
          </w:p>
          <w:p>
            <w:pPr>
              <w:pStyle w:val="null3"/>
              <w:ind w:firstLine="400"/>
              <w:jc w:val="left"/>
            </w:pPr>
            <w:r>
              <w:rPr>
                <w:rFonts w:ascii="仿宋_GB2312" w:hAnsi="仿宋_GB2312" w:cs="仿宋_GB2312" w:eastAsia="仿宋_GB2312"/>
                <w:b/>
              </w:rPr>
              <w:t>（</w:t>
            </w:r>
            <w:r>
              <w:rPr>
                <w:rFonts w:ascii="仿宋_GB2312" w:hAnsi="仿宋_GB2312" w:cs="仿宋_GB2312" w:eastAsia="仿宋_GB2312"/>
                <w:b/>
              </w:rPr>
              <w:t>三</w:t>
            </w:r>
            <w:r>
              <w:rPr>
                <w:rFonts w:ascii="仿宋_GB2312" w:hAnsi="仿宋_GB2312" w:cs="仿宋_GB2312" w:eastAsia="仿宋_GB2312"/>
                <w:b/>
              </w:rPr>
              <w:t>）</w:t>
            </w:r>
            <w:r>
              <w:rPr>
                <w:rFonts w:ascii="仿宋_GB2312" w:hAnsi="仿宋_GB2312" w:cs="仿宋_GB2312" w:eastAsia="仿宋_GB2312"/>
                <w:b/>
              </w:rPr>
              <w:t>供水管理技术推广服务</w:t>
            </w:r>
          </w:p>
          <w:p>
            <w:pPr>
              <w:pStyle w:val="null3"/>
              <w:ind w:firstLine="400"/>
              <w:jc w:val="left"/>
            </w:pPr>
            <w:r>
              <w:rPr>
                <w:rFonts w:ascii="仿宋_GB2312" w:hAnsi="仿宋_GB2312" w:cs="仿宋_GB2312" w:eastAsia="仿宋_GB2312"/>
              </w:rPr>
              <w:t>为深化供水行业地方标准落地见效，强化对供水企业、设施建设及管理单位的业务指导，</w:t>
            </w:r>
            <w:r>
              <w:rPr>
                <w:rFonts w:ascii="仿宋_GB2312" w:hAnsi="仿宋_GB2312" w:cs="仿宋_GB2312" w:eastAsia="仿宋_GB2312"/>
              </w:rPr>
              <w:t>采购人</w:t>
            </w:r>
            <w:r>
              <w:rPr>
                <w:rFonts w:ascii="仿宋_GB2312" w:hAnsi="仿宋_GB2312" w:cs="仿宋_GB2312" w:eastAsia="仿宋_GB2312"/>
              </w:rPr>
              <w:t>拟通过委托第三方专业机构开展系统性培训，提升从业人员专业能力与标准适配性，推动城市供水行业规范化管理与高质量发展，全面提升西安市供水行业的安全保障能力和服务质量，为构建现代化供水体系奠定坚实的人才基础。</w:t>
            </w:r>
          </w:p>
          <w:p>
            <w:pPr>
              <w:pStyle w:val="null3"/>
              <w:ind w:firstLine="400"/>
              <w:jc w:val="left"/>
            </w:pPr>
            <w:r>
              <w:rPr>
                <w:rFonts w:ascii="仿宋_GB2312" w:hAnsi="仿宋_GB2312" w:cs="仿宋_GB2312" w:eastAsia="仿宋_GB2312"/>
              </w:rPr>
              <w:t>1、</w:t>
            </w:r>
            <w:r>
              <w:rPr>
                <w:rFonts w:ascii="仿宋_GB2312" w:hAnsi="仿宋_GB2312" w:cs="仿宋_GB2312" w:eastAsia="仿宋_GB2312"/>
              </w:rPr>
              <w:t>方案制定与审批</w:t>
            </w:r>
          </w:p>
          <w:p>
            <w:pPr>
              <w:pStyle w:val="null3"/>
              <w:ind w:firstLine="400"/>
              <w:jc w:val="left"/>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方案编制</w:t>
            </w:r>
          </w:p>
          <w:p>
            <w:pPr>
              <w:pStyle w:val="null3"/>
              <w:ind w:firstLine="400"/>
              <w:jc w:val="left"/>
            </w:pPr>
            <w:r>
              <w:rPr>
                <w:rFonts w:ascii="仿宋_GB2312" w:hAnsi="仿宋_GB2312" w:cs="仿宋_GB2312" w:eastAsia="仿宋_GB2312"/>
              </w:rPr>
              <w:t>第三方服务单位牵头制定完整培训方案，明确培训目标、实施流程、核心内容、专家授课安排及预期成效，方案需涵盖政策解读、案例分析、实操指导等三大模块。</w:t>
            </w:r>
          </w:p>
          <w:p>
            <w:pPr>
              <w:pStyle w:val="null3"/>
              <w:ind w:firstLine="400"/>
              <w:jc w:val="left"/>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审核发布</w:t>
            </w:r>
          </w:p>
          <w:p>
            <w:pPr>
              <w:pStyle w:val="null3"/>
              <w:ind w:firstLine="400"/>
              <w:jc w:val="left"/>
            </w:pPr>
            <w:r>
              <w:rPr>
                <w:rFonts w:ascii="仿宋_GB2312" w:hAnsi="仿宋_GB2312" w:cs="仿宋_GB2312" w:eastAsia="仿宋_GB2312"/>
              </w:rPr>
              <w:t>培训方案报市供水管理中心审核通过后，由市供水管理中心统一发布培训通知，同步协调参训单位报名、宣讲场地及时间安排，确保各方联动顺畅。</w:t>
            </w:r>
          </w:p>
          <w:p>
            <w:pPr>
              <w:pStyle w:val="null3"/>
              <w:ind w:firstLine="400"/>
              <w:jc w:val="left"/>
            </w:pPr>
            <w:r>
              <w:rPr>
                <w:rFonts w:ascii="仿宋_GB2312" w:hAnsi="仿宋_GB2312" w:cs="仿宋_GB2312" w:eastAsia="仿宋_GB2312"/>
              </w:rPr>
              <w:t>2、</w:t>
            </w:r>
            <w:r>
              <w:rPr>
                <w:rFonts w:ascii="仿宋_GB2312" w:hAnsi="仿宋_GB2312" w:cs="仿宋_GB2312" w:eastAsia="仿宋_GB2312"/>
              </w:rPr>
              <w:t>组织实施流程</w:t>
            </w:r>
          </w:p>
          <w:p>
            <w:pPr>
              <w:pStyle w:val="null3"/>
              <w:ind w:firstLine="400"/>
              <w:jc w:val="left"/>
            </w:pPr>
            <w:r>
              <w:rPr>
                <w:rFonts w:ascii="仿宋_GB2312" w:hAnsi="仿宋_GB2312" w:cs="仿宋_GB2312" w:eastAsia="仿宋_GB2312"/>
              </w:rPr>
              <w:t>第一阶段：筹备阶段</w:t>
            </w:r>
          </w:p>
          <w:p>
            <w:pPr>
              <w:pStyle w:val="null3"/>
              <w:ind w:firstLine="400"/>
              <w:jc w:val="left"/>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目标与方案细化</w:t>
            </w:r>
          </w:p>
          <w:p>
            <w:pPr>
              <w:pStyle w:val="null3"/>
              <w:ind w:firstLine="400"/>
              <w:jc w:val="left"/>
            </w:pPr>
            <w:r>
              <w:rPr>
                <w:rFonts w:ascii="仿宋_GB2312" w:hAnsi="仿宋_GB2312" w:cs="仿宋_GB2312" w:eastAsia="仿宋_GB2312"/>
              </w:rPr>
              <w:t>聚焦标准宣贯与技术提升，制定含具体议程、内容框架、时间节点及专家授课计划的详细执行方案，明确各环节责任主体。同时，细化专家的</w:t>
            </w:r>
            <w:r>
              <w:rPr>
                <w:rFonts w:ascii="仿宋_GB2312" w:hAnsi="仿宋_GB2312" w:cs="仿宋_GB2312" w:eastAsia="仿宋_GB2312"/>
              </w:rPr>
              <w:t>选</w:t>
            </w:r>
            <w:r>
              <w:rPr>
                <w:rFonts w:ascii="仿宋_GB2312" w:hAnsi="仿宋_GB2312" w:cs="仿宋_GB2312" w:eastAsia="仿宋_GB2312"/>
              </w:rPr>
              <w:t>用、会商等工作机制，确保能高效发挥专家作用。</w:t>
            </w:r>
          </w:p>
          <w:p>
            <w:pPr>
              <w:pStyle w:val="null3"/>
              <w:ind w:firstLine="400"/>
              <w:jc w:val="left"/>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场地与物资保障</w:t>
            </w:r>
          </w:p>
          <w:p>
            <w:pPr>
              <w:pStyle w:val="null3"/>
              <w:ind w:firstLine="400"/>
              <w:jc w:val="left"/>
            </w:pPr>
            <w:r>
              <w:rPr>
                <w:rFonts w:ascii="仿宋_GB2312" w:hAnsi="仿宋_GB2312" w:cs="仿宋_GB2312" w:eastAsia="仿宋_GB2312"/>
              </w:rPr>
              <w:t>按《西安市财政局关于加强市级机关会议经费管理的通知》四类会议标准，预订中小型会议室或培训中心作为场地，签订合同明确设备配置（高清投影仪、音响系统、无线麦克风等）、场地布置及费用标准；筹备培训讲义、签到表、培训手册、笔及瓶装饮用水等物资，提前完成设备调试，确保运行正常。</w:t>
            </w:r>
          </w:p>
          <w:p>
            <w:pPr>
              <w:pStyle w:val="null3"/>
              <w:ind w:firstLine="400"/>
              <w:jc w:val="left"/>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w:t>
            </w:r>
            <w:r>
              <w:rPr>
                <w:rFonts w:ascii="仿宋_GB2312" w:hAnsi="仿宋_GB2312" w:cs="仿宋_GB2312" w:eastAsia="仿宋_GB2312"/>
              </w:rPr>
              <w:t>人员与专家协调</w:t>
            </w:r>
          </w:p>
          <w:p>
            <w:pPr>
              <w:pStyle w:val="null3"/>
              <w:ind w:firstLine="400"/>
              <w:jc w:val="left"/>
            </w:pPr>
            <w:r>
              <w:rPr>
                <w:rFonts w:ascii="仿宋_GB2312" w:hAnsi="仿宋_GB2312" w:cs="仿宋_GB2312" w:eastAsia="仿宋_GB2312"/>
              </w:rPr>
              <w:t>确定参训人员范围：涵盖供水行政管理人员、物业管理人员、供水行业建设设计及运管人员等；宣讲对象包括居民、企事业单位及用水大户。</w:t>
            </w:r>
          </w:p>
          <w:p>
            <w:pPr>
              <w:pStyle w:val="null3"/>
              <w:ind w:firstLine="400"/>
              <w:jc w:val="left"/>
            </w:pPr>
            <w:r>
              <w:rPr>
                <w:rFonts w:ascii="仿宋_GB2312" w:hAnsi="仿宋_GB2312" w:cs="仿宋_GB2312" w:eastAsia="仿宋_GB2312"/>
              </w:rPr>
              <w:t>通过内部邮件、公告栏等渠道发布培训通知，明确参训要求及报名方式。</w:t>
            </w:r>
          </w:p>
          <w:p>
            <w:pPr>
              <w:pStyle w:val="null3"/>
              <w:ind w:firstLine="400"/>
              <w:jc w:val="left"/>
            </w:pPr>
            <w:r>
              <w:rPr>
                <w:rFonts w:ascii="仿宋_GB2312" w:hAnsi="仿宋_GB2312" w:cs="仿宋_GB2312" w:eastAsia="仿宋_GB2312"/>
              </w:rPr>
              <w:t>筛选授课专家，明确授课内容、时间及待遇标准，提前沟通课件需求。</w:t>
            </w:r>
            <w:r>
              <w:rPr>
                <w:rFonts w:ascii="仿宋_GB2312" w:hAnsi="仿宋_GB2312" w:cs="仿宋_GB2312" w:eastAsia="仿宋_GB2312"/>
              </w:rPr>
              <w:t>所选用的</w:t>
            </w:r>
            <w:r>
              <w:rPr>
                <w:rFonts w:ascii="仿宋_GB2312" w:hAnsi="仿宋_GB2312" w:cs="仿宋_GB2312" w:eastAsia="仿宋_GB2312"/>
              </w:rPr>
              <w:t>专家严格遵循资格要求。</w:t>
            </w:r>
          </w:p>
          <w:p>
            <w:pPr>
              <w:pStyle w:val="null3"/>
              <w:ind w:firstLine="400"/>
              <w:jc w:val="left"/>
            </w:pPr>
            <w:r>
              <w:rPr>
                <w:rFonts w:ascii="仿宋_GB2312" w:hAnsi="仿宋_GB2312" w:cs="仿宋_GB2312" w:eastAsia="仿宋_GB2312"/>
              </w:rPr>
              <w:t>第二阶段：实施阶段</w:t>
            </w:r>
          </w:p>
          <w:p>
            <w:pPr>
              <w:pStyle w:val="null3"/>
              <w:ind w:firstLine="400"/>
              <w:jc w:val="left"/>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签到与开场</w:t>
            </w:r>
          </w:p>
          <w:p>
            <w:pPr>
              <w:pStyle w:val="null3"/>
              <w:ind w:firstLine="400"/>
              <w:jc w:val="left"/>
            </w:pPr>
            <w:r>
              <w:rPr>
                <w:rFonts w:ascii="仿宋_GB2312" w:hAnsi="仿宋_GB2312" w:cs="仿宋_GB2312" w:eastAsia="仿宋_GB2312"/>
              </w:rPr>
              <w:t>培训当日设置签到台，工作人员负责纸质签到登记，发放培训手册、资料及瓶装饮用水；主持人开场介绍培训主题、议程、授课专家及纪律要求，营造规范有序的培训氛围。</w:t>
            </w:r>
          </w:p>
          <w:p>
            <w:pPr>
              <w:pStyle w:val="null3"/>
              <w:ind w:firstLine="400"/>
              <w:jc w:val="left"/>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培训内容及方式</w:t>
            </w:r>
          </w:p>
          <w:p>
            <w:pPr>
              <w:pStyle w:val="null3"/>
              <w:ind w:firstLine="400"/>
              <w:jc w:val="left"/>
            </w:pPr>
            <w:r>
              <w:rPr>
                <w:rFonts w:ascii="仿宋_GB2312" w:hAnsi="仿宋_GB2312" w:cs="仿宋_GB2312" w:eastAsia="仿宋_GB2312"/>
              </w:rPr>
              <w:t>专家按计划授课，上午聚焦政策理论解读与行业标准讲解，下午开展案例研讨、实操演示等互动环节，强化理论与实践结合。</w:t>
            </w:r>
          </w:p>
          <w:p>
            <w:pPr>
              <w:pStyle w:val="null3"/>
              <w:ind w:firstLine="400"/>
              <w:jc w:val="left"/>
            </w:pPr>
            <w:r>
              <w:rPr>
                <w:rFonts w:ascii="仿宋_GB2312" w:hAnsi="仿宋_GB2312" w:cs="仿宋_GB2312" w:eastAsia="仿宋_GB2312"/>
              </w:rPr>
              <w:t>针对居民、企事业单位等宣讲对象，采用政策解读、知识普及等通俗易懂的方式开展宣讲，确保受众理解到位。</w:t>
            </w:r>
          </w:p>
          <w:p>
            <w:pPr>
              <w:pStyle w:val="null3"/>
              <w:ind w:firstLine="400"/>
              <w:jc w:val="left"/>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w:t>
            </w:r>
            <w:r>
              <w:rPr>
                <w:rFonts w:ascii="仿宋_GB2312" w:hAnsi="仿宋_GB2312" w:cs="仿宋_GB2312" w:eastAsia="仿宋_GB2312"/>
              </w:rPr>
              <w:t>答疑</w:t>
            </w:r>
          </w:p>
          <w:p>
            <w:pPr>
              <w:pStyle w:val="null3"/>
              <w:ind w:firstLine="400"/>
              <w:jc w:val="left"/>
            </w:pPr>
            <w:r>
              <w:rPr>
                <w:rFonts w:ascii="仿宋_GB2312" w:hAnsi="仿宋_GB2312" w:cs="仿宋_GB2312" w:eastAsia="仿宋_GB2312"/>
              </w:rPr>
              <w:t>培训尾声安排专家答疑环节，解决参训人员疑问。培训结束后，工作人员引导有序离场，并同步检查场地设备</w:t>
            </w:r>
            <w:r>
              <w:rPr>
                <w:rFonts w:ascii="仿宋_GB2312" w:hAnsi="仿宋_GB2312" w:cs="仿宋_GB2312" w:eastAsia="仿宋_GB2312"/>
              </w:rPr>
              <w:t>。</w:t>
            </w:r>
          </w:p>
          <w:p>
            <w:pPr>
              <w:pStyle w:val="null3"/>
              <w:ind w:firstLine="400"/>
              <w:jc w:val="left"/>
            </w:pP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w:t>
            </w:r>
            <w:r>
              <w:rPr>
                <w:rFonts w:ascii="仿宋_GB2312" w:hAnsi="仿宋_GB2312" w:cs="仿宋_GB2312" w:eastAsia="仿宋_GB2312"/>
              </w:rPr>
              <w:t>资料归档与评估</w:t>
            </w:r>
          </w:p>
          <w:p>
            <w:pPr>
              <w:pStyle w:val="null3"/>
              <w:ind w:firstLine="400"/>
              <w:jc w:val="left"/>
            </w:pPr>
            <w:r>
              <w:rPr>
                <w:rFonts w:ascii="仿宋_GB2312" w:hAnsi="仿宋_GB2312" w:cs="仿宋_GB2312" w:eastAsia="仿宋_GB2312"/>
              </w:rPr>
              <w:t>收集签到表、培训记录、影音资料，由第三方单位整理后移交市供水管理中心存档；通过问卷调查、现场测试结果分析、学员代表反馈会等方式开展效果评估，梳理意见建议并撰写总结报告，为后续培训优化提供依据。同时</w:t>
            </w:r>
            <w:r>
              <w:rPr>
                <w:rFonts w:ascii="仿宋_GB2312" w:hAnsi="仿宋_GB2312" w:cs="仿宋_GB2312" w:eastAsia="仿宋_GB2312"/>
              </w:rPr>
              <w:t>，</w:t>
            </w:r>
            <w:r>
              <w:rPr>
                <w:rFonts w:ascii="仿宋_GB2312" w:hAnsi="仿宋_GB2312" w:cs="仿宋_GB2312" w:eastAsia="仿宋_GB2312"/>
              </w:rPr>
              <w:t>对专家参与各项工作的情况进行记录和评估，作为后续选用专家的重要参考。</w:t>
            </w:r>
          </w:p>
          <w:p>
            <w:pPr>
              <w:pStyle w:val="null3"/>
              <w:ind w:firstLine="400"/>
              <w:jc w:val="left"/>
            </w:pPr>
            <w:r>
              <w:rPr>
                <w:rFonts w:ascii="仿宋_GB2312" w:hAnsi="仿宋_GB2312" w:cs="仿宋_GB2312" w:eastAsia="仿宋_GB2312"/>
              </w:rPr>
              <w:t>3、服务质量</w:t>
            </w:r>
            <w:r>
              <w:rPr>
                <w:rFonts w:ascii="仿宋_GB2312" w:hAnsi="仿宋_GB2312" w:cs="仿宋_GB2312" w:eastAsia="仿宋_GB2312"/>
              </w:rPr>
              <w:t>保障</w:t>
            </w:r>
          </w:p>
          <w:p>
            <w:pPr>
              <w:pStyle w:val="null3"/>
              <w:ind w:firstLine="400"/>
              <w:jc w:val="left"/>
            </w:pPr>
            <w:r>
              <w:rPr>
                <w:rFonts w:ascii="仿宋_GB2312" w:hAnsi="仿宋_GB2312" w:cs="仿宋_GB2312" w:eastAsia="仿宋_GB2312"/>
              </w:rPr>
              <w:t>第</w:t>
            </w:r>
            <w:r>
              <w:rPr>
                <w:rFonts w:ascii="仿宋_GB2312" w:hAnsi="仿宋_GB2312" w:cs="仿宋_GB2312" w:eastAsia="仿宋_GB2312"/>
              </w:rPr>
              <w:t>一</w:t>
            </w:r>
            <w:r>
              <w:rPr>
                <w:rFonts w:ascii="仿宋_GB2312" w:hAnsi="仿宋_GB2312" w:cs="仿宋_GB2312" w:eastAsia="仿宋_GB2312"/>
              </w:rPr>
              <w:t>方面</w:t>
            </w:r>
            <w:r>
              <w:rPr>
                <w:rFonts w:ascii="仿宋_GB2312" w:hAnsi="仿宋_GB2312" w:cs="仿宋_GB2312" w:eastAsia="仿宋_GB2312"/>
              </w:rPr>
              <w:t>：专家邀请标准</w:t>
            </w:r>
          </w:p>
          <w:p>
            <w:pPr>
              <w:pStyle w:val="null3"/>
              <w:ind w:firstLine="400"/>
              <w:jc w:val="left"/>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资格要求</w:t>
            </w:r>
          </w:p>
          <w:p>
            <w:pPr>
              <w:pStyle w:val="null3"/>
              <w:ind w:firstLine="400"/>
              <w:jc w:val="left"/>
            </w:pPr>
            <w:r>
              <w:rPr>
                <w:rFonts w:ascii="仿宋_GB2312" w:hAnsi="仿宋_GB2312" w:cs="仿宋_GB2312" w:eastAsia="仿宋_GB2312"/>
              </w:rPr>
              <w:t>单次培训邀请的专家人数不少于</w:t>
            </w:r>
            <w:r>
              <w:rPr>
                <w:rFonts w:ascii="仿宋_GB2312" w:hAnsi="仿宋_GB2312" w:cs="仿宋_GB2312" w:eastAsia="仿宋_GB2312"/>
              </w:rPr>
              <w:t>4人，专家应具备供水行业相关专业高级及以上职称</w:t>
            </w:r>
            <w:r>
              <w:rPr>
                <w:rFonts w:ascii="仿宋_GB2312" w:hAnsi="仿宋_GB2312" w:cs="仿宋_GB2312" w:eastAsia="仿宋_GB2312"/>
              </w:rPr>
              <w:t>或</w:t>
            </w:r>
            <w:r>
              <w:rPr>
                <w:rFonts w:ascii="仿宋_GB2312" w:hAnsi="仿宋_GB2312" w:cs="仿宋_GB2312" w:eastAsia="仿宋_GB2312"/>
              </w:rPr>
              <w:t>拥有多年供水行业从业经验，并有一线技术或管理经验；优先选择参与过西安市供水项目规划、建设或运维的专家，确保</w:t>
            </w:r>
            <w:r>
              <w:rPr>
                <w:rFonts w:ascii="仿宋_GB2312" w:hAnsi="仿宋_GB2312" w:cs="仿宋_GB2312" w:eastAsia="仿宋_GB2312"/>
              </w:rPr>
              <w:t>培训</w:t>
            </w:r>
            <w:r>
              <w:rPr>
                <w:rFonts w:ascii="仿宋_GB2312" w:hAnsi="仿宋_GB2312" w:cs="仿宋_GB2312" w:eastAsia="仿宋_GB2312"/>
              </w:rPr>
              <w:t>内容贴合本地实际工况。</w:t>
            </w:r>
          </w:p>
          <w:p>
            <w:pPr>
              <w:pStyle w:val="null3"/>
              <w:ind w:firstLine="400"/>
              <w:jc w:val="left"/>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授课内容</w:t>
            </w:r>
          </w:p>
          <w:p>
            <w:pPr>
              <w:pStyle w:val="null3"/>
              <w:ind w:firstLine="400"/>
              <w:jc w:val="left"/>
            </w:pPr>
            <w:r>
              <w:rPr>
                <w:rFonts w:ascii="仿宋_GB2312" w:hAnsi="仿宋_GB2312" w:cs="仿宋_GB2312" w:eastAsia="仿宋_GB2312"/>
              </w:rPr>
              <w:t>专家需提前提交标准化课件，内容涵盖政策解读、近</w:t>
            </w:r>
            <w:r>
              <w:rPr>
                <w:rFonts w:ascii="仿宋_GB2312" w:hAnsi="仿宋_GB2312" w:cs="仿宋_GB2312" w:eastAsia="仿宋_GB2312"/>
              </w:rPr>
              <w:t>3年国内典型供水案例分析及实操要点三大模块；授课过程中设置互动答疑环节，增强培训针对性与实效性。</w:t>
            </w:r>
          </w:p>
          <w:p>
            <w:pPr>
              <w:pStyle w:val="null3"/>
              <w:ind w:firstLine="400"/>
              <w:jc w:val="left"/>
            </w:pPr>
            <w:r>
              <w:rPr>
                <w:rFonts w:ascii="仿宋_GB2312" w:hAnsi="仿宋_GB2312" w:cs="仿宋_GB2312" w:eastAsia="仿宋_GB2312"/>
              </w:rPr>
              <w:t>第二方面</w:t>
            </w:r>
            <w:r>
              <w:rPr>
                <w:rFonts w:ascii="仿宋_GB2312" w:hAnsi="仿宋_GB2312" w:cs="仿宋_GB2312" w:eastAsia="仿宋_GB2312"/>
              </w:rPr>
              <w:t>：受训人员管理</w:t>
            </w:r>
          </w:p>
          <w:p>
            <w:pPr>
              <w:pStyle w:val="null3"/>
              <w:ind w:firstLine="400"/>
              <w:jc w:val="left"/>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人员构成</w:t>
            </w:r>
          </w:p>
          <w:p>
            <w:pPr>
              <w:pStyle w:val="null3"/>
              <w:ind w:firstLine="400"/>
              <w:jc w:val="left"/>
            </w:pPr>
            <w:r>
              <w:rPr>
                <w:rFonts w:ascii="仿宋_GB2312" w:hAnsi="仿宋_GB2312" w:cs="仿宋_GB2312" w:eastAsia="仿宋_GB2312"/>
              </w:rPr>
              <w:t>按报名人数确定培训计划，按岗位、区域或单位均衡分配参训人员，确保覆盖全面。项目周期内计划培训</w:t>
            </w:r>
            <w:r>
              <w:rPr>
                <w:rFonts w:ascii="仿宋_GB2312" w:hAnsi="仿宋_GB2312" w:cs="仿宋_GB2312" w:eastAsia="仿宋_GB2312"/>
              </w:rPr>
              <w:t>2次，总人数不低于</w:t>
            </w:r>
            <w:r>
              <w:rPr>
                <w:rFonts w:ascii="仿宋_GB2312" w:hAnsi="仿宋_GB2312" w:cs="仿宋_GB2312" w:eastAsia="仿宋_GB2312"/>
              </w:rPr>
              <w:t>4</w:t>
            </w:r>
            <w:r>
              <w:rPr>
                <w:rFonts w:ascii="仿宋_GB2312" w:hAnsi="仿宋_GB2312" w:cs="仿宋_GB2312" w:eastAsia="仿宋_GB2312"/>
              </w:rPr>
              <w:t>00人。</w:t>
            </w:r>
          </w:p>
          <w:p>
            <w:pPr>
              <w:pStyle w:val="null3"/>
              <w:ind w:firstLine="400"/>
              <w:jc w:val="left"/>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参训要求</w:t>
            </w:r>
          </w:p>
          <w:p>
            <w:pPr>
              <w:pStyle w:val="null3"/>
              <w:ind w:firstLine="400"/>
              <w:jc w:val="left"/>
            </w:pPr>
            <w:r>
              <w:rPr>
                <w:rFonts w:ascii="仿宋_GB2312" w:hAnsi="仿宋_GB2312" w:cs="仿宋_GB2312" w:eastAsia="仿宋_GB2312"/>
              </w:rPr>
              <w:t>各单位提前确认参训人员名单，严格保障全程参训；考核未通过者需参加补训，直至达标。</w:t>
            </w:r>
          </w:p>
          <w:p>
            <w:pPr>
              <w:pStyle w:val="null3"/>
              <w:ind w:firstLine="400"/>
              <w:jc w:val="left"/>
            </w:pPr>
            <w:r>
              <w:rPr>
                <w:rFonts w:ascii="仿宋_GB2312" w:hAnsi="仿宋_GB2312" w:cs="仿宋_GB2312" w:eastAsia="仿宋_GB2312"/>
              </w:rPr>
              <w:t>第三方面</w:t>
            </w:r>
            <w:r>
              <w:rPr>
                <w:rFonts w:ascii="仿宋_GB2312" w:hAnsi="仿宋_GB2312" w:cs="仿宋_GB2312" w:eastAsia="仿宋_GB2312"/>
              </w:rPr>
              <w:t>：：场地选择标准</w:t>
            </w:r>
          </w:p>
          <w:p>
            <w:pPr>
              <w:pStyle w:val="null3"/>
              <w:ind w:firstLine="400"/>
              <w:jc w:val="left"/>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硬件配置</w:t>
            </w:r>
          </w:p>
          <w:p>
            <w:pPr>
              <w:pStyle w:val="null3"/>
              <w:ind w:firstLine="400"/>
              <w:jc w:val="left"/>
            </w:pPr>
            <w:r>
              <w:rPr>
                <w:rFonts w:ascii="仿宋_GB2312" w:hAnsi="仿宋_GB2312" w:cs="仿宋_GB2312" w:eastAsia="仿宋_GB2312"/>
              </w:rPr>
              <w:t>培训场地应符合四类会议场地要求，可容纳额定受训人数，且配备高清投影仪、音响系统、无线麦克风、白板等基础设备。</w:t>
            </w:r>
          </w:p>
          <w:p>
            <w:pPr>
              <w:pStyle w:val="null3"/>
              <w:ind w:firstLine="400"/>
              <w:jc w:val="left"/>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区位与环境</w:t>
            </w:r>
          </w:p>
          <w:p>
            <w:pPr>
              <w:pStyle w:val="null3"/>
              <w:ind w:firstLine="400"/>
              <w:jc w:val="left"/>
            </w:pPr>
            <w:r>
              <w:rPr>
                <w:rFonts w:ascii="仿宋_GB2312" w:hAnsi="仿宋_GB2312" w:cs="仿宋_GB2312" w:eastAsia="仿宋_GB2312"/>
              </w:rPr>
              <w:t>选址优先考虑交通枢纽地带或地铁沿线，周边具备充足的公共停车资源，便于各单位人员集散。</w:t>
            </w:r>
          </w:p>
          <w:p>
            <w:pPr>
              <w:pStyle w:val="null3"/>
              <w:ind w:firstLine="400"/>
              <w:jc w:val="left"/>
            </w:pPr>
            <w:r>
              <w:rPr>
                <w:rFonts w:ascii="仿宋_GB2312" w:hAnsi="仿宋_GB2312" w:cs="仿宋_GB2312" w:eastAsia="仿宋_GB2312"/>
              </w:rPr>
              <w:t>4、</w:t>
            </w:r>
            <w:r>
              <w:rPr>
                <w:rFonts w:ascii="仿宋_GB2312" w:hAnsi="仿宋_GB2312" w:cs="仿宋_GB2312" w:eastAsia="仿宋_GB2312"/>
              </w:rPr>
              <w:t>会议组织细则</w:t>
            </w:r>
          </w:p>
          <w:p>
            <w:pPr>
              <w:pStyle w:val="null3"/>
              <w:ind w:firstLine="400"/>
              <w:jc w:val="left"/>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时间安排</w:t>
            </w:r>
          </w:p>
          <w:p>
            <w:pPr>
              <w:pStyle w:val="null3"/>
              <w:ind w:firstLine="400"/>
              <w:jc w:val="left"/>
            </w:pPr>
            <w:r>
              <w:rPr>
                <w:rFonts w:ascii="仿宋_GB2312" w:hAnsi="仿宋_GB2312" w:cs="仿宋_GB2312" w:eastAsia="仿宋_GB2312"/>
              </w:rPr>
              <w:t>单次培训时长按</w:t>
            </w:r>
            <w:r>
              <w:rPr>
                <w:rFonts w:ascii="仿宋_GB2312" w:hAnsi="仿宋_GB2312" w:cs="仿宋_GB2312" w:eastAsia="仿宋_GB2312"/>
              </w:rPr>
              <w:t>1天</w:t>
            </w:r>
            <w:r>
              <w:rPr>
                <w:rFonts w:ascii="仿宋_GB2312" w:hAnsi="仿宋_GB2312" w:cs="仿宋_GB2312" w:eastAsia="仿宋_GB2312"/>
              </w:rPr>
              <w:t>考虑</w:t>
            </w:r>
            <w:r>
              <w:rPr>
                <w:rFonts w:ascii="仿宋_GB2312" w:hAnsi="仿宋_GB2312" w:cs="仿宋_GB2312" w:eastAsia="仿宋_GB2312"/>
              </w:rPr>
              <w:t>，所有培训日期需提前</w:t>
            </w:r>
            <w:r>
              <w:rPr>
                <w:rFonts w:ascii="仿宋_GB2312" w:hAnsi="仿宋_GB2312" w:cs="仿宋_GB2312" w:eastAsia="仿宋_GB2312"/>
              </w:rPr>
              <w:t>15天确定，并通知所有参训人员。</w:t>
            </w:r>
          </w:p>
          <w:p>
            <w:pPr>
              <w:pStyle w:val="null3"/>
              <w:ind w:firstLine="400"/>
              <w:jc w:val="left"/>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人员保障</w:t>
            </w:r>
          </w:p>
          <w:p>
            <w:pPr>
              <w:pStyle w:val="null3"/>
              <w:ind w:firstLine="400"/>
              <w:jc w:val="left"/>
            </w:pPr>
            <w:r>
              <w:rPr>
                <w:rFonts w:ascii="仿宋_GB2312" w:hAnsi="仿宋_GB2312" w:cs="仿宋_GB2312" w:eastAsia="仿宋_GB2312"/>
              </w:rPr>
              <w:t>第三方单位按规模配备工作人员，全程负责设备调试、资料分发、秩序维护及应急协调等工作，确保培训顺畅进行。</w:t>
            </w:r>
          </w:p>
          <w:p>
            <w:pPr>
              <w:pStyle w:val="null3"/>
              <w:ind w:firstLine="400"/>
              <w:jc w:val="left"/>
            </w:pPr>
            <w:r>
              <w:rPr>
                <w:rFonts w:ascii="仿宋_GB2312" w:hAnsi="仿宋_GB2312" w:cs="仿宋_GB2312" w:eastAsia="仿宋_GB2312"/>
                <w:b/>
              </w:rPr>
              <w:t>（四）</w:t>
            </w:r>
            <w:r>
              <w:rPr>
                <w:rFonts w:ascii="仿宋_GB2312" w:hAnsi="仿宋_GB2312" w:cs="仿宋_GB2312" w:eastAsia="仿宋_GB2312"/>
                <w:b/>
              </w:rPr>
              <w:t>数据平台技术</w:t>
            </w:r>
            <w:r>
              <w:rPr>
                <w:rFonts w:ascii="仿宋_GB2312" w:hAnsi="仿宋_GB2312" w:cs="仿宋_GB2312" w:eastAsia="仿宋_GB2312"/>
                <w:b/>
              </w:rPr>
              <w:t>服务</w:t>
            </w:r>
          </w:p>
          <w:p>
            <w:pPr>
              <w:pStyle w:val="null3"/>
              <w:ind w:firstLine="400"/>
              <w:jc w:val="left"/>
            </w:pPr>
            <w:r>
              <w:rPr>
                <w:rFonts w:ascii="仿宋_GB2312" w:hAnsi="仿宋_GB2312" w:cs="仿宋_GB2312" w:eastAsia="仿宋_GB2312"/>
              </w:rPr>
              <w:t>1、</w:t>
            </w:r>
            <w:r>
              <w:rPr>
                <w:rFonts w:ascii="仿宋_GB2312" w:hAnsi="仿宋_GB2312" w:cs="仿宋_GB2312" w:eastAsia="仿宋_GB2312"/>
              </w:rPr>
              <w:t>供水业务提醒服务</w:t>
            </w:r>
          </w:p>
          <w:p>
            <w:pPr>
              <w:pStyle w:val="null3"/>
              <w:ind w:firstLine="400"/>
              <w:jc w:val="left"/>
            </w:pPr>
            <w:r>
              <w:rPr>
                <w:rFonts w:ascii="仿宋_GB2312" w:hAnsi="仿宋_GB2312" w:cs="仿宋_GB2312" w:eastAsia="仿宋_GB2312"/>
              </w:rPr>
              <w:t>利用现有供水管理信息平台短信发送系统，向城市供水设施管理单位主管和从业人员、部分房地产建设公司项目主管、行业其他相关人员推送城市供水政策法规和标准规范要求、疫情防控要求、供水设施设备应急处置步骤等，指导其做好城市供水管理。定期更新人员白名单，发送不少于</w:t>
            </w:r>
            <w:r>
              <w:rPr>
                <w:rFonts w:ascii="仿宋_GB2312" w:hAnsi="仿宋_GB2312" w:cs="仿宋_GB2312" w:eastAsia="仿宋_GB2312"/>
              </w:rPr>
              <w:t>5000条次业务提醒短信。</w:t>
            </w:r>
          </w:p>
          <w:p>
            <w:pPr>
              <w:pStyle w:val="null3"/>
              <w:ind w:firstLine="400"/>
              <w:jc w:val="left"/>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业务提醒服务内容</w:t>
            </w:r>
          </w:p>
          <w:p>
            <w:pPr>
              <w:pStyle w:val="null3"/>
              <w:ind w:firstLine="400"/>
              <w:jc w:val="left"/>
            </w:pPr>
            <w:r>
              <w:rPr>
                <w:rFonts w:ascii="仿宋_GB2312" w:hAnsi="仿宋_GB2312" w:cs="仿宋_GB2312" w:eastAsia="仿宋_GB2312"/>
              </w:rPr>
              <w:t>主要内容：二次供水设施清洗消毒提醒、二次供水设施管理须知、二次供水日常安全隐患通知、西安市地方标准推广等，涉及西安市二次供水地方标准、法规以及国家、省、市二次供水管理工作等要求。</w:t>
            </w:r>
          </w:p>
          <w:p>
            <w:pPr>
              <w:pStyle w:val="null3"/>
              <w:ind w:firstLine="400"/>
              <w:jc w:val="left"/>
            </w:pPr>
            <w:r>
              <w:rPr>
                <w:rFonts w:ascii="仿宋_GB2312" w:hAnsi="仿宋_GB2312" w:cs="仿宋_GB2312" w:eastAsia="仿宋_GB2312"/>
              </w:rPr>
              <w:t>具体内容：二次供水建设标准、运维管理、水质保障、安全管理、应急处置、清洗消毒管理、创卫管理等。例如：提醒类短信</w:t>
            </w:r>
            <w:r>
              <w:rPr>
                <w:rFonts w:ascii="仿宋_GB2312" w:hAnsi="仿宋_GB2312" w:cs="仿宋_GB2312" w:eastAsia="仿宋_GB2312"/>
              </w:rPr>
              <w:t>——“为确保二次供水水质与安全，二次供水设施管理单位应切实加强二次供水设施日常运行、维护管理；对二次供水泵房进行全面彻底的安全检查，每半年应对供水设施清洗消毒。由二次供水设施单位自主选择依法设立的专业清洗公司承担，并委托有资质的单位对水质进行检测，严禁泵房内堆放杂物、垃圾、药剂等污染源。各二次供水管理单位在设施改造、泵房提升、设备运行管理中如有疑问，中心可提供技术咨询与指导，帮助运行单位做好二次供水管理。”</w:t>
            </w:r>
          </w:p>
          <w:p>
            <w:pPr>
              <w:pStyle w:val="null3"/>
              <w:ind w:firstLine="400"/>
              <w:jc w:val="left"/>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二次供水业务提醒对象及方式</w:t>
            </w:r>
          </w:p>
          <w:p>
            <w:pPr>
              <w:pStyle w:val="null3"/>
              <w:ind w:firstLine="400"/>
              <w:jc w:val="left"/>
            </w:pPr>
            <w:r>
              <w:rPr>
                <w:rFonts w:ascii="仿宋_GB2312" w:hAnsi="仿宋_GB2312" w:cs="仿宋_GB2312" w:eastAsia="仿宋_GB2312"/>
              </w:rPr>
              <w:t>业务提醒对象：西安市主城区（开发区）从事居民</w:t>
            </w:r>
            <w:r>
              <w:rPr>
                <w:rFonts w:ascii="仿宋_GB2312" w:hAnsi="仿宋_GB2312" w:cs="仿宋_GB2312" w:eastAsia="仿宋_GB2312"/>
              </w:rPr>
              <w:t>/非居民小区二次供水设施管理的单位主管和从业人员、部分房地产建设公司项目主管、行业其他相关人员。</w:t>
            </w:r>
          </w:p>
          <w:p>
            <w:pPr>
              <w:pStyle w:val="null3"/>
              <w:ind w:firstLine="400"/>
              <w:jc w:val="left"/>
            </w:pPr>
            <w:r>
              <w:rPr>
                <w:rFonts w:ascii="仿宋_GB2312" w:hAnsi="仿宋_GB2312" w:cs="仿宋_GB2312" w:eastAsia="仿宋_GB2312"/>
              </w:rPr>
              <w:t>业务提醒方式：通过西安市二次供水信息管理平台的短信功能进行编辑及群发。</w:t>
            </w:r>
          </w:p>
          <w:p>
            <w:pPr>
              <w:pStyle w:val="null3"/>
              <w:ind w:firstLine="400"/>
              <w:jc w:val="left"/>
            </w:pPr>
            <w:r>
              <w:rPr>
                <w:rFonts w:ascii="仿宋_GB2312" w:hAnsi="仿宋_GB2312" w:cs="仿宋_GB2312" w:eastAsia="仿宋_GB2312"/>
              </w:rPr>
              <w:t>2、</w:t>
            </w:r>
            <w:r>
              <w:rPr>
                <w:rFonts w:ascii="仿宋_GB2312" w:hAnsi="仿宋_GB2312" w:cs="仿宋_GB2312" w:eastAsia="仿宋_GB2312"/>
              </w:rPr>
              <w:t>视频会商系统运维服务</w:t>
            </w:r>
          </w:p>
          <w:p>
            <w:pPr>
              <w:pStyle w:val="null3"/>
              <w:ind w:firstLine="400"/>
              <w:jc w:val="left"/>
            </w:pPr>
            <w:r>
              <w:rPr>
                <w:rFonts w:ascii="仿宋_GB2312" w:hAnsi="仿宋_GB2312" w:cs="仿宋_GB2312" w:eastAsia="仿宋_GB2312"/>
              </w:rPr>
              <w:t>为保障视频会商系统的安全与稳定运行，委托专业的第三方运维单位，对系统核心软硬件实施全周期技术保障。运维服务将重点覆盖拼接大屏、多屏处理器、管理主机、视频会商</w:t>
            </w:r>
            <w:r>
              <w:rPr>
                <w:rFonts w:ascii="仿宋_GB2312" w:hAnsi="仿宋_GB2312" w:cs="仿宋_GB2312" w:eastAsia="仿宋_GB2312"/>
              </w:rPr>
              <w:t>MCU、高清视频终端等关键设备，通过建立定期巡检、预防性维护和快速应急响应机制，最大限度降低系统故障率。</w:t>
            </w:r>
          </w:p>
          <w:p>
            <w:pPr>
              <w:pStyle w:val="null3"/>
              <w:ind w:firstLine="400"/>
              <w:jc w:val="left"/>
            </w:pPr>
            <w:r>
              <w:rPr>
                <w:rFonts w:ascii="仿宋_GB2312" w:hAnsi="仿宋_GB2312" w:cs="仿宋_GB2312" w:eastAsia="仿宋_GB2312"/>
              </w:rPr>
              <w:t>服务内容包括但不限于：对拼接大屏及显示单元进行色彩校正与模组状态监测；对多屏处理器及管理主机进行性能优化与系统升级；对视频会商</w:t>
            </w:r>
            <w:r>
              <w:rPr>
                <w:rFonts w:ascii="仿宋_GB2312" w:hAnsi="仿宋_GB2312" w:cs="仿宋_GB2312" w:eastAsia="仿宋_GB2312"/>
              </w:rPr>
              <w:t>MCU及高清终端进行信令诊断与音视频质量调优；以及针对高清摄像机、语音网关等外设的日常保养。确保在系统发生异常时，运维团队能够快速定位故障根源，及时排除隐患，保障全市供水调度视频会商业务的连续性与通畅性。</w:t>
            </w:r>
          </w:p>
          <w:p>
            <w:pPr>
              <w:pStyle w:val="null3"/>
              <w:ind w:firstLine="400"/>
              <w:jc w:val="left"/>
            </w:pPr>
            <w:r>
              <w:rPr>
                <w:rFonts w:ascii="仿宋_GB2312" w:hAnsi="仿宋_GB2312" w:cs="仿宋_GB2312" w:eastAsia="仿宋_GB2312"/>
                <w:b/>
              </w:rPr>
              <w:t>（</w:t>
            </w:r>
            <w:r>
              <w:rPr>
                <w:rFonts w:ascii="仿宋_GB2312" w:hAnsi="仿宋_GB2312" w:cs="仿宋_GB2312" w:eastAsia="仿宋_GB2312"/>
                <w:b/>
              </w:rPr>
              <w:t>五</w:t>
            </w:r>
            <w:r>
              <w:rPr>
                <w:rFonts w:ascii="仿宋_GB2312" w:hAnsi="仿宋_GB2312" w:cs="仿宋_GB2312" w:eastAsia="仿宋_GB2312"/>
                <w:b/>
              </w:rPr>
              <w:t>）</w:t>
            </w:r>
            <w:r>
              <w:rPr>
                <w:rFonts w:ascii="仿宋_GB2312" w:hAnsi="仿宋_GB2312" w:cs="仿宋_GB2312" w:eastAsia="仿宋_GB2312"/>
                <w:b/>
              </w:rPr>
              <w:t>二次供水设施验收备案技术支持服务</w:t>
            </w:r>
          </w:p>
          <w:p>
            <w:pPr>
              <w:pStyle w:val="null3"/>
              <w:ind w:firstLine="400"/>
              <w:jc w:val="left"/>
            </w:pPr>
            <w:r>
              <w:rPr>
                <w:rFonts w:ascii="仿宋_GB2312" w:hAnsi="仿宋_GB2312" w:cs="仿宋_GB2312" w:eastAsia="仿宋_GB2312"/>
              </w:rPr>
              <w:t>为落实《西安市生活饮用水城市供水管理和卫生监督规定》及新版《供水条例》中关于</w:t>
            </w:r>
            <w:r>
              <w:rPr>
                <w:rFonts w:ascii="仿宋_GB2312" w:hAnsi="仿宋_GB2312" w:cs="仿宋_GB2312" w:eastAsia="仿宋_GB2312"/>
              </w:rPr>
              <w:t>“强化供水设施安全管理”的法定要求，西安市供水管理中心开展新建及改造项目二次供水设施验收备案技术支持服务。鉴于辖区内二次供水设施点位多、技术复杂度高，且验收工作需兼顾专业性、公正性与数据可追溯性，特委托第三方专业技术单位提供全过程技术支持服务。</w:t>
            </w:r>
          </w:p>
          <w:p>
            <w:pPr>
              <w:pStyle w:val="null3"/>
              <w:ind w:firstLine="400"/>
              <w:jc w:val="left"/>
            </w:pPr>
            <w:r>
              <w:rPr>
                <w:rFonts w:ascii="仿宋_GB2312" w:hAnsi="仿宋_GB2312" w:cs="仿宋_GB2312" w:eastAsia="仿宋_GB2312"/>
              </w:rPr>
              <w:t>本项目服务聚焦辖区内</w:t>
            </w:r>
            <w:r>
              <w:rPr>
                <w:rFonts w:ascii="仿宋_GB2312" w:hAnsi="仿宋_GB2312" w:cs="仿宋_GB2312" w:eastAsia="仿宋_GB2312"/>
              </w:rPr>
              <w:t>100个二次</w:t>
            </w:r>
            <w:r>
              <w:rPr>
                <w:rFonts w:ascii="仿宋_GB2312" w:hAnsi="仿宋_GB2312" w:cs="仿宋_GB2312" w:eastAsia="仿宋_GB2312"/>
              </w:rPr>
              <w:t>供水设施点位，通过现场核查、资料核验、信息采集</w:t>
            </w:r>
            <w:r>
              <w:rPr>
                <w:rFonts w:ascii="仿宋_GB2312" w:hAnsi="仿宋_GB2312" w:cs="仿宋_GB2312" w:eastAsia="仿宋_GB2312"/>
              </w:rPr>
              <w:t>与</w:t>
            </w:r>
            <w:r>
              <w:rPr>
                <w:rFonts w:ascii="仿宋_GB2312" w:hAnsi="仿宋_GB2312" w:cs="仿宋_GB2312" w:eastAsia="仿宋_GB2312"/>
              </w:rPr>
              <w:t>数据规整，全面审查设施建设的合规性、设备运行的完备性及档案资料的完整性</w:t>
            </w:r>
            <w:r>
              <w:rPr>
                <w:rFonts w:ascii="仿宋_GB2312" w:hAnsi="仿宋_GB2312" w:cs="仿宋_GB2312" w:eastAsia="仿宋_GB2312"/>
              </w:rPr>
              <w:t>。</w:t>
            </w:r>
            <w:r>
              <w:rPr>
                <w:rFonts w:ascii="仿宋_GB2312" w:hAnsi="仿宋_GB2312" w:cs="仿宋_GB2312" w:eastAsia="仿宋_GB2312"/>
              </w:rPr>
              <w:t>为供水中心开展二次供水设施竣工验收、备案归档、智慧监管入库提供真实、有效、可追溯的技术数据和成果支撑，助力完善辖区二次供水设施全生命周期监管体系。</w:t>
            </w:r>
          </w:p>
          <w:p>
            <w:pPr>
              <w:pStyle w:val="null3"/>
              <w:ind w:firstLine="400"/>
              <w:jc w:val="left"/>
            </w:pPr>
            <w:r>
              <w:rPr>
                <w:rFonts w:ascii="仿宋_GB2312" w:hAnsi="仿宋_GB2312" w:cs="仿宋_GB2312" w:eastAsia="仿宋_GB2312"/>
              </w:rPr>
              <w:t>1、</w:t>
            </w:r>
            <w:r>
              <w:rPr>
                <w:rFonts w:ascii="仿宋_GB2312" w:hAnsi="仿宋_GB2312" w:cs="仿宋_GB2312" w:eastAsia="仿宋_GB2312"/>
              </w:rPr>
              <w:t>服务范围</w:t>
            </w:r>
          </w:p>
          <w:p>
            <w:pPr>
              <w:pStyle w:val="null3"/>
              <w:ind w:firstLine="400"/>
              <w:jc w:val="left"/>
            </w:pPr>
            <w:r>
              <w:rPr>
                <w:rFonts w:ascii="仿宋_GB2312" w:hAnsi="仿宋_GB2312" w:cs="仿宋_GB2312" w:eastAsia="仿宋_GB2312"/>
              </w:rPr>
              <w:t>本次技术支持服务范围为西安市城六区范围内所有纳入验收备案的二次供水设施点位，共计</w:t>
            </w:r>
            <w:r>
              <w:rPr>
                <w:rFonts w:ascii="仿宋_GB2312" w:hAnsi="仿宋_GB2312" w:cs="仿宋_GB2312" w:eastAsia="仿宋_GB2312"/>
              </w:rPr>
              <w:t>100个点位</w:t>
            </w:r>
            <w:r>
              <w:rPr>
                <w:rFonts w:ascii="仿宋_GB2312" w:hAnsi="仿宋_GB2312" w:cs="仿宋_GB2312" w:eastAsia="仿宋_GB2312"/>
              </w:rPr>
              <w:t>。</w:t>
            </w:r>
            <w:r>
              <w:rPr>
                <w:rFonts w:ascii="仿宋_GB2312" w:hAnsi="仿宋_GB2312" w:cs="仿宋_GB2312" w:eastAsia="仿宋_GB2312"/>
              </w:rPr>
              <w:t>服务覆盖各点位二次供水设施的全套建设资料核查、现场设备工况核查、全维度信息采集、数据标准化整理及验收备案全过程技术配合工作。</w:t>
            </w:r>
          </w:p>
          <w:p>
            <w:pPr>
              <w:pStyle w:val="null3"/>
              <w:ind w:firstLine="400"/>
              <w:jc w:val="left"/>
            </w:pPr>
            <w:r>
              <w:rPr>
                <w:rFonts w:ascii="仿宋_GB2312" w:hAnsi="仿宋_GB2312" w:cs="仿宋_GB2312" w:eastAsia="仿宋_GB2312"/>
              </w:rPr>
              <w:t>2、</w:t>
            </w:r>
            <w:r>
              <w:rPr>
                <w:rFonts w:ascii="仿宋_GB2312" w:hAnsi="仿宋_GB2312" w:cs="仿宋_GB2312" w:eastAsia="仿宋_GB2312"/>
              </w:rPr>
              <w:t>服务内容</w:t>
            </w:r>
          </w:p>
          <w:p>
            <w:pPr>
              <w:pStyle w:val="null3"/>
              <w:ind w:firstLine="400"/>
              <w:jc w:val="left"/>
            </w:pPr>
            <w:r>
              <w:rPr>
                <w:rFonts w:ascii="仿宋_GB2312" w:hAnsi="仿宋_GB2312" w:cs="仿宋_GB2312" w:eastAsia="仿宋_GB2312"/>
              </w:rPr>
              <w:t>第三方服务单位全程配合供水中心开展二次供水设施竣工验收备案工作，承担资料核验、现场信息采集、数据整理归档、技术咨询整改、成果汇总交付等全流程技术支持工作，具体内容如下：</w:t>
            </w:r>
          </w:p>
          <w:p>
            <w:pPr>
              <w:pStyle w:val="null3"/>
              <w:ind w:firstLine="400"/>
              <w:jc w:val="left"/>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现场</w:t>
            </w:r>
            <w:r>
              <w:rPr>
                <w:rFonts w:ascii="仿宋_GB2312" w:hAnsi="仿宋_GB2312" w:cs="仿宋_GB2312" w:eastAsia="仿宋_GB2312"/>
              </w:rPr>
              <w:t>资料核验</w:t>
            </w:r>
          </w:p>
          <w:p>
            <w:pPr>
              <w:pStyle w:val="null3"/>
              <w:ind w:firstLine="400"/>
              <w:jc w:val="left"/>
            </w:pPr>
            <w:r>
              <w:rPr>
                <w:rFonts w:ascii="仿宋_GB2312" w:hAnsi="仿宋_GB2312" w:cs="仿宋_GB2312" w:eastAsia="仿宋_GB2312"/>
              </w:rPr>
              <w:t>对照国家、行业及西安市现行二次供水相关规范标准，对</w:t>
            </w:r>
            <w:r>
              <w:rPr>
                <w:rFonts w:ascii="仿宋_GB2312" w:hAnsi="仿宋_GB2312" w:cs="仿宋_GB2312" w:eastAsia="仿宋_GB2312"/>
              </w:rPr>
              <w:t>100个项目点位的全套二次供水建设资料进行逐项核验。重点核查项目立项、设计、施工、监理、设备采购、检测验收、消毒清洗、水质检测等全套资料，逐一排查资料缺失、内容不符、流程不合规、签字盖章不全等问题。详细记录资料缺陷清单，明确整改要求，确保所有备案资料完整、规范、合规，满足竣工验收备案归档要求。</w:t>
            </w:r>
          </w:p>
          <w:p>
            <w:pPr>
              <w:pStyle w:val="null3"/>
              <w:ind w:firstLine="400"/>
              <w:jc w:val="left"/>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现场信息采集</w:t>
            </w:r>
          </w:p>
          <w:p>
            <w:pPr>
              <w:pStyle w:val="null3"/>
              <w:ind w:firstLine="400"/>
              <w:jc w:val="left"/>
            </w:pPr>
            <w:r>
              <w:rPr>
                <w:rFonts w:ascii="仿宋_GB2312" w:hAnsi="仿宋_GB2312" w:cs="仿宋_GB2312" w:eastAsia="仿宋_GB2312"/>
              </w:rPr>
              <w:t>第三方技术人员配合供水中心现场验收人员开展实地信息采集工作。现场核查判定标准、信息采集维度、现场验收流程均严格依据现行规范文件及供水中心现场验收工作要求执行，全面核实二次供水设施建设安装质量、设备运行工况、配套设施配置合规性，确保现场建设情况符合设计标准及供水管理要求。核心核查采集内容包括但不限于：项目基本信息、二次供水泵房、生活水箱（水池）、水泵机组、管道阀门、消毒设备、电气控制、安防门禁、视频监控、水质在线监测等。</w:t>
            </w:r>
          </w:p>
          <w:p>
            <w:pPr>
              <w:pStyle w:val="null3"/>
              <w:ind w:firstLine="400"/>
              <w:jc w:val="left"/>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w:t>
            </w:r>
            <w:r>
              <w:rPr>
                <w:rFonts w:ascii="仿宋_GB2312" w:hAnsi="仿宋_GB2312" w:cs="仿宋_GB2312" w:eastAsia="仿宋_GB2312"/>
              </w:rPr>
              <w:t>标准化数据整理</w:t>
            </w:r>
          </w:p>
          <w:p>
            <w:pPr>
              <w:pStyle w:val="null3"/>
              <w:ind w:firstLine="400"/>
              <w:jc w:val="left"/>
            </w:pPr>
            <w:r>
              <w:rPr>
                <w:rFonts w:ascii="仿宋_GB2312" w:hAnsi="仿宋_GB2312" w:cs="仿宋_GB2312" w:eastAsia="仿宋_GB2312"/>
              </w:rPr>
              <w:t>按照供水中心标准化管理要求，对所有点位采集的现场数据、资料信息、核查结果进行统一梳理、分类、规整。严格执行</w:t>
            </w:r>
            <w:r>
              <w:rPr>
                <w:rFonts w:ascii="仿宋_GB2312" w:hAnsi="仿宋_GB2312" w:cs="仿宋_GB2312" w:eastAsia="仿宋_GB2312"/>
              </w:rPr>
              <w:t>“一点位一档”管理标准，建立独立电子档案，将项目资料、现场影像、设备参数、核查记录、问题清单等信息标准化录入指定监管信息平台及数据库，实现所有点位数据规范化、数字化、可查询、可追溯，适配供水中心智慧监管及备案管理工作需求。</w:t>
            </w:r>
          </w:p>
          <w:p>
            <w:pPr>
              <w:pStyle w:val="null3"/>
              <w:ind w:firstLine="400"/>
              <w:jc w:val="left"/>
            </w:pP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w:t>
            </w:r>
            <w:r>
              <w:rPr>
                <w:rFonts w:ascii="仿宋_GB2312" w:hAnsi="仿宋_GB2312" w:cs="仿宋_GB2312" w:eastAsia="仿宋_GB2312"/>
              </w:rPr>
              <w:t>技术支持与配合</w:t>
            </w:r>
          </w:p>
          <w:p>
            <w:pPr>
              <w:pStyle w:val="null3"/>
              <w:ind w:firstLine="400"/>
              <w:jc w:val="left"/>
            </w:pPr>
            <w:r>
              <w:rPr>
                <w:rFonts w:ascii="仿宋_GB2312" w:hAnsi="仿宋_GB2312" w:cs="仿宋_GB2312" w:eastAsia="仿宋_GB2312"/>
              </w:rPr>
              <w:t>全程配合供水中心开展竣工验收、现场核查、资料审核、备案评审等各项工作。针对验收过程中发现的设施建设不规范、设备配置缺失、资料不完善、运行隐患等问题，提供专业技术咨询服务，出具整改建议，指导建设单位完成闭环整改，同步完成数据核对、成果修正、资料补录等工作，保障所有点位顺利通过竣工验收备案。</w:t>
            </w:r>
          </w:p>
          <w:p>
            <w:pPr>
              <w:pStyle w:val="null3"/>
              <w:ind w:firstLine="400"/>
              <w:jc w:val="left"/>
            </w:pPr>
            <w:r>
              <w:rPr>
                <w:rFonts w:ascii="仿宋_GB2312" w:hAnsi="仿宋_GB2312" w:cs="仿宋_GB2312" w:eastAsia="仿宋_GB2312"/>
              </w:rPr>
              <w:t>（</w:t>
            </w:r>
            <w:r>
              <w:rPr>
                <w:rFonts w:ascii="仿宋_GB2312" w:hAnsi="仿宋_GB2312" w:cs="仿宋_GB2312" w:eastAsia="仿宋_GB2312"/>
              </w:rPr>
              <w:t>5</w:t>
            </w:r>
            <w:r>
              <w:rPr>
                <w:rFonts w:ascii="仿宋_GB2312" w:hAnsi="仿宋_GB2312" w:cs="仿宋_GB2312" w:eastAsia="仿宋_GB2312"/>
              </w:rPr>
              <w:t>）</w:t>
            </w:r>
            <w:r>
              <w:rPr>
                <w:rFonts w:ascii="仿宋_GB2312" w:hAnsi="仿宋_GB2312" w:cs="仿宋_GB2312" w:eastAsia="仿宋_GB2312"/>
              </w:rPr>
              <w:t>全套成果汇总交付</w:t>
            </w:r>
          </w:p>
          <w:p>
            <w:pPr>
              <w:pStyle w:val="null3"/>
              <w:ind w:firstLine="400"/>
              <w:jc w:val="left"/>
            </w:pPr>
            <w:r>
              <w:rPr>
                <w:rFonts w:ascii="仿宋_GB2312" w:hAnsi="仿宋_GB2312" w:cs="仿宋_GB2312" w:eastAsia="仿宋_GB2312"/>
              </w:rPr>
              <w:t>项目工作完成后，按照供水中心统一成果交付标准、归档规范，汇总整编全套验收技术成果，审核无误后统一提交。交付成果包含但不限于：各点位原始现场采集记录表、现场影像资料、核验资料扫描件、</w:t>
            </w:r>
            <w:r>
              <w:rPr>
                <w:rFonts w:ascii="仿宋_GB2312" w:hAnsi="仿宋_GB2312" w:cs="仿宋_GB2312" w:eastAsia="仿宋_GB2312"/>
              </w:rPr>
              <w:t>“一点位一档”电子台账、问题整改技术资料、竣工验收核查结果、项目整体数据汇总分析报告等。所有成果格式、内容、归档形式均贴合供水中心备案及日常监管使用需求。</w:t>
            </w:r>
          </w:p>
          <w:p>
            <w:pPr>
              <w:pStyle w:val="null3"/>
              <w:ind w:firstLine="400"/>
              <w:jc w:val="left"/>
            </w:pPr>
            <w:r>
              <w:rPr>
                <w:rFonts w:ascii="仿宋_GB2312" w:hAnsi="仿宋_GB2312" w:cs="仿宋_GB2312" w:eastAsia="仿宋_GB2312"/>
              </w:rPr>
              <w:t>3、</w:t>
            </w:r>
            <w:r>
              <w:rPr>
                <w:rFonts w:ascii="仿宋_GB2312" w:hAnsi="仿宋_GB2312" w:cs="仿宋_GB2312" w:eastAsia="仿宋_GB2312"/>
              </w:rPr>
              <w:t>服务质量标准与工作要求</w:t>
            </w:r>
          </w:p>
          <w:p>
            <w:pPr>
              <w:pStyle w:val="null3"/>
              <w:ind w:firstLine="400"/>
              <w:jc w:val="left"/>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人员专业要求</w:t>
            </w:r>
          </w:p>
          <w:p>
            <w:pPr>
              <w:pStyle w:val="null3"/>
              <w:ind w:firstLine="400"/>
              <w:jc w:val="left"/>
            </w:pPr>
            <w:r>
              <w:rPr>
                <w:rFonts w:ascii="仿宋_GB2312" w:hAnsi="仿宋_GB2312" w:cs="仿宋_GB2312" w:eastAsia="仿宋_GB2312"/>
              </w:rPr>
              <w:t>本次服务所有派驻工作人员需具备给排水、市政工程、机电安装、水务运维等相关专业从业背景，熟悉西安市二次供水设施建设标准、泵房现场工况及常见合规隐患判定准则，具备独立完成外业核查、资料核验、台账编制、技术答疑的专业能力，熟练掌握二次供水验收备案全流程工作要求。</w:t>
            </w:r>
          </w:p>
          <w:p>
            <w:pPr>
              <w:pStyle w:val="null3"/>
              <w:ind w:firstLine="400"/>
              <w:jc w:val="left"/>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规范执行标准</w:t>
            </w:r>
          </w:p>
          <w:p>
            <w:pPr>
              <w:pStyle w:val="null3"/>
              <w:ind w:firstLine="400"/>
              <w:jc w:val="left"/>
            </w:pPr>
            <w:r>
              <w:rPr>
                <w:rFonts w:ascii="仿宋_GB2312" w:hAnsi="仿宋_GB2312" w:cs="仿宋_GB2312" w:eastAsia="仿宋_GB2312"/>
              </w:rPr>
              <w:t>本次所有现场核查、合规判定、资料核验、数据整理、成果归档工作，均以《生活饮用水卫生标准》（</w:t>
            </w:r>
            <w:r>
              <w:rPr>
                <w:rFonts w:ascii="仿宋_GB2312" w:hAnsi="仿宋_GB2312" w:cs="仿宋_GB2312" w:eastAsia="仿宋_GB2312"/>
              </w:rPr>
              <w:t>GB 5749-2022）、《二次供水工程技术规程》（CJJ 140）等国家、行业及西安市地方现行规范为基础依据，最终以供水中心各项验收制度、文件要求、执行标准为核心准则，严格对标执行，确保验收判定、成果整理完全契合供水中心监管及备案要求。</w:t>
            </w:r>
          </w:p>
          <w:p>
            <w:pPr>
              <w:pStyle w:val="null3"/>
              <w:ind w:firstLine="400"/>
              <w:jc w:val="left"/>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w:t>
            </w:r>
            <w:r>
              <w:rPr>
                <w:rFonts w:ascii="仿宋_GB2312" w:hAnsi="仿宋_GB2312" w:cs="仿宋_GB2312" w:eastAsia="仿宋_GB2312"/>
              </w:rPr>
              <w:t>成果质量要求</w:t>
            </w:r>
          </w:p>
          <w:p>
            <w:pPr>
              <w:pStyle w:val="null3"/>
              <w:ind w:firstLine="400"/>
              <w:jc w:val="left"/>
            </w:pPr>
            <w:r>
              <w:rPr>
                <w:rFonts w:ascii="仿宋_GB2312" w:hAnsi="仿宋_GB2312" w:cs="仿宋_GB2312" w:eastAsia="仿宋_GB2312"/>
              </w:rPr>
              <w:t>所有现场采集数据、影像资料、核查记录真实、完整、准确，无虚假填报、遗漏缺失、数据错误等问题；</w:t>
            </w:r>
          </w:p>
          <w:p>
            <w:pPr>
              <w:pStyle w:val="null3"/>
              <w:ind w:firstLine="400"/>
              <w:jc w:val="left"/>
            </w:pPr>
            <w:r>
              <w:rPr>
                <w:rFonts w:ascii="仿宋_GB2312" w:hAnsi="仿宋_GB2312" w:cs="仿宋_GB2312" w:eastAsia="仿宋_GB2312"/>
              </w:rPr>
              <w:t>电子台账分类清晰、信息齐全、格式统一，完全适配供水中心监管平台录入及备案要求；</w:t>
            </w:r>
          </w:p>
          <w:p>
            <w:pPr>
              <w:pStyle w:val="null3"/>
              <w:ind w:firstLine="400"/>
              <w:jc w:val="left"/>
            </w:pPr>
            <w:r>
              <w:rPr>
                <w:rFonts w:ascii="仿宋_GB2312" w:hAnsi="仿宋_GB2312" w:cs="仿宋_GB2312" w:eastAsia="仿宋_GB2312"/>
              </w:rPr>
              <w:t>问题排查全面无遗漏，整改建议专业可行，可有效指导项目完成合规整改；</w:t>
            </w:r>
          </w:p>
          <w:p>
            <w:pPr>
              <w:pStyle w:val="null3"/>
              <w:ind w:firstLine="400"/>
              <w:jc w:val="left"/>
            </w:pPr>
            <w:r>
              <w:rPr>
                <w:rFonts w:ascii="仿宋_GB2312" w:hAnsi="仿宋_GB2312" w:cs="仿宋_GB2312" w:eastAsia="仿宋_GB2312"/>
              </w:rPr>
              <w:t>全套交付成果规范规整、可查可溯，完全满足竣工验收备案、档案归档、智慧化监管使用需求。</w:t>
            </w:r>
          </w:p>
          <w:p>
            <w:pPr>
              <w:pStyle w:val="null3"/>
              <w:ind w:firstLine="400"/>
              <w:jc w:val="left"/>
            </w:pPr>
            <w:r>
              <w:rPr>
                <w:rFonts w:ascii="仿宋_GB2312" w:hAnsi="仿宋_GB2312" w:cs="仿宋_GB2312" w:eastAsia="仿宋_GB2312"/>
              </w:rPr>
              <w:t>4、</w:t>
            </w:r>
            <w:r>
              <w:rPr>
                <w:rFonts w:ascii="仿宋_GB2312" w:hAnsi="仿宋_GB2312" w:cs="仿宋_GB2312" w:eastAsia="仿宋_GB2312"/>
              </w:rPr>
              <w:t>工作保障措施</w:t>
            </w:r>
          </w:p>
          <w:p>
            <w:pPr>
              <w:pStyle w:val="null3"/>
              <w:ind w:firstLine="400"/>
              <w:jc w:val="left"/>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人员保障</w:t>
            </w:r>
          </w:p>
          <w:p>
            <w:pPr>
              <w:pStyle w:val="null3"/>
              <w:ind w:firstLine="400"/>
              <w:jc w:val="left"/>
            </w:pPr>
            <w:r>
              <w:rPr>
                <w:rFonts w:ascii="仿宋_GB2312" w:hAnsi="仿宋_GB2312" w:cs="仿宋_GB2312" w:eastAsia="仿宋_GB2312"/>
              </w:rPr>
              <w:t>组建专项服务工作组，明确岗位职责、分工协作，保障</w:t>
            </w:r>
            <w:r>
              <w:rPr>
                <w:rFonts w:ascii="仿宋_GB2312" w:hAnsi="仿宋_GB2312" w:cs="仿宋_GB2312" w:eastAsia="仿宋_GB2312"/>
              </w:rPr>
              <w:t>100个点位核查工作高效推进，按期完成全部服务内容。</w:t>
            </w:r>
          </w:p>
          <w:p>
            <w:pPr>
              <w:pStyle w:val="null3"/>
              <w:ind w:firstLine="400"/>
              <w:jc w:val="left"/>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质量管控保障</w:t>
            </w:r>
          </w:p>
          <w:p>
            <w:pPr>
              <w:pStyle w:val="null3"/>
              <w:ind w:firstLine="400"/>
              <w:jc w:val="left"/>
            </w:pPr>
            <w:r>
              <w:rPr>
                <w:rFonts w:ascii="仿宋_GB2312" w:hAnsi="仿宋_GB2312" w:cs="仿宋_GB2312" w:eastAsia="仿宋_GB2312"/>
              </w:rPr>
              <w:t>建立</w:t>
            </w:r>
            <w:r>
              <w:rPr>
                <w:rFonts w:ascii="仿宋_GB2312" w:hAnsi="仿宋_GB2312" w:cs="仿宋_GB2312" w:eastAsia="仿宋_GB2312"/>
              </w:rPr>
              <w:t>“外业核查—内部复核—终审校验”三级质量管控机制，对现场采集数据、资料核验结果、台账录入信息进行层层审核，杜绝数据偏差、资料遗漏、判定失误，保障服务成果质量。</w:t>
            </w:r>
          </w:p>
          <w:p>
            <w:pPr>
              <w:pStyle w:val="null3"/>
              <w:ind w:firstLine="400"/>
              <w:jc w:val="left"/>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w:t>
            </w:r>
            <w:r>
              <w:rPr>
                <w:rFonts w:ascii="仿宋_GB2312" w:hAnsi="仿宋_GB2312" w:cs="仿宋_GB2312" w:eastAsia="仿宋_GB2312"/>
              </w:rPr>
              <w:t>服务配合保障</w:t>
            </w:r>
          </w:p>
          <w:p>
            <w:pPr>
              <w:pStyle w:val="null3"/>
              <w:ind w:firstLine="400"/>
              <w:jc w:val="left"/>
            </w:pPr>
            <w:r>
              <w:rPr>
                <w:rFonts w:ascii="仿宋_GB2312" w:hAnsi="仿宋_GB2312" w:cs="仿宋_GB2312" w:eastAsia="仿宋_GB2312"/>
              </w:rPr>
              <w:t>全程对接</w:t>
            </w:r>
            <w:r>
              <w:rPr>
                <w:rFonts w:ascii="仿宋_GB2312" w:hAnsi="仿宋_GB2312" w:cs="仿宋_GB2312" w:eastAsia="仿宋_GB2312"/>
              </w:rPr>
              <w:t>采购人</w:t>
            </w:r>
            <w:r>
              <w:rPr>
                <w:rFonts w:ascii="仿宋_GB2312" w:hAnsi="仿宋_GB2312" w:cs="仿宋_GB2312" w:eastAsia="仿宋_GB2312"/>
              </w:rPr>
              <w:t>工作安排，及时响应验收工作需求，主动配合现场核查、资料评审、问题整改、数据修正等工作，随时提供技术答疑，确保验收备案工作高效闭环</w:t>
            </w:r>
            <w:r>
              <w:rPr>
                <w:rFonts w:ascii="仿宋_GB2312" w:hAnsi="仿宋_GB2312" w:cs="仿宋_GB2312" w:eastAsia="仿宋_GB2312"/>
              </w:rPr>
              <w:t>。</w:t>
            </w:r>
          </w:p>
          <w:p>
            <w:pPr>
              <w:pStyle w:val="null3"/>
              <w:ind w:firstLine="402"/>
              <w:jc w:val="both"/>
            </w:pPr>
            <w:r>
              <w:rPr>
                <w:rFonts w:ascii="仿宋_GB2312" w:hAnsi="仿宋_GB2312" w:cs="仿宋_GB2312" w:eastAsia="仿宋_GB2312"/>
                <w:b/>
              </w:rPr>
              <w:t>三</w:t>
            </w:r>
            <w:r>
              <w:rPr>
                <w:rFonts w:ascii="仿宋_GB2312" w:hAnsi="仿宋_GB2312" w:cs="仿宋_GB2312" w:eastAsia="仿宋_GB2312"/>
                <w:b/>
              </w:rPr>
              <w:t>、</w:t>
            </w:r>
            <w:r>
              <w:rPr>
                <w:rFonts w:ascii="仿宋_GB2312" w:hAnsi="仿宋_GB2312" w:cs="仿宋_GB2312" w:eastAsia="仿宋_GB2312"/>
                <w:b/>
              </w:rPr>
              <w:t>商务要求</w:t>
            </w:r>
          </w:p>
          <w:p>
            <w:pPr>
              <w:pStyle w:val="null3"/>
              <w:ind w:firstLine="400"/>
              <w:jc w:val="both"/>
            </w:pPr>
            <w:r>
              <w:rPr>
                <w:rFonts w:ascii="仿宋_GB2312" w:hAnsi="仿宋_GB2312" w:cs="仿宋_GB2312" w:eastAsia="仿宋_GB2312"/>
              </w:rPr>
              <w:t>（一）服务期：</w:t>
            </w:r>
            <w:r>
              <w:rPr>
                <w:rFonts w:ascii="仿宋_GB2312" w:hAnsi="仿宋_GB2312" w:cs="仿宋_GB2312" w:eastAsia="仿宋_GB2312"/>
                <w:sz w:val="21"/>
                <w:color w:val="000000"/>
              </w:rPr>
              <w:t>12个月，自2026年7月1日至2027年6月30日止。</w:t>
            </w:r>
          </w:p>
          <w:p>
            <w:pPr>
              <w:pStyle w:val="null3"/>
            </w:pPr>
            <w:r>
              <w:rPr>
                <w:rFonts w:ascii="仿宋_GB2312" w:hAnsi="仿宋_GB2312" w:cs="仿宋_GB2312" w:eastAsia="仿宋_GB2312"/>
              </w:rPr>
              <w:t xml:space="preserve">    </w:t>
            </w:r>
            <w:r>
              <w:rPr>
                <w:rFonts w:ascii="仿宋_GB2312" w:hAnsi="仿宋_GB2312" w:cs="仿宋_GB2312" w:eastAsia="仿宋_GB2312"/>
                <w:sz w:val="21"/>
                <w:color w:val="000000"/>
              </w:rPr>
              <w:t>（二）服务地点：</w:t>
            </w:r>
            <w:r>
              <w:rPr>
                <w:rFonts w:ascii="仿宋_GB2312" w:hAnsi="仿宋_GB2312" w:cs="仿宋_GB2312" w:eastAsia="仿宋_GB2312"/>
                <w:sz w:val="21"/>
                <w:color w:val="000000"/>
              </w:rPr>
              <w:t>西安市范围内</w:t>
            </w:r>
            <w:r>
              <w:rPr>
                <w:rFonts w:ascii="仿宋_GB2312" w:hAnsi="仿宋_GB2312" w:cs="仿宋_GB2312" w:eastAsia="仿宋_GB2312"/>
                <w:sz w:val="21"/>
                <w:color w:val="000000"/>
              </w:rPr>
              <w:t>，具体以采购人安排为准。</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标的名称：重点区域水质监测服务项目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jc w:val="left"/>
            </w:pPr>
            <w:r>
              <w:rPr>
                <w:rFonts w:ascii="仿宋_GB2312" w:hAnsi="仿宋_GB2312" w:cs="仿宋_GB2312" w:eastAsia="仿宋_GB2312"/>
                <w:b/>
              </w:rPr>
              <w:t>一、</w:t>
            </w:r>
            <w:r>
              <w:rPr>
                <w:rFonts w:ascii="仿宋_GB2312" w:hAnsi="仿宋_GB2312" w:cs="仿宋_GB2312" w:eastAsia="仿宋_GB2312"/>
                <w:b/>
              </w:rPr>
              <w:t>项目概况</w:t>
            </w:r>
          </w:p>
          <w:p>
            <w:pPr>
              <w:pStyle w:val="null3"/>
              <w:ind w:firstLine="400"/>
              <w:jc w:val="left"/>
            </w:pPr>
            <w:r>
              <w:rPr>
                <w:rFonts w:ascii="仿宋_GB2312" w:hAnsi="仿宋_GB2312" w:cs="仿宋_GB2312" w:eastAsia="仿宋_GB2312"/>
              </w:rPr>
              <w:t>为推进行业水质精细化管理，保障末端供水安全，结合市域供水管网分布特征，运用现代化监管手段，采取先行先试方式，由西安市供水管理中心委托专业第三方单位，在现有建设基础上进一步设置水质监测点位。重点覆盖市政管网末梢、多水源末端交汇区及水质波动较大等敏感区域。通过集成多参数传感器实时监测余氯</w:t>
            </w:r>
            <w:r>
              <w:rPr>
                <w:rFonts w:ascii="仿宋_GB2312" w:hAnsi="仿宋_GB2312" w:cs="仿宋_GB2312" w:eastAsia="仿宋_GB2312"/>
              </w:rPr>
              <w:t>、</w:t>
            </w:r>
            <w:r>
              <w:rPr>
                <w:rFonts w:ascii="仿宋_GB2312" w:hAnsi="仿宋_GB2312" w:cs="仿宋_GB2312" w:eastAsia="仿宋_GB2312"/>
              </w:rPr>
              <w:t>二氧化氯</w:t>
            </w:r>
            <w:r>
              <w:rPr>
                <w:rFonts w:ascii="仿宋_GB2312" w:hAnsi="仿宋_GB2312" w:cs="仿宋_GB2312" w:eastAsia="仿宋_GB2312"/>
              </w:rPr>
              <w:t>、</w:t>
            </w:r>
            <w:r>
              <w:rPr>
                <w:rFonts w:ascii="仿宋_GB2312" w:hAnsi="仿宋_GB2312" w:cs="仿宋_GB2312" w:eastAsia="仿宋_GB2312"/>
              </w:rPr>
              <w:t>pH值、浊度等关键指标，经数据采集传输、处理分析后实现多终端展示与异常预警；同时基于实时数据通过计量泵等设备对二氧化氯消毒剂精准投加。从而实现二次供水水质24小时连续监控，从“被动监督”转为“主动预警”和“实时治理”，实时掌握片区水质变化情况，并提供配套治理服务，即“水质监测+服务治理”模式，切实保障居民饮用水安全。</w:t>
            </w:r>
          </w:p>
          <w:p>
            <w:pPr>
              <w:pStyle w:val="null3"/>
              <w:ind w:firstLine="400"/>
              <w:jc w:val="left"/>
            </w:pPr>
            <w:r>
              <w:rPr>
                <w:rFonts w:ascii="仿宋_GB2312" w:hAnsi="仿宋_GB2312" w:cs="仿宋_GB2312" w:eastAsia="仿宋_GB2312"/>
              </w:rPr>
              <w:t>该项目为重点区域试点示范项目，后期可根据需要逐步在市域其他片区加密监测点位，最终形成供水管网水质监测服务</w:t>
            </w:r>
            <w:r>
              <w:rPr>
                <w:rFonts w:ascii="仿宋_GB2312" w:hAnsi="仿宋_GB2312" w:cs="仿宋_GB2312" w:eastAsia="仿宋_GB2312"/>
              </w:rPr>
              <w:t>“全覆盖”格局</w:t>
            </w:r>
            <w:r>
              <w:rPr>
                <w:rFonts w:ascii="仿宋_GB2312" w:hAnsi="仿宋_GB2312" w:cs="仿宋_GB2312" w:eastAsia="仿宋_GB2312"/>
              </w:rPr>
              <w:t>。</w:t>
            </w:r>
          </w:p>
          <w:p>
            <w:pPr>
              <w:pStyle w:val="null3"/>
              <w:ind w:firstLine="400"/>
              <w:jc w:val="left"/>
            </w:pPr>
            <w:r>
              <w:rPr>
                <w:rFonts w:ascii="仿宋_GB2312" w:hAnsi="仿宋_GB2312" w:cs="仿宋_GB2312" w:eastAsia="仿宋_GB2312"/>
                <w:b/>
              </w:rPr>
              <w:t>二、点位选取范围及要求</w:t>
            </w:r>
          </w:p>
          <w:p>
            <w:pPr>
              <w:pStyle w:val="null3"/>
              <w:ind w:firstLine="400"/>
              <w:jc w:val="left"/>
            </w:pPr>
            <w:r>
              <w:rPr>
                <w:rFonts w:ascii="仿宋_GB2312" w:hAnsi="仿宋_GB2312" w:cs="仿宋_GB2312" w:eastAsia="仿宋_GB2312"/>
              </w:rPr>
              <w:t>城市供水水质安全投诉约</w:t>
            </w:r>
            <w:r>
              <w:rPr>
                <w:rFonts w:ascii="仿宋_GB2312" w:hAnsi="仿宋_GB2312" w:cs="仿宋_GB2312" w:eastAsia="仿宋_GB2312"/>
              </w:rPr>
              <w:t>80%集中在末梢管网及二次供水环节。随着西安市“南控”向“南拓”发展重心的转移，西南片区（涵盖雁塔南片及高新区核心区）已成为我市人口导入最快、居住密度最高的区域之一。</w:t>
            </w:r>
          </w:p>
          <w:p>
            <w:pPr>
              <w:pStyle w:val="null3"/>
              <w:ind w:firstLine="400"/>
              <w:jc w:val="left"/>
            </w:pPr>
            <w:r>
              <w:rPr>
                <w:rFonts w:ascii="仿宋_GB2312" w:hAnsi="仿宋_GB2312" w:cs="仿宋_GB2312" w:eastAsia="仿宋_GB2312"/>
              </w:rPr>
              <w:t>近年来，市民热线及供水服务热线关于该区域</w:t>
            </w:r>
            <w:r>
              <w:rPr>
                <w:rFonts w:ascii="仿宋_GB2312" w:hAnsi="仿宋_GB2312" w:cs="仿宋_GB2312" w:eastAsia="仿宋_GB2312"/>
              </w:rPr>
              <w:t>“黄水、浑水、水压不稳及异味”的投诉占比持续偏高，尤其在夏季高峰供水期，居民对改善水质的需求极为迫切。因此，本次将技术支持服务聚焦于西南片区，旨在通过精准的现场核查与技术治理，切实解决“最后一公里”的水质痛点，回应民生关切，提升辖区居民的用水安全感与满意度</w:t>
            </w:r>
            <w:r>
              <w:rPr>
                <w:rFonts w:ascii="仿宋_GB2312" w:hAnsi="仿宋_GB2312" w:cs="仿宋_GB2312" w:eastAsia="仿宋_GB2312"/>
              </w:rPr>
              <w:t>。</w:t>
            </w:r>
          </w:p>
          <w:p>
            <w:pPr>
              <w:pStyle w:val="null3"/>
              <w:ind w:firstLine="400"/>
              <w:jc w:val="left"/>
            </w:pPr>
            <w:r>
              <w:rPr>
                <w:rFonts w:ascii="仿宋_GB2312" w:hAnsi="仿宋_GB2312" w:cs="仿宋_GB2312" w:eastAsia="仿宋_GB2312"/>
                <w:b/>
              </w:rPr>
              <w:t>三、</w:t>
            </w:r>
            <w:r>
              <w:rPr>
                <w:rFonts w:ascii="仿宋_GB2312" w:hAnsi="仿宋_GB2312" w:cs="仿宋_GB2312" w:eastAsia="仿宋_GB2312"/>
                <w:b/>
              </w:rPr>
              <w:t>点位选取</w:t>
            </w:r>
            <w:r>
              <w:rPr>
                <w:rFonts w:ascii="仿宋_GB2312" w:hAnsi="仿宋_GB2312" w:cs="仿宋_GB2312" w:eastAsia="仿宋_GB2312"/>
                <w:b/>
              </w:rPr>
              <w:t>原则</w:t>
            </w:r>
          </w:p>
          <w:p>
            <w:pPr>
              <w:pStyle w:val="null3"/>
              <w:ind w:firstLine="400"/>
              <w:jc w:val="left"/>
            </w:pPr>
            <w:r>
              <w:rPr>
                <w:rFonts w:ascii="仿宋_GB2312" w:hAnsi="仿宋_GB2312" w:cs="仿宋_GB2312" w:eastAsia="仿宋_GB2312"/>
              </w:rPr>
              <w:t>依据市政供水管网分布情况，保证水质监测点位能够真实反映区域水质状况。水质监测点位选取应符合但不限于以下原则：</w:t>
            </w:r>
          </w:p>
          <w:p>
            <w:pPr>
              <w:pStyle w:val="null3"/>
              <w:ind w:firstLine="400"/>
              <w:jc w:val="left"/>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市政供水管网末梢区域；</w:t>
            </w:r>
          </w:p>
          <w:p>
            <w:pPr>
              <w:pStyle w:val="null3"/>
              <w:ind w:firstLine="400"/>
              <w:jc w:val="left"/>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多水源末端交汇区域；</w:t>
            </w:r>
          </w:p>
          <w:p>
            <w:pPr>
              <w:pStyle w:val="null3"/>
              <w:ind w:firstLine="400"/>
              <w:jc w:val="left"/>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水质波动较大区域；</w:t>
            </w:r>
          </w:p>
          <w:p>
            <w:pPr>
              <w:pStyle w:val="null3"/>
              <w:ind w:firstLine="400"/>
              <w:jc w:val="left"/>
            </w:pP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具有代表性、典型性的用水区域。</w:t>
            </w:r>
          </w:p>
          <w:p>
            <w:pPr>
              <w:pStyle w:val="null3"/>
              <w:ind w:firstLine="400"/>
              <w:jc w:val="left"/>
            </w:pPr>
            <w:r>
              <w:rPr>
                <w:rFonts w:ascii="仿宋_GB2312" w:hAnsi="仿宋_GB2312" w:cs="仿宋_GB2312" w:eastAsia="仿宋_GB2312"/>
              </w:rPr>
              <w:t>根据上述选点原则，结合区域的供水特点及</w:t>
            </w:r>
            <w:r>
              <w:rPr>
                <w:rFonts w:ascii="仿宋_GB2312" w:hAnsi="仿宋_GB2312" w:cs="仿宋_GB2312" w:eastAsia="仿宋_GB2312"/>
              </w:rPr>
              <w:t>“二次供水设施陈旧、人口密集、水质投诉多”的核心问题，在西安市西南片区选取18个点位。</w:t>
            </w:r>
          </w:p>
          <w:p>
            <w:pPr>
              <w:pStyle w:val="null3"/>
              <w:ind w:firstLine="400"/>
              <w:jc w:val="left"/>
            </w:pPr>
            <w:r>
              <w:rPr>
                <w:rFonts w:ascii="仿宋_GB2312" w:hAnsi="仿宋_GB2312" w:cs="仿宋_GB2312" w:eastAsia="仿宋_GB2312"/>
                <w:b/>
              </w:rPr>
              <w:t>四、技术方案内容</w:t>
            </w:r>
          </w:p>
          <w:p>
            <w:pPr>
              <w:pStyle w:val="null3"/>
              <w:ind w:firstLine="400"/>
              <w:jc w:val="left"/>
            </w:pPr>
            <w:r>
              <w:rPr>
                <w:rFonts w:ascii="仿宋_GB2312" w:hAnsi="仿宋_GB2312" w:cs="仿宋_GB2312" w:eastAsia="仿宋_GB2312"/>
              </w:rPr>
              <w:t>为全面提升西安市西南片区二次供水水质安全管理水平，按照</w:t>
            </w:r>
            <w:r>
              <w:rPr>
                <w:rFonts w:ascii="仿宋_GB2312" w:hAnsi="仿宋_GB2312" w:cs="仿宋_GB2312" w:eastAsia="仿宋_GB2312"/>
              </w:rPr>
              <w:t>“数据驱动、分区施策、闭环管控”的智慧化运维体系，依托物联网与自动控制技术，通过在市政进水端布设高度集成的多参数传感器模块，</w:t>
            </w:r>
            <w:r>
              <w:rPr>
                <w:rFonts w:ascii="仿宋_GB2312" w:hAnsi="仿宋_GB2312" w:cs="仿宋_GB2312" w:eastAsia="仿宋_GB2312"/>
              </w:rPr>
              <w:t>对</w:t>
            </w:r>
            <w:r>
              <w:rPr>
                <w:rFonts w:ascii="仿宋_GB2312" w:hAnsi="仿宋_GB2312" w:cs="仿宋_GB2312" w:eastAsia="仿宋_GB2312"/>
              </w:rPr>
              <w:t>余氯、二氧化氯</w:t>
            </w:r>
            <w:r>
              <w:rPr>
                <w:rFonts w:ascii="仿宋_GB2312" w:hAnsi="仿宋_GB2312" w:cs="仿宋_GB2312" w:eastAsia="仿宋_GB2312"/>
              </w:rPr>
              <w:t>、</w:t>
            </w:r>
            <w:r>
              <w:rPr>
                <w:rFonts w:ascii="仿宋_GB2312" w:hAnsi="仿宋_GB2312" w:cs="仿宋_GB2312" w:eastAsia="仿宋_GB2312"/>
              </w:rPr>
              <w:t>pH值、浊度、水温等关键指标实施7×24小时实时监测，并确保所有传感器在出厂及运维阶段经过严格校准，从源头保障数据的准确性与可靠性。</w:t>
            </w:r>
          </w:p>
          <w:p>
            <w:pPr>
              <w:pStyle w:val="null3"/>
              <w:ind w:firstLine="400"/>
              <w:jc w:val="left"/>
            </w:pPr>
            <w:r>
              <w:rPr>
                <w:rFonts w:ascii="仿宋_GB2312" w:hAnsi="仿宋_GB2312" w:cs="仿宋_GB2312" w:eastAsia="仿宋_GB2312"/>
              </w:rPr>
              <w:t>针对不同小区的供水设施差异，采取</w:t>
            </w:r>
            <w:r>
              <w:rPr>
                <w:rFonts w:ascii="仿宋_GB2312" w:hAnsi="仿宋_GB2312" w:cs="仿宋_GB2312" w:eastAsia="仿宋_GB2312"/>
              </w:rPr>
              <w:t>“单点闭环”与“多点协同”相结合的技术路径：对单水箱场景实施精细化独立管控，对多水箱连通场景推行集约化同步治理</w:t>
            </w:r>
            <w:r>
              <w:rPr>
                <w:rFonts w:ascii="仿宋_GB2312" w:hAnsi="仿宋_GB2312" w:cs="仿宋_GB2312" w:eastAsia="仿宋_GB2312"/>
              </w:rPr>
              <w:t>，可具备但不限于以下功能，包含数据采集、上传、存储、调用、安全分级管控、分类识别等功能，</w:t>
            </w:r>
            <w:r>
              <w:rPr>
                <w:rFonts w:ascii="仿宋_GB2312" w:hAnsi="仿宋_GB2312" w:cs="仿宋_GB2312" w:eastAsia="仿宋_GB2312"/>
              </w:rPr>
              <w:t>开展</w:t>
            </w:r>
            <w:r>
              <w:rPr>
                <w:rFonts w:ascii="仿宋_GB2312" w:hAnsi="仿宋_GB2312" w:cs="仿宋_GB2312" w:eastAsia="仿宋_GB2312"/>
              </w:rPr>
              <w:t>区域</w:t>
            </w:r>
            <w:r>
              <w:rPr>
                <w:rFonts w:ascii="仿宋_GB2312" w:hAnsi="仿宋_GB2312" w:cs="仿宋_GB2312" w:eastAsia="仿宋_GB2312"/>
              </w:rPr>
              <w:t>水质趋势研判与异常识别。</w:t>
            </w:r>
          </w:p>
          <w:p>
            <w:pPr>
              <w:pStyle w:val="null3"/>
              <w:ind w:firstLine="400"/>
              <w:jc w:val="left"/>
            </w:pPr>
            <w:r>
              <w:rPr>
                <w:rFonts w:ascii="仿宋_GB2312" w:hAnsi="仿宋_GB2312" w:cs="仿宋_GB2312" w:eastAsia="仿宋_GB2312"/>
              </w:rPr>
              <w:t>在运行机制上，</w:t>
            </w:r>
            <w:r>
              <w:rPr>
                <w:rFonts w:ascii="仿宋_GB2312" w:hAnsi="仿宋_GB2312" w:cs="仿宋_GB2312" w:eastAsia="仿宋_GB2312"/>
              </w:rPr>
              <w:t>可针对供水水质变化情况，实施全流程自动化治理</w:t>
            </w:r>
            <w:r>
              <w:rPr>
                <w:rFonts w:ascii="仿宋_GB2312" w:hAnsi="仿宋_GB2312" w:cs="仿宋_GB2312" w:eastAsia="仿宋_GB2312"/>
              </w:rPr>
              <w:t>：</w:t>
            </w:r>
            <w:r>
              <w:rPr>
                <w:rFonts w:ascii="仿宋_GB2312" w:hAnsi="仿宋_GB2312" w:cs="仿宋_GB2312" w:eastAsia="仿宋_GB2312"/>
              </w:rPr>
              <w:t>当</w:t>
            </w:r>
            <w:r>
              <w:rPr>
                <w:rFonts w:ascii="仿宋_GB2312" w:hAnsi="仿宋_GB2312" w:cs="仿宋_GB2312" w:eastAsia="仿宋_GB2312"/>
              </w:rPr>
              <w:t>水质指标或设备运行</w:t>
            </w:r>
            <w:r>
              <w:rPr>
                <w:rFonts w:ascii="仿宋_GB2312" w:hAnsi="仿宋_GB2312" w:cs="仿宋_GB2312" w:eastAsia="仿宋_GB2312"/>
              </w:rPr>
              <w:t>发生</w:t>
            </w:r>
            <w:r>
              <w:rPr>
                <w:rFonts w:ascii="仿宋_GB2312" w:hAnsi="仿宋_GB2312" w:cs="仿宋_GB2312" w:eastAsia="仿宋_GB2312"/>
              </w:rPr>
              <w:t>异常</w:t>
            </w:r>
            <w:r>
              <w:rPr>
                <w:rFonts w:ascii="仿宋_GB2312" w:hAnsi="仿宋_GB2312" w:cs="仿宋_GB2312" w:eastAsia="仿宋_GB2312"/>
              </w:rPr>
              <w:t>时</w:t>
            </w:r>
            <w:r>
              <w:rPr>
                <w:rFonts w:ascii="仿宋_GB2312" w:hAnsi="仿宋_GB2312" w:cs="仿宋_GB2312" w:eastAsia="仿宋_GB2312"/>
              </w:rPr>
              <w:t>，系统即刻</w:t>
            </w:r>
            <w:r>
              <w:rPr>
                <w:rFonts w:ascii="仿宋_GB2312" w:hAnsi="仿宋_GB2312" w:cs="仿宋_GB2312" w:eastAsia="仿宋_GB2312"/>
              </w:rPr>
              <w:t>启动</w:t>
            </w:r>
            <w:r>
              <w:rPr>
                <w:rFonts w:ascii="仿宋_GB2312" w:hAnsi="仿宋_GB2312" w:cs="仿宋_GB2312" w:eastAsia="仿宋_GB2312"/>
              </w:rPr>
              <w:t>预警，并向</w:t>
            </w:r>
            <w:r>
              <w:rPr>
                <w:rFonts w:ascii="仿宋_GB2312" w:hAnsi="仿宋_GB2312" w:cs="仿宋_GB2312" w:eastAsia="仿宋_GB2312"/>
              </w:rPr>
              <w:t>供水设施水管</w:t>
            </w:r>
            <w:r>
              <w:rPr>
                <w:rFonts w:ascii="仿宋_GB2312" w:hAnsi="仿宋_GB2312" w:cs="仿宋_GB2312" w:eastAsia="仿宋_GB2312"/>
              </w:rPr>
              <w:t>人员</w:t>
            </w:r>
            <w:r>
              <w:rPr>
                <w:rFonts w:ascii="仿宋_GB2312" w:hAnsi="仿宋_GB2312" w:cs="仿宋_GB2312" w:eastAsia="仿宋_GB2312"/>
              </w:rPr>
              <w:t>远程推送预警</w:t>
            </w:r>
            <w:r>
              <w:rPr>
                <w:rFonts w:ascii="仿宋_GB2312" w:hAnsi="仿宋_GB2312" w:cs="仿宋_GB2312" w:eastAsia="仿宋_GB2312"/>
              </w:rPr>
              <w:t>信息，</w:t>
            </w:r>
            <w:r>
              <w:rPr>
                <w:rFonts w:ascii="仿宋_GB2312" w:hAnsi="仿宋_GB2312" w:cs="仿宋_GB2312" w:eastAsia="仿宋_GB2312"/>
              </w:rPr>
              <w:t>系统</w:t>
            </w:r>
            <w:r>
              <w:rPr>
                <w:rFonts w:ascii="仿宋_GB2312" w:hAnsi="仿宋_GB2312" w:cs="仿宋_GB2312" w:eastAsia="仿宋_GB2312"/>
              </w:rPr>
              <w:t>同步留存完整台账</w:t>
            </w:r>
            <w:r>
              <w:rPr>
                <w:rFonts w:ascii="仿宋_GB2312" w:hAnsi="仿宋_GB2312" w:cs="仿宋_GB2312" w:eastAsia="仿宋_GB2312"/>
              </w:rPr>
              <w:t>和相关实时记录，实现</w:t>
            </w:r>
            <w:r>
              <w:rPr>
                <w:rFonts w:ascii="仿宋_GB2312" w:hAnsi="仿宋_GB2312" w:cs="仿宋_GB2312" w:eastAsia="仿宋_GB2312"/>
              </w:rPr>
              <w:t>回溯复盘</w:t>
            </w:r>
            <w:r>
              <w:rPr>
                <w:rFonts w:ascii="仿宋_GB2312" w:hAnsi="仿宋_GB2312" w:cs="仿宋_GB2312" w:eastAsia="仿宋_GB2312"/>
              </w:rPr>
              <w:t>。</w:t>
            </w:r>
          </w:p>
          <w:p>
            <w:pPr>
              <w:pStyle w:val="null3"/>
              <w:ind w:firstLine="400"/>
              <w:jc w:val="left"/>
            </w:pPr>
            <w:r>
              <w:rPr>
                <w:rFonts w:ascii="仿宋_GB2312" w:hAnsi="仿宋_GB2312" w:cs="仿宋_GB2312" w:eastAsia="仿宋_GB2312"/>
                <w:b/>
              </w:rPr>
              <w:t>（</w:t>
            </w:r>
            <w:r>
              <w:rPr>
                <w:rFonts w:ascii="仿宋_GB2312" w:hAnsi="仿宋_GB2312" w:cs="仿宋_GB2312" w:eastAsia="仿宋_GB2312"/>
                <w:b/>
              </w:rPr>
              <w:t>一</w:t>
            </w:r>
            <w:r>
              <w:rPr>
                <w:rFonts w:ascii="仿宋_GB2312" w:hAnsi="仿宋_GB2312" w:cs="仿宋_GB2312" w:eastAsia="仿宋_GB2312"/>
                <w:b/>
              </w:rPr>
              <w:t>）</w:t>
            </w:r>
            <w:r>
              <w:rPr>
                <w:rFonts w:ascii="仿宋_GB2312" w:hAnsi="仿宋_GB2312" w:cs="仿宋_GB2312" w:eastAsia="仿宋_GB2312"/>
                <w:b/>
              </w:rPr>
              <w:t>二次供水设施采用</w:t>
            </w:r>
            <w:r>
              <w:rPr>
                <w:rFonts w:ascii="仿宋_GB2312" w:hAnsi="仿宋_GB2312" w:cs="仿宋_GB2312" w:eastAsia="仿宋_GB2312"/>
                <w:b/>
              </w:rPr>
              <w:t>单水箱</w:t>
            </w:r>
            <w:r>
              <w:rPr>
                <w:rFonts w:ascii="仿宋_GB2312" w:hAnsi="仿宋_GB2312" w:cs="仿宋_GB2312" w:eastAsia="仿宋_GB2312"/>
                <w:b/>
              </w:rPr>
              <w:t>供水</w:t>
            </w:r>
            <w:r>
              <w:rPr>
                <w:rFonts w:ascii="仿宋_GB2312" w:hAnsi="仿宋_GB2312" w:cs="仿宋_GB2312" w:eastAsia="仿宋_GB2312"/>
                <w:b/>
              </w:rPr>
              <w:t>场景</w:t>
            </w:r>
          </w:p>
          <w:p>
            <w:pPr>
              <w:pStyle w:val="null3"/>
              <w:ind w:firstLine="400"/>
              <w:jc w:val="left"/>
            </w:pPr>
            <w:r>
              <w:rPr>
                <w:rFonts w:ascii="仿宋_GB2312" w:hAnsi="仿宋_GB2312" w:cs="仿宋_GB2312" w:eastAsia="仿宋_GB2312"/>
              </w:rPr>
              <w:t>于市政给水管网接入水箱的进水管</w:t>
            </w:r>
            <w:r>
              <w:rPr>
                <w:rFonts w:ascii="仿宋_GB2312" w:hAnsi="仿宋_GB2312" w:cs="仿宋_GB2312" w:eastAsia="仿宋_GB2312"/>
              </w:rPr>
              <w:t>附近</w:t>
            </w:r>
            <w:r>
              <w:rPr>
                <w:rFonts w:ascii="仿宋_GB2312" w:hAnsi="仿宋_GB2312" w:cs="仿宋_GB2312" w:eastAsia="仿宋_GB2312"/>
              </w:rPr>
              <w:t>布设多参数传感器，实时监测</w:t>
            </w:r>
            <w:r>
              <w:rPr>
                <w:rFonts w:ascii="仿宋_GB2312" w:hAnsi="仿宋_GB2312" w:cs="仿宋_GB2312" w:eastAsia="仿宋_GB2312"/>
              </w:rPr>
              <w:t>pH、余氯、浊度及水温等关键指标，数据同步</w:t>
            </w:r>
            <w:r>
              <w:rPr>
                <w:rFonts w:ascii="仿宋_GB2312" w:hAnsi="仿宋_GB2312" w:cs="仿宋_GB2312" w:eastAsia="仿宋_GB2312"/>
              </w:rPr>
              <w:t>上传存储</w:t>
            </w:r>
            <w:r>
              <w:rPr>
                <w:rFonts w:ascii="仿宋_GB2312" w:hAnsi="仿宋_GB2312" w:cs="仿宋_GB2312" w:eastAsia="仿宋_GB2312"/>
              </w:rPr>
              <w:t>，</w:t>
            </w:r>
            <w:r>
              <w:rPr>
                <w:rFonts w:ascii="仿宋_GB2312" w:hAnsi="仿宋_GB2312" w:cs="仿宋_GB2312" w:eastAsia="仿宋_GB2312"/>
              </w:rPr>
              <w:t>可</w:t>
            </w:r>
            <w:r>
              <w:rPr>
                <w:rFonts w:ascii="仿宋_GB2312" w:hAnsi="仿宋_GB2312" w:cs="仿宋_GB2312" w:eastAsia="仿宋_GB2312"/>
              </w:rPr>
              <w:t>作为评估片区市政管网整体水质的真实依据；</w:t>
            </w:r>
          </w:p>
          <w:p>
            <w:pPr>
              <w:pStyle w:val="null3"/>
              <w:ind w:firstLine="400"/>
              <w:jc w:val="left"/>
            </w:pPr>
            <w:r>
              <w:rPr>
                <w:rFonts w:ascii="仿宋_GB2312" w:hAnsi="仿宋_GB2312" w:cs="仿宋_GB2312" w:eastAsia="仿宋_GB2312"/>
              </w:rPr>
              <w:t>系统基于进水水质实施</w:t>
            </w:r>
            <w:r>
              <w:rPr>
                <w:rFonts w:ascii="仿宋_GB2312" w:hAnsi="仿宋_GB2312" w:cs="仿宋_GB2312" w:eastAsia="仿宋_GB2312"/>
              </w:rPr>
              <w:t>动态治理</w:t>
            </w:r>
            <w:r>
              <w:rPr>
                <w:rFonts w:ascii="仿宋_GB2312" w:hAnsi="仿宋_GB2312" w:cs="仿宋_GB2312" w:eastAsia="仿宋_GB2312"/>
              </w:rPr>
              <w:t>，当监测到进水余氯不足时，自动触发加药装置精准投加二氧化氯，</w:t>
            </w:r>
            <w:r>
              <w:rPr>
                <w:rFonts w:ascii="仿宋_GB2312" w:hAnsi="仿宋_GB2312" w:cs="仿宋_GB2312" w:eastAsia="仿宋_GB2312"/>
              </w:rPr>
              <w:t>强化箱体内水质安全保障</w:t>
            </w:r>
            <w:r>
              <w:rPr>
                <w:rFonts w:ascii="仿宋_GB2312" w:hAnsi="仿宋_GB2312" w:cs="仿宋_GB2312" w:eastAsia="仿宋_GB2312"/>
              </w:rPr>
              <w:t>；</w:t>
            </w:r>
          </w:p>
          <w:p>
            <w:pPr>
              <w:pStyle w:val="null3"/>
              <w:ind w:firstLine="400"/>
              <w:jc w:val="left"/>
            </w:pPr>
            <w:r>
              <w:rPr>
                <w:rFonts w:ascii="仿宋_GB2312" w:hAnsi="仿宋_GB2312" w:cs="仿宋_GB2312" w:eastAsia="仿宋_GB2312"/>
              </w:rPr>
              <w:t>建立</w:t>
            </w:r>
            <w:r>
              <w:rPr>
                <w:rFonts w:ascii="仿宋_GB2312" w:hAnsi="仿宋_GB2312" w:cs="仿宋_GB2312" w:eastAsia="仿宋_GB2312"/>
              </w:rPr>
              <w:t>闭环反馈机制，在水箱出水口实时采集二氧化氯余量，</w:t>
            </w:r>
            <w:r>
              <w:rPr>
                <w:rFonts w:ascii="仿宋_GB2312" w:hAnsi="仿宋_GB2312" w:cs="仿宋_GB2312" w:eastAsia="仿宋_GB2312"/>
              </w:rPr>
              <w:t>依据</w:t>
            </w:r>
            <w:r>
              <w:rPr>
                <w:rFonts w:ascii="仿宋_GB2312" w:hAnsi="仿宋_GB2312" w:cs="仿宋_GB2312" w:eastAsia="仿宋_GB2312"/>
              </w:rPr>
              <w:t>《生活饮用水卫生标准》（</w:t>
            </w:r>
            <w:r>
              <w:rPr>
                <w:rFonts w:ascii="仿宋_GB2312" w:hAnsi="仿宋_GB2312" w:cs="仿宋_GB2312" w:eastAsia="仿宋_GB2312"/>
              </w:rPr>
              <w:t>GB 5749-2022）</w:t>
            </w:r>
            <w:r>
              <w:rPr>
                <w:rFonts w:ascii="仿宋_GB2312" w:hAnsi="仿宋_GB2312" w:cs="仿宋_GB2312" w:eastAsia="仿宋_GB2312"/>
              </w:rPr>
              <w:t>相关水质指标</w:t>
            </w:r>
            <w:r>
              <w:rPr>
                <w:rFonts w:ascii="仿宋_GB2312" w:hAnsi="仿宋_GB2312" w:cs="仿宋_GB2312" w:eastAsia="仿宋_GB2312"/>
              </w:rPr>
              <w:t>，</w:t>
            </w:r>
            <w:r>
              <w:rPr>
                <w:rFonts w:ascii="仿宋_GB2312" w:hAnsi="仿宋_GB2312" w:cs="仿宋_GB2312" w:eastAsia="仿宋_GB2312"/>
              </w:rPr>
              <w:t>当水箱</w:t>
            </w:r>
            <w:r>
              <w:rPr>
                <w:rFonts w:ascii="仿宋_GB2312" w:hAnsi="仿宋_GB2312" w:cs="仿宋_GB2312" w:eastAsia="仿宋_GB2312"/>
              </w:rPr>
              <w:t>出水</w:t>
            </w:r>
            <w:r>
              <w:rPr>
                <w:rFonts w:ascii="仿宋_GB2312" w:hAnsi="仿宋_GB2312" w:cs="仿宋_GB2312" w:eastAsia="仿宋_GB2312"/>
              </w:rPr>
              <w:t>水质</w:t>
            </w:r>
            <w:r>
              <w:rPr>
                <w:rFonts w:ascii="仿宋_GB2312" w:hAnsi="仿宋_GB2312" w:cs="仿宋_GB2312" w:eastAsia="仿宋_GB2312"/>
              </w:rPr>
              <w:t>指标达到标准</w:t>
            </w:r>
            <w:r>
              <w:rPr>
                <w:rFonts w:ascii="仿宋_GB2312" w:hAnsi="仿宋_GB2312" w:cs="仿宋_GB2312" w:eastAsia="仿宋_GB2312"/>
              </w:rPr>
              <w:t>时</w:t>
            </w:r>
            <w:r>
              <w:rPr>
                <w:rFonts w:ascii="仿宋_GB2312" w:hAnsi="仿宋_GB2312" w:cs="仿宋_GB2312" w:eastAsia="仿宋_GB2312"/>
              </w:rPr>
              <w:t>，系统即刻自动关停加药设备</w:t>
            </w:r>
            <w:r>
              <w:rPr>
                <w:rFonts w:ascii="仿宋_GB2312" w:hAnsi="仿宋_GB2312" w:cs="仿宋_GB2312" w:eastAsia="仿宋_GB2312"/>
              </w:rPr>
              <w:t>。</w:t>
            </w:r>
          </w:p>
          <w:p>
            <w:pPr>
              <w:pStyle w:val="null3"/>
              <w:ind w:firstLine="400"/>
              <w:jc w:val="center"/>
            </w:pPr>
            <w:r>
              <w:rPr>
                <w:rFonts w:ascii="仿宋_GB2312" w:hAnsi="仿宋_GB2312" w:cs="仿宋_GB2312" w:eastAsia="仿宋_GB2312"/>
                <w:b/>
              </w:rPr>
              <w:t>单水箱水质监测与治理系统安装示意图</w:t>
            </w:r>
          </w:p>
          <w:p>
            <w:pPr>
              <w:pStyle w:val="null3"/>
              <w:ind w:firstLine="400"/>
              <w:jc w:val="left"/>
            </w:pPr>
            <w:r>
              <w:drawing>
                <wp:inline distT="0" distR="0" distB="0" distL="0">
                  <wp:extent cx="1621155" cy="909475"/>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1621155" cy="909475"/>
                          </a:xfrm>
                          <a:prstGeom prst="rect">
                            <a:avLst/>
                          </a:prstGeom>
                        </pic:spPr>
                      </pic:pic>
                    </a:graphicData>
                  </a:graphic>
                </wp:inline>
              </w:drawing>
            </w:r>
          </w:p>
          <w:p>
            <w:pPr>
              <w:pStyle w:val="null3"/>
              <w:ind w:firstLine="400"/>
              <w:jc w:val="left"/>
            </w:pPr>
            <w:r>
              <w:rPr>
                <w:rFonts w:ascii="仿宋_GB2312" w:hAnsi="仿宋_GB2312" w:cs="仿宋_GB2312" w:eastAsia="仿宋_GB2312"/>
                <w:b/>
              </w:rPr>
              <w:t>（</w:t>
            </w:r>
            <w:r>
              <w:rPr>
                <w:rFonts w:ascii="仿宋_GB2312" w:hAnsi="仿宋_GB2312" w:cs="仿宋_GB2312" w:eastAsia="仿宋_GB2312"/>
                <w:b/>
              </w:rPr>
              <w:t>二</w:t>
            </w:r>
            <w:r>
              <w:rPr>
                <w:rFonts w:ascii="仿宋_GB2312" w:hAnsi="仿宋_GB2312" w:cs="仿宋_GB2312" w:eastAsia="仿宋_GB2312"/>
                <w:b/>
              </w:rPr>
              <w:t>）</w:t>
            </w:r>
            <w:r>
              <w:rPr>
                <w:rFonts w:ascii="仿宋_GB2312" w:hAnsi="仿宋_GB2312" w:cs="仿宋_GB2312" w:eastAsia="仿宋_GB2312"/>
                <w:b/>
              </w:rPr>
              <w:t>二次供水设施采用非</w:t>
            </w:r>
            <w:r>
              <w:rPr>
                <w:rFonts w:ascii="仿宋_GB2312" w:hAnsi="仿宋_GB2312" w:cs="仿宋_GB2312" w:eastAsia="仿宋_GB2312"/>
                <w:b/>
              </w:rPr>
              <w:t>单</w:t>
            </w:r>
            <w:r>
              <w:rPr>
                <w:rFonts w:ascii="仿宋_GB2312" w:hAnsi="仿宋_GB2312" w:cs="仿宋_GB2312" w:eastAsia="仿宋_GB2312"/>
                <w:b/>
              </w:rPr>
              <w:t>一</w:t>
            </w:r>
            <w:r>
              <w:rPr>
                <w:rFonts w:ascii="仿宋_GB2312" w:hAnsi="仿宋_GB2312" w:cs="仿宋_GB2312" w:eastAsia="仿宋_GB2312"/>
                <w:b/>
              </w:rPr>
              <w:t>水箱</w:t>
            </w:r>
            <w:r>
              <w:rPr>
                <w:rFonts w:ascii="仿宋_GB2312" w:hAnsi="仿宋_GB2312" w:cs="仿宋_GB2312" w:eastAsia="仿宋_GB2312"/>
                <w:b/>
              </w:rPr>
              <w:t>供水</w:t>
            </w:r>
            <w:r>
              <w:rPr>
                <w:rFonts w:ascii="仿宋_GB2312" w:hAnsi="仿宋_GB2312" w:cs="仿宋_GB2312" w:eastAsia="仿宋_GB2312"/>
                <w:b/>
              </w:rPr>
              <w:t>场景</w:t>
            </w:r>
          </w:p>
          <w:p>
            <w:pPr>
              <w:pStyle w:val="null3"/>
              <w:ind w:firstLine="400"/>
              <w:jc w:val="left"/>
            </w:pPr>
            <w:r>
              <w:rPr>
                <w:rFonts w:ascii="仿宋_GB2312" w:hAnsi="仿宋_GB2312" w:cs="仿宋_GB2312" w:eastAsia="仿宋_GB2312"/>
              </w:rPr>
              <w:t>对于非单一水箱场景，二次供水设施采用</w:t>
            </w:r>
            <w:r>
              <w:rPr>
                <w:rFonts w:ascii="仿宋_GB2312" w:hAnsi="仿宋_GB2312" w:cs="仿宋_GB2312" w:eastAsia="仿宋_GB2312"/>
              </w:rPr>
              <w:t>2个及以上水箱供水，水箱之间应实现水源交互。在市政给水接入水箱的进水管附近处布设多参数传感器，</w:t>
            </w:r>
            <w:r>
              <w:rPr>
                <w:rFonts w:ascii="仿宋_GB2312" w:hAnsi="仿宋_GB2312" w:cs="仿宋_GB2312" w:eastAsia="仿宋_GB2312"/>
              </w:rPr>
              <w:t>数据同步</w:t>
            </w:r>
            <w:r>
              <w:rPr>
                <w:rFonts w:ascii="仿宋_GB2312" w:hAnsi="仿宋_GB2312" w:cs="仿宋_GB2312" w:eastAsia="仿宋_GB2312"/>
              </w:rPr>
              <w:t>上传存储</w:t>
            </w:r>
            <w:r>
              <w:rPr>
                <w:rFonts w:ascii="仿宋_GB2312" w:hAnsi="仿宋_GB2312" w:cs="仿宋_GB2312" w:eastAsia="仿宋_GB2312"/>
              </w:rPr>
              <w:t>，</w:t>
            </w:r>
            <w:r>
              <w:rPr>
                <w:rFonts w:ascii="仿宋_GB2312" w:hAnsi="仿宋_GB2312" w:cs="仿宋_GB2312" w:eastAsia="仿宋_GB2312"/>
              </w:rPr>
              <w:t>可</w:t>
            </w:r>
            <w:r>
              <w:rPr>
                <w:rFonts w:ascii="仿宋_GB2312" w:hAnsi="仿宋_GB2312" w:cs="仿宋_GB2312" w:eastAsia="仿宋_GB2312"/>
              </w:rPr>
              <w:t>作为评估片区市政管网整体水质的真实依据；</w:t>
            </w:r>
          </w:p>
          <w:p>
            <w:pPr>
              <w:pStyle w:val="null3"/>
              <w:ind w:firstLine="400"/>
              <w:jc w:val="left"/>
            </w:pPr>
            <w:r>
              <w:rPr>
                <w:rFonts w:ascii="仿宋_GB2312" w:hAnsi="仿宋_GB2312" w:cs="仿宋_GB2312" w:eastAsia="仿宋_GB2312"/>
              </w:rPr>
              <w:t>当监测到进水余氯指标偏低时，系统自动启动二氧化氯投加设备，药剂经混合后通过管网分支器均匀分配至各连通水箱，实现多水箱同步治理。</w:t>
            </w:r>
          </w:p>
          <w:p>
            <w:pPr>
              <w:pStyle w:val="null3"/>
              <w:ind w:firstLine="400"/>
              <w:jc w:val="left"/>
            </w:pPr>
            <w:r>
              <w:rPr>
                <w:rFonts w:ascii="仿宋_GB2312" w:hAnsi="仿宋_GB2312" w:cs="仿宋_GB2312" w:eastAsia="仿宋_GB2312"/>
              </w:rPr>
              <w:t>建立</w:t>
            </w:r>
            <w:r>
              <w:rPr>
                <w:rFonts w:ascii="仿宋_GB2312" w:hAnsi="仿宋_GB2312" w:cs="仿宋_GB2312" w:eastAsia="仿宋_GB2312"/>
              </w:rPr>
              <w:t>闭环反馈机制，</w:t>
            </w:r>
            <w:r>
              <w:rPr>
                <w:rFonts w:ascii="仿宋_GB2312" w:hAnsi="仿宋_GB2312" w:cs="仿宋_GB2312" w:eastAsia="仿宋_GB2312"/>
              </w:rPr>
              <w:t>对现场环境、主要供水设备配置、水源交互联通情况进行科学评估，合理布设二氧化氯采集设备。结合</w:t>
            </w:r>
            <w:r>
              <w:rPr>
                <w:rFonts w:ascii="仿宋_GB2312" w:hAnsi="仿宋_GB2312" w:cs="仿宋_GB2312" w:eastAsia="仿宋_GB2312"/>
              </w:rPr>
              <w:t>《生活饮用水卫生标准》（</w:t>
            </w:r>
            <w:r>
              <w:rPr>
                <w:rFonts w:ascii="仿宋_GB2312" w:hAnsi="仿宋_GB2312" w:cs="仿宋_GB2312" w:eastAsia="仿宋_GB2312"/>
              </w:rPr>
              <w:t>GB 5749-2022）</w:t>
            </w:r>
            <w:r>
              <w:rPr>
                <w:rFonts w:ascii="仿宋_GB2312" w:hAnsi="仿宋_GB2312" w:cs="仿宋_GB2312" w:eastAsia="仿宋_GB2312"/>
              </w:rPr>
              <w:t>相关水质指标</w:t>
            </w:r>
            <w:r>
              <w:rPr>
                <w:rFonts w:ascii="仿宋_GB2312" w:hAnsi="仿宋_GB2312" w:cs="仿宋_GB2312" w:eastAsia="仿宋_GB2312"/>
              </w:rPr>
              <w:t>，</w:t>
            </w:r>
            <w:r>
              <w:rPr>
                <w:rFonts w:ascii="仿宋_GB2312" w:hAnsi="仿宋_GB2312" w:cs="仿宋_GB2312" w:eastAsia="仿宋_GB2312"/>
              </w:rPr>
              <w:t>系统根据实时水质情况自动启闭投加装置，实现非单一水箱场景水质同步治理。</w:t>
            </w:r>
          </w:p>
          <w:p>
            <w:pPr>
              <w:pStyle w:val="null3"/>
              <w:ind w:firstLine="400"/>
              <w:jc w:val="center"/>
            </w:pPr>
            <w:r>
              <w:rPr>
                <w:rFonts w:ascii="仿宋_GB2312" w:hAnsi="仿宋_GB2312" w:cs="仿宋_GB2312" w:eastAsia="仿宋_GB2312"/>
                <w:b/>
              </w:rPr>
              <w:t>非单一</w:t>
            </w:r>
            <w:r>
              <w:rPr>
                <w:rFonts w:ascii="仿宋_GB2312" w:hAnsi="仿宋_GB2312" w:cs="仿宋_GB2312" w:eastAsia="仿宋_GB2312"/>
                <w:b/>
              </w:rPr>
              <w:t>水箱水质监测与治理系统安装示意图</w:t>
            </w:r>
          </w:p>
          <w:p>
            <w:pPr>
              <w:pStyle w:val="null3"/>
              <w:ind w:firstLine="400"/>
              <w:jc w:val="left"/>
            </w:pPr>
            <w:r>
              <w:drawing>
                <wp:inline distT="0" distR="0" distB="0" distL="0">
                  <wp:extent cx="1621155" cy="832588"/>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7"/>
                          <a:stretch>
                            <a:fillRect/>
                          </a:stretch>
                        </pic:blipFill>
                        <pic:spPr>
                          <a:xfrm>
                            <a:off x="0" y="0"/>
                            <a:ext cx="1621155" cy="832588"/>
                          </a:xfrm>
                          <a:prstGeom prst="rect">
                            <a:avLst/>
                          </a:prstGeom>
                        </pic:spPr>
                      </pic:pic>
                    </a:graphicData>
                  </a:graphic>
                </wp:inline>
              </w:drawing>
            </w:r>
          </w:p>
          <w:p>
            <w:pPr>
              <w:pStyle w:val="null3"/>
              <w:ind w:firstLine="400"/>
              <w:jc w:val="left"/>
            </w:pPr>
            <w:r>
              <w:rPr>
                <w:rFonts w:ascii="仿宋_GB2312" w:hAnsi="仿宋_GB2312" w:cs="仿宋_GB2312" w:eastAsia="仿宋_GB2312"/>
                <w:b/>
              </w:rPr>
              <w:t>五、</w:t>
            </w:r>
            <w:r>
              <w:rPr>
                <w:rFonts w:ascii="仿宋_GB2312" w:hAnsi="仿宋_GB2312" w:cs="仿宋_GB2312" w:eastAsia="仿宋_GB2312"/>
                <w:b/>
              </w:rPr>
              <w:t>技术标准及要求</w:t>
            </w:r>
          </w:p>
          <w:p>
            <w:pPr>
              <w:pStyle w:val="null3"/>
              <w:ind w:firstLine="400"/>
              <w:jc w:val="left"/>
            </w:pPr>
            <w:r>
              <w:rPr>
                <w:rFonts w:ascii="仿宋_GB2312" w:hAnsi="仿宋_GB2312" w:cs="仿宋_GB2312" w:eastAsia="仿宋_GB2312"/>
                <w:b/>
              </w:rPr>
              <w:t>（</w:t>
            </w:r>
            <w:r>
              <w:rPr>
                <w:rFonts w:ascii="仿宋_GB2312" w:hAnsi="仿宋_GB2312" w:cs="仿宋_GB2312" w:eastAsia="仿宋_GB2312"/>
                <w:b/>
              </w:rPr>
              <w:t>一</w:t>
            </w:r>
            <w:r>
              <w:rPr>
                <w:rFonts w:ascii="仿宋_GB2312" w:hAnsi="仿宋_GB2312" w:cs="仿宋_GB2312" w:eastAsia="仿宋_GB2312"/>
                <w:b/>
              </w:rPr>
              <w:t>）水质在线实时</w:t>
            </w:r>
            <w:r>
              <w:rPr>
                <w:rFonts w:ascii="仿宋_GB2312" w:hAnsi="仿宋_GB2312" w:cs="仿宋_GB2312" w:eastAsia="仿宋_GB2312"/>
                <w:b/>
              </w:rPr>
              <w:t>监测</w:t>
            </w:r>
            <w:r>
              <w:rPr>
                <w:rFonts w:ascii="仿宋_GB2312" w:hAnsi="仿宋_GB2312" w:cs="仿宋_GB2312" w:eastAsia="仿宋_GB2312"/>
                <w:b/>
              </w:rPr>
              <w:t>技术要求</w:t>
            </w:r>
          </w:p>
          <w:p>
            <w:pPr>
              <w:pStyle w:val="null3"/>
              <w:ind w:firstLine="400"/>
              <w:jc w:val="left"/>
            </w:pPr>
            <w:r>
              <w:rPr>
                <w:rFonts w:ascii="仿宋_GB2312" w:hAnsi="仿宋_GB2312" w:cs="仿宋_GB2312" w:eastAsia="仿宋_GB2312"/>
              </w:rPr>
              <w:t>1、水质监测设备</w:t>
            </w:r>
          </w:p>
          <w:p>
            <w:pPr>
              <w:pStyle w:val="null3"/>
              <w:ind w:firstLine="400"/>
              <w:jc w:val="left"/>
            </w:pPr>
            <w:r>
              <w:rPr>
                <w:rFonts w:ascii="仿宋_GB2312" w:hAnsi="仿宋_GB2312" w:cs="仿宋_GB2312" w:eastAsia="仿宋_GB2312"/>
              </w:rPr>
              <w:t>支持</w:t>
            </w:r>
            <w:r>
              <w:rPr>
                <w:rFonts w:ascii="仿宋_GB2312" w:hAnsi="仿宋_GB2312" w:cs="仿宋_GB2312" w:eastAsia="仿宋_GB2312"/>
              </w:rPr>
              <w:t>pH值、余氯、</w:t>
            </w:r>
            <w:r>
              <w:rPr>
                <w:rFonts w:ascii="仿宋_GB2312" w:hAnsi="仿宋_GB2312" w:cs="仿宋_GB2312" w:eastAsia="仿宋_GB2312"/>
              </w:rPr>
              <w:t>二氧化氯、</w:t>
            </w:r>
            <w:r>
              <w:rPr>
                <w:rFonts w:ascii="仿宋_GB2312" w:hAnsi="仿宋_GB2312" w:cs="仿宋_GB2312" w:eastAsia="仿宋_GB2312"/>
              </w:rPr>
              <w:t>浊度、水温等参数实时监测，各传感器经严格校准，确保测量准确性。</w:t>
            </w:r>
          </w:p>
          <w:p>
            <w:pPr>
              <w:pStyle w:val="null3"/>
              <w:ind w:firstLine="400"/>
              <w:jc w:val="left"/>
            </w:pPr>
            <w:r>
              <w:rPr>
                <w:rFonts w:ascii="仿宋_GB2312" w:hAnsi="仿宋_GB2312" w:cs="仿宋_GB2312" w:eastAsia="仿宋_GB2312"/>
              </w:rPr>
              <w:t>2、相关</w:t>
            </w:r>
            <w:r>
              <w:rPr>
                <w:rFonts w:ascii="仿宋_GB2312" w:hAnsi="仿宋_GB2312" w:cs="仿宋_GB2312" w:eastAsia="仿宋_GB2312"/>
              </w:rPr>
              <w:t>性能指标</w:t>
            </w:r>
          </w:p>
          <w:p>
            <w:pPr>
              <w:pStyle w:val="null3"/>
              <w:ind w:firstLine="400"/>
              <w:jc w:val="left"/>
            </w:pPr>
            <w:r>
              <w:rPr>
                <w:rFonts w:ascii="仿宋_GB2312" w:hAnsi="仿宋_GB2312" w:cs="仿宋_GB2312" w:eastAsia="仿宋_GB2312"/>
              </w:rPr>
              <w:t>pH值：测量范围0.00～14.00，分辨率≤0.01pH，精度±0.1pH，采集频率100秒至1小时可调；</w:t>
            </w:r>
          </w:p>
          <w:p>
            <w:pPr>
              <w:pStyle w:val="null3"/>
              <w:ind w:firstLine="400"/>
              <w:jc w:val="left"/>
            </w:pPr>
            <w:r>
              <w:rPr>
                <w:rFonts w:ascii="仿宋_GB2312" w:hAnsi="仿宋_GB2312" w:cs="仿宋_GB2312" w:eastAsia="仿宋_GB2312"/>
              </w:rPr>
              <w:t>余氯：测量范围</w:t>
            </w:r>
            <w:r>
              <w:rPr>
                <w:rFonts w:ascii="仿宋_GB2312" w:hAnsi="仿宋_GB2312" w:cs="仿宋_GB2312" w:eastAsia="仿宋_GB2312"/>
              </w:rPr>
              <w:t>0～20mg/L，分辨率≤0.02mg/L，采集频率100秒至1小时可调；</w:t>
            </w:r>
          </w:p>
          <w:p>
            <w:pPr>
              <w:pStyle w:val="null3"/>
              <w:ind w:firstLine="400"/>
              <w:jc w:val="left"/>
            </w:pPr>
            <w:r>
              <w:rPr>
                <w:rFonts w:ascii="仿宋_GB2312" w:hAnsi="仿宋_GB2312" w:cs="仿宋_GB2312" w:eastAsia="仿宋_GB2312"/>
              </w:rPr>
              <w:t>浊度：测量范围</w:t>
            </w:r>
            <w:r>
              <w:rPr>
                <w:rFonts w:ascii="仿宋_GB2312" w:hAnsi="仿宋_GB2312" w:cs="仿宋_GB2312" w:eastAsia="仿宋_GB2312"/>
              </w:rPr>
              <w:t>0～100NTU，分辨率≤0.2NTU，精度±5%F.S，采集频率100秒至1小时可调；</w:t>
            </w:r>
          </w:p>
          <w:p>
            <w:pPr>
              <w:pStyle w:val="null3"/>
              <w:ind w:firstLine="400"/>
              <w:jc w:val="left"/>
            </w:pPr>
            <w:r>
              <w:rPr>
                <w:rFonts w:ascii="仿宋_GB2312" w:hAnsi="仿宋_GB2312" w:cs="仿宋_GB2312" w:eastAsia="仿宋_GB2312"/>
              </w:rPr>
              <w:t>二氧化氯浓度：测量范围</w:t>
            </w:r>
            <w:r>
              <w:rPr>
                <w:rFonts w:ascii="仿宋_GB2312" w:hAnsi="仿宋_GB2312" w:cs="仿宋_GB2312" w:eastAsia="仿宋_GB2312"/>
              </w:rPr>
              <w:t>0～2mg/L，分辨率≤0.02mg/L，精度±2%，采集频率100秒至1小时可调。</w:t>
            </w:r>
          </w:p>
          <w:p>
            <w:pPr>
              <w:pStyle w:val="null3"/>
              <w:ind w:firstLine="400"/>
              <w:jc w:val="left"/>
            </w:pPr>
            <w:r>
              <w:rPr>
                <w:rFonts w:ascii="仿宋_GB2312" w:hAnsi="仿宋_GB2312" w:cs="仿宋_GB2312" w:eastAsia="仿宋_GB2312"/>
              </w:rPr>
              <w:t>3、</w:t>
            </w:r>
            <w:r>
              <w:rPr>
                <w:rFonts w:ascii="仿宋_GB2312" w:hAnsi="仿宋_GB2312" w:cs="仿宋_GB2312" w:eastAsia="仿宋_GB2312"/>
              </w:rPr>
              <w:t>数据采集与传输</w:t>
            </w:r>
          </w:p>
          <w:p>
            <w:pPr>
              <w:pStyle w:val="null3"/>
              <w:ind w:firstLine="400"/>
              <w:jc w:val="left"/>
            </w:pPr>
            <w:r>
              <w:rPr>
                <w:rFonts w:ascii="仿宋_GB2312" w:hAnsi="仿宋_GB2312" w:cs="仿宋_GB2312" w:eastAsia="仿宋_GB2312"/>
              </w:rPr>
              <w:t>配备数据采集单元，支持</w:t>
            </w:r>
            <w:r>
              <w:rPr>
                <w:rFonts w:ascii="仿宋_GB2312" w:hAnsi="仿宋_GB2312" w:cs="仿宋_GB2312" w:eastAsia="仿宋_GB2312"/>
              </w:rPr>
              <w:t>4G/5G无线传输方式，数据传输延迟≤10秒，确保实时性与稳定性。</w:t>
            </w:r>
          </w:p>
          <w:p>
            <w:pPr>
              <w:pStyle w:val="null3"/>
              <w:ind w:firstLine="400"/>
              <w:jc w:val="left"/>
            </w:pPr>
            <w:r>
              <w:rPr>
                <w:rFonts w:ascii="仿宋_GB2312" w:hAnsi="仿宋_GB2312" w:cs="仿宋_GB2312" w:eastAsia="仿宋_GB2312"/>
              </w:rPr>
              <w:t>4、</w:t>
            </w:r>
            <w:r>
              <w:rPr>
                <w:rFonts w:ascii="仿宋_GB2312" w:hAnsi="仿宋_GB2312" w:cs="仿宋_GB2312" w:eastAsia="仿宋_GB2312"/>
              </w:rPr>
              <w:t>数据处理与报警</w:t>
            </w:r>
          </w:p>
          <w:p>
            <w:pPr>
              <w:pStyle w:val="null3"/>
              <w:ind w:firstLine="400"/>
              <w:jc w:val="left"/>
            </w:pPr>
            <w:r>
              <w:rPr>
                <w:rFonts w:ascii="仿宋_GB2312" w:hAnsi="仿宋_GB2312" w:cs="仿宋_GB2312" w:eastAsia="仿宋_GB2312"/>
              </w:rPr>
              <w:t>此部分为延伸服务内容，应包含但不限于以下条件：</w:t>
            </w:r>
          </w:p>
          <w:p>
            <w:pPr>
              <w:pStyle w:val="null3"/>
              <w:ind w:firstLine="400"/>
              <w:jc w:val="left"/>
            </w:pPr>
            <w:r>
              <w:rPr>
                <w:rFonts w:ascii="仿宋_GB2312" w:hAnsi="仿宋_GB2312" w:cs="仿宋_GB2312" w:eastAsia="仿宋_GB2312"/>
              </w:rPr>
              <w:t>数据采集上传延迟</w:t>
            </w:r>
            <w:r>
              <w:rPr>
                <w:rFonts w:ascii="仿宋_GB2312" w:hAnsi="仿宋_GB2312" w:cs="仿宋_GB2312" w:eastAsia="仿宋_GB2312"/>
              </w:rPr>
              <w:t>≤</w:t>
            </w:r>
            <w:r>
              <w:rPr>
                <w:rFonts w:ascii="仿宋_GB2312" w:hAnsi="仿宋_GB2312" w:cs="仿宋_GB2312" w:eastAsia="仿宋_GB2312"/>
              </w:rPr>
              <w:t>10s</w:t>
            </w:r>
          </w:p>
          <w:p>
            <w:pPr>
              <w:pStyle w:val="null3"/>
              <w:ind w:firstLine="400"/>
              <w:jc w:val="left"/>
            </w:pPr>
            <w:r>
              <w:rPr>
                <w:rFonts w:ascii="仿宋_GB2312" w:hAnsi="仿宋_GB2312" w:cs="仿宋_GB2312" w:eastAsia="仿宋_GB2312"/>
              </w:rPr>
              <w:t>数据传输丢包率</w:t>
            </w:r>
            <w:r>
              <w:rPr>
                <w:rFonts w:ascii="仿宋_GB2312" w:hAnsi="仿宋_GB2312" w:cs="仿宋_GB2312" w:eastAsia="仿宋_GB2312"/>
              </w:rPr>
              <w:t>≤</w:t>
            </w:r>
            <w:r>
              <w:rPr>
                <w:rFonts w:ascii="仿宋_GB2312" w:hAnsi="仿宋_GB2312" w:cs="仿宋_GB2312" w:eastAsia="仿宋_GB2312"/>
              </w:rPr>
              <w:t>1%</w:t>
            </w:r>
          </w:p>
          <w:p>
            <w:pPr>
              <w:pStyle w:val="null3"/>
              <w:ind w:firstLine="400"/>
              <w:jc w:val="left"/>
            </w:pPr>
            <w:r>
              <w:rPr>
                <w:rFonts w:ascii="仿宋_GB2312" w:hAnsi="仿宋_GB2312" w:cs="仿宋_GB2312" w:eastAsia="仿宋_GB2312"/>
              </w:rPr>
              <w:t>系统信息反馈延迟</w:t>
            </w:r>
            <w:r>
              <w:rPr>
                <w:rFonts w:ascii="仿宋_GB2312" w:hAnsi="仿宋_GB2312" w:cs="仿宋_GB2312" w:eastAsia="仿宋_GB2312"/>
              </w:rPr>
              <w:t>≤</w:t>
            </w:r>
            <w:r>
              <w:rPr>
                <w:rFonts w:ascii="仿宋_GB2312" w:hAnsi="仿宋_GB2312" w:cs="仿宋_GB2312" w:eastAsia="仿宋_GB2312"/>
              </w:rPr>
              <w:t>5min</w:t>
            </w:r>
          </w:p>
          <w:p>
            <w:pPr>
              <w:pStyle w:val="null3"/>
              <w:ind w:firstLine="400"/>
              <w:jc w:val="left"/>
            </w:pPr>
            <w:r>
              <w:rPr>
                <w:rFonts w:ascii="仿宋_GB2312" w:hAnsi="仿宋_GB2312" w:cs="仿宋_GB2312" w:eastAsia="仿宋_GB2312"/>
              </w:rPr>
              <w:t>数据存储时限</w:t>
            </w:r>
            <w:r>
              <w:rPr>
                <w:rFonts w:ascii="仿宋_GB2312" w:hAnsi="仿宋_GB2312" w:cs="仿宋_GB2312" w:eastAsia="仿宋_GB2312"/>
              </w:rPr>
              <w:t>≥</w:t>
            </w:r>
            <w:r>
              <w:rPr>
                <w:rFonts w:ascii="仿宋_GB2312" w:hAnsi="仿宋_GB2312" w:cs="仿宋_GB2312" w:eastAsia="仿宋_GB2312"/>
              </w:rPr>
              <w:t>1年</w:t>
            </w:r>
          </w:p>
          <w:p>
            <w:pPr>
              <w:pStyle w:val="null3"/>
              <w:ind w:firstLine="400"/>
              <w:jc w:val="left"/>
            </w:pPr>
            <w:r>
              <w:rPr>
                <w:rFonts w:ascii="仿宋_GB2312" w:hAnsi="仿宋_GB2312" w:cs="仿宋_GB2312" w:eastAsia="仿宋_GB2312"/>
              </w:rPr>
              <w:t>数据存储量</w:t>
            </w:r>
            <w:r>
              <w:rPr>
                <w:rFonts w:ascii="仿宋_GB2312" w:hAnsi="仿宋_GB2312" w:cs="仿宋_GB2312" w:eastAsia="仿宋_GB2312"/>
              </w:rPr>
              <w:t>≥</w:t>
            </w:r>
            <w:r>
              <w:rPr>
                <w:rFonts w:ascii="仿宋_GB2312" w:hAnsi="仿宋_GB2312" w:cs="仿宋_GB2312" w:eastAsia="仿宋_GB2312"/>
              </w:rPr>
              <w:t>30G</w:t>
            </w:r>
          </w:p>
          <w:p>
            <w:pPr>
              <w:pStyle w:val="null3"/>
              <w:ind w:firstLine="400"/>
              <w:jc w:val="left"/>
            </w:pPr>
            <w:r>
              <w:rPr>
                <w:rFonts w:ascii="仿宋_GB2312" w:hAnsi="仿宋_GB2312" w:cs="仿宋_GB2312" w:eastAsia="仿宋_GB2312"/>
              </w:rPr>
              <w:t>数据可实时调取、查看、保存、导出</w:t>
            </w:r>
          </w:p>
          <w:p>
            <w:pPr>
              <w:pStyle w:val="null3"/>
              <w:ind w:firstLine="400"/>
              <w:jc w:val="left"/>
            </w:pPr>
            <w:r>
              <w:rPr>
                <w:rFonts w:ascii="仿宋_GB2312" w:hAnsi="仿宋_GB2312" w:cs="仿宋_GB2312" w:eastAsia="仿宋_GB2312"/>
                <w:b/>
              </w:rPr>
              <w:t>（</w:t>
            </w:r>
            <w:r>
              <w:rPr>
                <w:rFonts w:ascii="仿宋_GB2312" w:hAnsi="仿宋_GB2312" w:cs="仿宋_GB2312" w:eastAsia="仿宋_GB2312"/>
                <w:b/>
              </w:rPr>
              <w:t>二</w:t>
            </w:r>
            <w:r>
              <w:rPr>
                <w:rFonts w:ascii="仿宋_GB2312" w:hAnsi="仿宋_GB2312" w:cs="仿宋_GB2312" w:eastAsia="仿宋_GB2312"/>
                <w:b/>
              </w:rPr>
              <w:t>）消毒投药系统技术要求</w:t>
            </w:r>
          </w:p>
          <w:p>
            <w:pPr>
              <w:pStyle w:val="null3"/>
              <w:ind w:firstLine="400"/>
              <w:jc w:val="left"/>
            </w:pPr>
            <w:r>
              <w:rPr>
                <w:rFonts w:ascii="仿宋_GB2312" w:hAnsi="仿宋_GB2312" w:cs="仿宋_GB2312" w:eastAsia="仿宋_GB2312"/>
              </w:rPr>
              <w:t>1、</w:t>
            </w:r>
            <w:r>
              <w:rPr>
                <w:rFonts w:ascii="仿宋_GB2312" w:hAnsi="仿宋_GB2312" w:cs="仿宋_GB2312" w:eastAsia="仿宋_GB2312"/>
              </w:rPr>
              <w:t>消毒剂与投加方式</w:t>
            </w:r>
          </w:p>
          <w:p>
            <w:pPr>
              <w:pStyle w:val="null3"/>
              <w:ind w:firstLine="400"/>
              <w:jc w:val="left"/>
            </w:pPr>
            <w:r>
              <w:rPr>
                <w:rFonts w:ascii="仿宋_GB2312" w:hAnsi="仿宋_GB2312" w:cs="仿宋_GB2312" w:eastAsia="仿宋_GB2312"/>
              </w:rPr>
              <w:t>支持二氧化氯等生活饮用水专用消毒剂，采用计量泵</w:t>
            </w:r>
            <w:r>
              <w:rPr>
                <w:rFonts w:ascii="仿宋_GB2312" w:hAnsi="仿宋_GB2312" w:cs="仿宋_GB2312" w:eastAsia="仿宋_GB2312"/>
              </w:rPr>
              <w:t>/比例阀实现精准投加，投加</w:t>
            </w:r>
            <w:r>
              <w:rPr>
                <w:rFonts w:ascii="仿宋_GB2312" w:hAnsi="仿宋_GB2312" w:cs="仿宋_GB2312" w:eastAsia="仿宋_GB2312"/>
              </w:rPr>
              <w:t>精度</w:t>
            </w:r>
            <w:r>
              <w:rPr>
                <w:rFonts w:ascii="仿宋_GB2312" w:hAnsi="仿宋_GB2312" w:cs="仿宋_GB2312" w:eastAsia="仿宋_GB2312"/>
              </w:rPr>
              <w:t>≤2%FS，确保与水体均匀混合。</w:t>
            </w:r>
          </w:p>
          <w:p>
            <w:pPr>
              <w:pStyle w:val="null3"/>
              <w:ind w:firstLine="400"/>
              <w:jc w:val="left"/>
            </w:pPr>
            <w:r>
              <w:rPr>
                <w:rFonts w:ascii="仿宋_GB2312" w:hAnsi="仿宋_GB2312" w:cs="仿宋_GB2312" w:eastAsia="仿宋_GB2312"/>
              </w:rPr>
              <w:t>2、</w:t>
            </w:r>
            <w:r>
              <w:rPr>
                <w:rFonts w:ascii="仿宋_GB2312" w:hAnsi="仿宋_GB2312" w:cs="仿宋_GB2312" w:eastAsia="仿宋_GB2312"/>
              </w:rPr>
              <w:t>实时反馈控制</w:t>
            </w:r>
          </w:p>
          <w:p>
            <w:pPr>
              <w:pStyle w:val="null3"/>
              <w:ind w:firstLine="400"/>
              <w:jc w:val="left"/>
            </w:pPr>
            <w:r>
              <w:rPr>
                <w:rFonts w:ascii="仿宋_GB2312" w:hAnsi="仿宋_GB2312" w:cs="仿宋_GB2312" w:eastAsia="仿宋_GB2312"/>
              </w:rPr>
              <w:t>基于水质实时数据自动开关投加设备，响应时间</w:t>
            </w:r>
            <w:r>
              <w:rPr>
                <w:rFonts w:ascii="仿宋_GB2312" w:hAnsi="仿宋_GB2312" w:cs="仿宋_GB2312" w:eastAsia="仿宋_GB2312"/>
              </w:rPr>
              <w:t>≤30秒，投加量调节范围0～100%额定值。</w:t>
            </w:r>
          </w:p>
          <w:p>
            <w:pPr>
              <w:pStyle w:val="null3"/>
              <w:ind w:firstLine="400"/>
              <w:jc w:val="left"/>
            </w:pPr>
            <w:r>
              <w:rPr>
                <w:rFonts w:ascii="仿宋_GB2312" w:hAnsi="仿宋_GB2312" w:cs="仿宋_GB2312" w:eastAsia="仿宋_GB2312"/>
              </w:rPr>
              <w:t>3、</w:t>
            </w:r>
            <w:r>
              <w:rPr>
                <w:rFonts w:ascii="仿宋_GB2312" w:hAnsi="仿宋_GB2312" w:cs="仿宋_GB2312" w:eastAsia="仿宋_GB2312"/>
              </w:rPr>
              <w:t>设备性能</w:t>
            </w:r>
          </w:p>
          <w:p>
            <w:pPr>
              <w:pStyle w:val="null3"/>
              <w:ind w:firstLine="400"/>
              <w:jc w:val="left"/>
            </w:pPr>
            <w:r>
              <w:rPr>
                <w:rFonts w:ascii="仿宋_GB2312" w:hAnsi="仿宋_GB2312" w:cs="仿宋_GB2312" w:eastAsia="仿宋_GB2312"/>
              </w:rPr>
              <w:t>投药设备具备耐酸、耐腐蚀特性，运行无试剂二次污染；安装防回流装置，避免管网水倒流造成污染。</w:t>
            </w:r>
          </w:p>
          <w:p>
            <w:pPr>
              <w:pStyle w:val="null3"/>
              <w:ind w:firstLine="400"/>
              <w:jc w:val="left"/>
            </w:pPr>
            <w:r>
              <w:rPr>
                <w:rFonts w:ascii="仿宋_GB2312" w:hAnsi="仿宋_GB2312" w:cs="仿宋_GB2312" w:eastAsia="仿宋_GB2312"/>
                <w:b/>
              </w:rPr>
              <w:t>（</w:t>
            </w:r>
            <w:r>
              <w:rPr>
                <w:rFonts w:ascii="仿宋_GB2312" w:hAnsi="仿宋_GB2312" w:cs="仿宋_GB2312" w:eastAsia="仿宋_GB2312"/>
                <w:b/>
              </w:rPr>
              <w:t>三</w:t>
            </w:r>
            <w:r>
              <w:rPr>
                <w:rFonts w:ascii="仿宋_GB2312" w:hAnsi="仿宋_GB2312" w:cs="仿宋_GB2312" w:eastAsia="仿宋_GB2312"/>
                <w:b/>
              </w:rPr>
              <w:t>）数据规范要求</w:t>
            </w:r>
          </w:p>
          <w:p>
            <w:pPr>
              <w:pStyle w:val="null3"/>
              <w:ind w:firstLine="400"/>
              <w:jc w:val="left"/>
            </w:pPr>
            <w:r>
              <w:rPr>
                <w:rFonts w:ascii="仿宋_GB2312" w:hAnsi="仿宋_GB2312" w:cs="仿宋_GB2312" w:eastAsia="仿宋_GB2312"/>
              </w:rPr>
              <w:t>1、</w:t>
            </w:r>
            <w:r>
              <w:rPr>
                <w:rFonts w:ascii="仿宋_GB2312" w:hAnsi="仿宋_GB2312" w:cs="仿宋_GB2312" w:eastAsia="仿宋_GB2312"/>
              </w:rPr>
              <w:t>监测数据通过</w:t>
            </w:r>
            <w:r>
              <w:rPr>
                <w:rFonts w:ascii="仿宋_GB2312" w:hAnsi="仿宋_GB2312" w:cs="仿宋_GB2312" w:eastAsia="仿宋_GB2312"/>
              </w:rPr>
              <w:t>MQTT/HTTP等标准协议</w:t>
            </w:r>
            <w:r>
              <w:rPr>
                <w:rFonts w:ascii="仿宋_GB2312" w:hAnsi="仿宋_GB2312" w:cs="仿宋_GB2312" w:eastAsia="仿宋_GB2312"/>
              </w:rPr>
              <w:t>传输，确保数据稳定</w:t>
            </w:r>
            <w:r>
              <w:rPr>
                <w:rFonts w:ascii="仿宋_GB2312" w:hAnsi="仿宋_GB2312" w:cs="仿宋_GB2312" w:eastAsia="仿宋_GB2312"/>
              </w:rPr>
              <w:t>。</w:t>
            </w:r>
          </w:p>
          <w:p>
            <w:pPr>
              <w:pStyle w:val="null3"/>
              <w:ind w:firstLine="400"/>
              <w:jc w:val="left"/>
            </w:pPr>
            <w:r>
              <w:rPr>
                <w:rFonts w:ascii="仿宋_GB2312" w:hAnsi="仿宋_GB2312" w:cs="仿宋_GB2312" w:eastAsia="仿宋_GB2312"/>
              </w:rPr>
              <w:t>2、</w:t>
            </w:r>
            <w:r>
              <w:rPr>
                <w:rFonts w:ascii="仿宋_GB2312" w:hAnsi="仿宋_GB2312" w:cs="仿宋_GB2312" w:eastAsia="仿宋_GB2312"/>
              </w:rPr>
              <w:t>数据格式</w:t>
            </w:r>
            <w:r>
              <w:rPr>
                <w:rFonts w:ascii="仿宋_GB2312" w:hAnsi="仿宋_GB2312" w:cs="仿宋_GB2312" w:eastAsia="仿宋_GB2312"/>
              </w:rPr>
              <w:t>可</w:t>
            </w:r>
            <w:r>
              <w:rPr>
                <w:rFonts w:ascii="仿宋_GB2312" w:hAnsi="仿宋_GB2312" w:cs="仿宋_GB2312" w:eastAsia="仿宋_GB2312"/>
              </w:rPr>
              <w:t>采用</w:t>
            </w:r>
            <w:r>
              <w:rPr>
                <w:rFonts w:ascii="仿宋_GB2312" w:hAnsi="仿宋_GB2312" w:cs="仿宋_GB2312" w:eastAsia="仿宋_GB2312"/>
              </w:rPr>
              <w:t>JSON</w:t>
            </w:r>
            <w:r>
              <w:rPr>
                <w:rFonts w:ascii="仿宋_GB2312" w:hAnsi="仿宋_GB2312" w:cs="仿宋_GB2312" w:eastAsia="仿宋_GB2312"/>
              </w:rPr>
              <w:t>/JSON/CBOR/Protobuf等主流</w:t>
            </w:r>
            <w:r>
              <w:rPr>
                <w:rFonts w:ascii="仿宋_GB2312" w:hAnsi="仿宋_GB2312" w:cs="仿宋_GB2312" w:eastAsia="仿宋_GB2312"/>
              </w:rPr>
              <w:t>格式封装数据包，数据包必须完整包含设备</w:t>
            </w:r>
            <w:r>
              <w:rPr>
                <w:rFonts w:ascii="仿宋_GB2312" w:hAnsi="仿宋_GB2312" w:cs="仿宋_GB2312" w:eastAsia="仿宋_GB2312"/>
              </w:rPr>
              <w:t>ID、采集时间戳、监测数值及运行状态码等关键字段，保证数据规范性与可追溯性。</w:t>
            </w:r>
          </w:p>
          <w:p>
            <w:pPr>
              <w:pStyle w:val="null3"/>
              <w:ind w:firstLine="400"/>
              <w:jc w:val="left"/>
            </w:pPr>
            <w:r>
              <w:rPr>
                <w:rFonts w:ascii="仿宋_GB2312" w:hAnsi="仿宋_GB2312" w:cs="仿宋_GB2312" w:eastAsia="仿宋_GB2312"/>
              </w:rPr>
              <w:t>3、</w:t>
            </w:r>
            <w:r>
              <w:rPr>
                <w:rFonts w:ascii="仿宋_GB2312" w:hAnsi="仿宋_GB2312" w:cs="仿宋_GB2312" w:eastAsia="仿宋_GB2312"/>
              </w:rPr>
              <w:t>系统</w:t>
            </w:r>
            <w:r>
              <w:rPr>
                <w:rFonts w:ascii="仿宋_GB2312" w:hAnsi="仿宋_GB2312" w:cs="仿宋_GB2312" w:eastAsia="仿宋_GB2312"/>
              </w:rPr>
              <w:t>应具备</w:t>
            </w:r>
            <w:r>
              <w:rPr>
                <w:rFonts w:ascii="仿宋_GB2312" w:hAnsi="仿宋_GB2312" w:cs="仿宋_GB2312" w:eastAsia="仿宋_GB2312"/>
              </w:rPr>
              <w:t>对外提供</w:t>
            </w:r>
            <w:r>
              <w:rPr>
                <w:rFonts w:ascii="仿宋_GB2312" w:hAnsi="仿宋_GB2312" w:cs="仿宋_GB2312" w:eastAsia="仿宋_GB2312"/>
              </w:rPr>
              <w:t>RESTful API接口</w:t>
            </w:r>
            <w:r>
              <w:rPr>
                <w:rFonts w:ascii="仿宋_GB2312" w:hAnsi="仿宋_GB2312" w:cs="仿宋_GB2312" w:eastAsia="仿宋_GB2312"/>
              </w:rPr>
              <w:t>等拓展功能</w:t>
            </w:r>
            <w:r>
              <w:rPr>
                <w:rFonts w:ascii="仿宋_GB2312" w:hAnsi="仿宋_GB2312" w:cs="仿宋_GB2312" w:eastAsia="仿宋_GB2312"/>
              </w:rPr>
              <w:t>，支持第三方平台的数据调用。</w:t>
            </w:r>
          </w:p>
          <w:p>
            <w:pPr>
              <w:pStyle w:val="null3"/>
              <w:ind w:firstLine="400"/>
              <w:jc w:val="left"/>
            </w:pPr>
            <w:r>
              <w:rPr>
                <w:rFonts w:ascii="仿宋_GB2312" w:hAnsi="仿宋_GB2312" w:cs="仿宋_GB2312" w:eastAsia="仿宋_GB2312"/>
                <w:b/>
              </w:rPr>
              <w:t>（</w:t>
            </w:r>
            <w:r>
              <w:rPr>
                <w:rFonts w:ascii="仿宋_GB2312" w:hAnsi="仿宋_GB2312" w:cs="仿宋_GB2312" w:eastAsia="仿宋_GB2312"/>
                <w:b/>
              </w:rPr>
              <w:t>四</w:t>
            </w:r>
            <w:r>
              <w:rPr>
                <w:rFonts w:ascii="仿宋_GB2312" w:hAnsi="仿宋_GB2312" w:cs="仿宋_GB2312" w:eastAsia="仿宋_GB2312"/>
                <w:b/>
              </w:rPr>
              <w:t>）安全性与可靠性要求</w:t>
            </w:r>
          </w:p>
          <w:p>
            <w:pPr>
              <w:pStyle w:val="null3"/>
              <w:ind w:firstLine="400"/>
              <w:jc w:val="left"/>
            </w:pPr>
            <w:r>
              <w:rPr>
                <w:rFonts w:ascii="仿宋_GB2312" w:hAnsi="仿宋_GB2312" w:cs="仿宋_GB2312" w:eastAsia="仿宋_GB2312"/>
              </w:rPr>
              <w:t>1、</w:t>
            </w:r>
            <w:r>
              <w:rPr>
                <w:rFonts w:ascii="仿宋_GB2312" w:hAnsi="仿宋_GB2312" w:cs="仿宋_GB2312" w:eastAsia="仿宋_GB2312"/>
              </w:rPr>
              <w:t>数据安保措施</w:t>
            </w:r>
          </w:p>
          <w:p>
            <w:pPr>
              <w:pStyle w:val="null3"/>
              <w:ind w:firstLine="400"/>
              <w:jc w:val="left"/>
            </w:pPr>
            <w:r>
              <w:rPr>
                <w:rFonts w:ascii="仿宋_GB2312" w:hAnsi="仿宋_GB2312" w:cs="仿宋_GB2312" w:eastAsia="仿宋_GB2312"/>
              </w:rPr>
              <w:t>网络传输环节建立</w:t>
            </w:r>
            <w:r>
              <w:rPr>
                <w:rFonts w:ascii="仿宋_GB2312" w:hAnsi="仿宋_GB2312" w:cs="仿宋_GB2312" w:eastAsia="仿宋_GB2312"/>
              </w:rPr>
              <w:t>专属</w:t>
            </w:r>
            <w:r>
              <w:rPr>
                <w:rFonts w:ascii="仿宋_GB2312" w:hAnsi="仿宋_GB2312" w:cs="仿宋_GB2312" w:eastAsia="仿宋_GB2312"/>
              </w:rPr>
              <w:t>通道，所有上行监测数据及下行控制指令均进行端到端</w:t>
            </w:r>
            <w:r>
              <w:rPr>
                <w:rFonts w:ascii="仿宋_GB2312" w:hAnsi="仿宋_GB2312" w:cs="仿宋_GB2312" w:eastAsia="仿宋_GB2312"/>
              </w:rPr>
              <w:t>识别</w:t>
            </w:r>
            <w:r>
              <w:rPr>
                <w:rFonts w:ascii="仿宋_GB2312" w:hAnsi="仿宋_GB2312" w:cs="仿宋_GB2312" w:eastAsia="仿宋_GB2312"/>
              </w:rPr>
              <w:t>，防止数据</w:t>
            </w:r>
            <w:r>
              <w:rPr>
                <w:rFonts w:ascii="仿宋_GB2312" w:hAnsi="仿宋_GB2312" w:cs="仿宋_GB2312" w:eastAsia="仿宋_GB2312"/>
              </w:rPr>
              <w:t>盗用，系统应具备数据主动防御功能。</w:t>
            </w:r>
          </w:p>
          <w:p>
            <w:pPr>
              <w:pStyle w:val="null3"/>
              <w:ind w:firstLine="400"/>
              <w:jc w:val="left"/>
            </w:pPr>
            <w:r>
              <w:rPr>
                <w:rFonts w:ascii="仿宋_GB2312" w:hAnsi="仿宋_GB2312" w:cs="仿宋_GB2312" w:eastAsia="仿宋_GB2312"/>
              </w:rPr>
              <w:t>2、</w:t>
            </w:r>
            <w:r>
              <w:rPr>
                <w:rFonts w:ascii="仿宋_GB2312" w:hAnsi="仿宋_GB2312" w:cs="仿宋_GB2312" w:eastAsia="仿宋_GB2312"/>
              </w:rPr>
              <w:t>故障预警与应对</w:t>
            </w:r>
          </w:p>
          <w:p>
            <w:pPr>
              <w:pStyle w:val="null3"/>
              <w:ind w:firstLine="400"/>
              <w:jc w:val="left"/>
            </w:pPr>
            <w:r>
              <w:rPr>
                <w:rFonts w:ascii="仿宋_GB2312" w:hAnsi="仿宋_GB2312" w:cs="仿宋_GB2312" w:eastAsia="仿宋_GB2312"/>
              </w:rPr>
              <w:t>建立应急响应预案，故障响应时间</w:t>
            </w:r>
            <w:r>
              <w:rPr>
                <w:rFonts w:ascii="仿宋_GB2312" w:hAnsi="仿宋_GB2312" w:cs="仿宋_GB2312" w:eastAsia="仿宋_GB2312"/>
              </w:rPr>
              <w:t>≤2小时。</w:t>
            </w:r>
          </w:p>
          <w:p>
            <w:pPr>
              <w:pStyle w:val="null3"/>
              <w:ind w:firstLine="400"/>
              <w:jc w:val="left"/>
            </w:pPr>
            <w:r>
              <w:rPr>
                <w:rFonts w:ascii="仿宋_GB2312" w:hAnsi="仿宋_GB2312" w:cs="仿宋_GB2312" w:eastAsia="仿宋_GB2312"/>
              </w:rPr>
              <w:t>3、</w:t>
            </w:r>
            <w:r>
              <w:rPr>
                <w:rFonts w:ascii="仿宋_GB2312" w:hAnsi="仿宋_GB2312" w:cs="仿宋_GB2312" w:eastAsia="仿宋_GB2312"/>
              </w:rPr>
              <w:t>设备防护要求</w:t>
            </w:r>
          </w:p>
          <w:p>
            <w:pPr>
              <w:pStyle w:val="null3"/>
              <w:ind w:firstLine="400"/>
              <w:jc w:val="left"/>
            </w:pPr>
            <w:r>
              <w:rPr>
                <w:rFonts w:ascii="仿宋_GB2312" w:hAnsi="仿宋_GB2312" w:cs="仿宋_GB2312" w:eastAsia="仿宋_GB2312"/>
              </w:rPr>
              <w:t>设备需具备防水、防尘能力，</w:t>
            </w:r>
            <w:r>
              <w:rPr>
                <w:rFonts w:ascii="仿宋_GB2312" w:hAnsi="仿宋_GB2312" w:cs="仿宋_GB2312" w:eastAsia="仿宋_GB2312"/>
              </w:rPr>
              <w:t>可</w:t>
            </w:r>
            <w:r>
              <w:rPr>
                <w:rFonts w:ascii="仿宋_GB2312" w:hAnsi="仿宋_GB2312" w:cs="仿宋_GB2312" w:eastAsia="仿宋_GB2312"/>
              </w:rPr>
              <w:t>适应</w:t>
            </w:r>
            <w:r>
              <w:rPr>
                <w:rFonts w:ascii="仿宋_GB2312" w:hAnsi="仿宋_GB2312" w:cs="仿宋_GB2312" w:eastAsia="仿宋_GB2312"/>
              </w:rPr>
              <w:t>0～60℃环境温度，</w:t>
            </w:r>
            <w:r>
              <w:rPr>
                <w:rFonts w:ascii="仿宋_GB2312" w:hAnsi="仿宋_GB2312" w:cs="仿宋_GB2312" w:eastAsia="仿宋_GB2312"/>
              </w:rPr>
              <w:t>空气</w:t>
            </w:r>
            <w:r>
              <w:rPr>
                <w:rFonts w:ascii="仿宋_GB2312" w:hAnsi="仿宋_GB2312" w:cs="仿宋_GB2312" w:eastAsia="仿宋_GB2312"/>
              </w:rPr>
              <w:t>相对湿度</w:t>
            </w:r>
            <w:r>
              <w:rPr>
                <w:rFonts w:ascii="仿宋_GB2312" w:hAnsi="仿宋_GB2312" w:cs="仿宋_GB2312" w:eastAsia="仿宋_GB2312"/>
              </w:rPr>
              <w:t>≤90%工况。</w:t>
            </w:r>
          </w:p>
          <w:p>
            <w:pPr>
              <w:pStyle w:val="null3"/>
              <w:ind w:firstLine="400"/>
              <w:jc w:val="left"/>
            </w:pPr>
            <w:r>
              <w:rPr>
                <w:rFonts w:ascii="仿宋_GB2312" w:hAnsi="仿宋_GB2312" w:cs="仿宋_GB2312" w:eastAsia="仿宋_GB2312"/>
                <w:b/>
              </w:rPr>
              <w:t>（</w:t>
            </w:r>
            <w:r>
              <w:rPr>
                <w:rFonts w:ascii="仿宋_GB2312" w:hAnsi="仿宋_GB2312" w:cs="仿宋_GB2312" w:eastAsia="仿宋_GB2312"/>
                <w:b/>
              </w:rPr>
              <w:t>五</w:t>
            </w:r>
            <w:r>
              <w:rPr>
                <w:rFonts w:ascii="仿宋_GB2312" w:hAnsi="仿宋_GB2312" w:cs="仿宋_GB2312" w:eastAsia="仿宋_GB2312"/>
                <w:b/>
              </w:rPr>
              <w:t>）维护与升级要求</w:t>
            </w:r>
          </w:p>
          <w:p>
            <w:pPr>
              <w:pStyle w:val="null3"/>
              <w:ind w:firstLine="400"/>
              <w:jc w:val="left"/>
            </w:pPr>
            <w:r>
              <w:rPr>
                <w:rFonts w:ascii="仿宋_GB2312" w:hAnsi="仿宋_GB2312" w:cs="仿宋_GB2312" w:eastAsia="仿宋_GB2312"/>
              </w:rPr>
              <w:t>1、</w:t>
            </w:r>
            <w:r>
              <w:rPr>
                <w:rFonts w:ascii="仿宋_GB2312" w:hAnsi="仿宋_GB2312" w:cs="仿宋_GB2312" w:eastAsia="仿宋_GB2312"/>
              </w:rPr>
              <w:t>定期维护要求</w:t>
            </w:r>
          </w:p>
          <w:p>
            <w:pPr>
              <w:pStyle w:val="null3"/>
              <w:ind w:firstLine="400"/>
              <w:jc w:val="left"/>
            </w:pPr>
            <w:r>
              <w:rPr>
                <w:rFonts w:ascii="仿宋_GB2312" w:hAnsi="仿宋_GB2312" w:cs="仿宋_GB2312" w:eastAsia="仿宋_GB2312"/>
              </w:rPr>
              <w:t>制定巡检计划，传感器校准周期</w:t>
            </w:r>
            <w:r>
              <w:rPr>
                <w:rFonts w:ascii="仿宋_GB2312" w:hAnsi="仿宋_GB2312" w:cs="仿宋_GB2312" w:eastAsia="仿宋_GB2312"/>
              </w:rPr>
              <w:t>≤3个月，设备清洁保养周期≤1个月。</w:t>
            </w:r>
          </w:p>
          <w:p>
            <w:pPr>
              <w:pStyle w:val="null3"/>
              <w:ind w:firstLine="400"/>
              <w:jc w:val="left"/>
            </w:pPr>
            <w:r>
              <w:rPr>
                <w:rFonts w:ascii="仿宋_GB2312" w:hAnsi="仿宋_GB2312" w:cs="仿宋_GB2312" w:eastAsia="仿宋_GB2312"/>
              </w:rPr>
              <w:t>2、</w:t>
            </w:r>
            <w:r>
              <w:rPr>
                <w:rFonts w:ascii="仿宋_GB2312" w:hAnsi="仿宋_GB2312" w:cs="仿宋_GB2312" w:eastAsia="仿宋_GB2312"/>
              </w:rPr>
              <w:t>软件升级服务</w:t>
            </w:r>
          </w:p>
          <w:p>
            <w:pPr>
              <w:pStyle w:val="null3"/>
              <w:ind w:firstLine="400"/>
              <w:jc w:val="left"/>
            </w:pPr>
            <w:r>
              <w:rPr>
                <w:rFonts w:ascii="仿宋_GB2312" w:hAnsi="仿宋_GB2312" w:cs="仿宋_GB2312" w:eastAsia="仿宋_GB2312"/>
              </w:rPr>
              <w:t>支持在线升级，</w:t>
            </w:r>
            <w:r>
              <w:rPr>
                <w:rFonts w:ascii="仿宋_GB2312" w:hAnsi="仿宋_GB2312" w:cs="仿宋_GB2312" w:eastAsia="仿宋_GB2312"/>
              </w:rPr>
              <w:t>具备</w:t>
            </w:r>
            <w:r>
              <w:rPr>
                <w:rFonts w:ascii="仿宋_GB2312" w:hAnsi="仿宋_GB2312" w:cs="仿宋_GB2312" w:eastAsia="仿宋_GB2312"/>
              </w:rPr>
              <w:t>扩展新功能。</w:t>
            </w:r>
          </w:p>
          <w:p>
            <w:pPr>
              <w:pStyle w:val="null3"/>
              <w:ind w:firstLine="400"/>
              <w:jc w:val="left"/>
            </w:pPr>
            <w:r>
              <w:rPr>
                <w:rFonts w:ascii="仿宋_GB2312" w:hAnsi="仿宋_GB2312" w:cs="仿宋_GB2312" w:eastAsia="仿宋_GB2312"/>
              </w:rPr>
              <w:t>3、</w:t>
            </w:r>
            <w:r>
              <w:rPr>
                <w:rFonts w:ascii="仿宋_GB2312" w:hAnsi="仿宋_GB2312" w:cs="仿宋_GB2312" w:eastAsia="仿宋_GB2312"/>
              </w:rPr>
              <w:t>培训与支持</w:t>
            </w:r>
          </w:p>
          <w:p>
            <w:pPr>
              <w:pStyle w:val="null3"/>
              <w:ind w:firstLine="400"/>
              <w:jc w:val="left"/>
            </w:pPr>
            <w:r>
              <w:rPr>
                <w:rFonts w:ascii="仿宋_GB2312" w:hAnsi="仿宋_GB2312" w:cs="仿宋_GB2312" w:eastAsia="仿宋_GB2312"/>
              </w:rPr>
              <w:t>提供操作、维护培训，包含设备校准、故障排除等内容；提供</w:t>
            </w:r>
            <w:r>
              <w:rPr>
                <w:rFonts w:ascii="仿宋_GB2312" w:hAnsi="仿宋_GB2312" w:cs="仿宋_GB2312" w:eastAsia="仿宋_GB2312"/>
              </w:rPr>
              <w:t>7×24小时技术支持，响应时间≤2小时。</w:t>
            </w:r>
          </w:p>
          <w:p>
            <w:pPr>
              <w:pStyle w:val="null3"/>
              <w:ind w:firstLine="400"/>
              <w:jc w:val="left"/>
            </w:pPr>
            <w:r>
              <w:rPr>
                <w:rFonts w:ascii="仿宋_GB2312" w:hAnsi="仿宋_GB2312" w:cs="仿宋_GB2312" w:eastAsia="仿宋_GB2312"/>
                <w:b/>
              </w:rPr>
              <w:t>（</w:t>
            </w:r>
            <w:r>
              <w:rPr>
                <w:rFonts w:ascii="仿宋_GB2312" w:hAnsi="仿宋_GB2312" w:cs="仿宋_GB2312" w:eastAsia="仿宋_GB2312"/>
                <w:b/>
              </w:rPr>
              <w:t>六</w:t>
            </w:r>
            <w:r>
              <w:rPr>
                <w:rFonts w:ascii="仿宋_GB2312" w:hAnsi="仿宋_GB2312" w:cs="仿宋_GB2312" w:eastAsia="仿宋_GB2312"/>
                <w:b/>
              </w:rPr>
              <w:t>）系统部署与集成要求</w:t>
            </w:r>
          </w:p>
          <w:p>
            <w:pPr>
              <w:pStyle w:val="null3"/>
              <w:ind w:firstLine="400"/>
              <w:jc w:val="left"/>
            </w:pPr>
            <w:r>
              <w:rPr>
                <w:rFonts w:ascii="仿宋_GB2312" w:hAnsi="仿宋_GB2312" w:cs="仿宋_GB2312" w:eastAsia="仿宋_GB2312"/>
              </w:rPr>
              <w:t>1、</w:t>
            </w:r>
            <w:r>
              <w:rPr>
                <w:rFonts w:ascii="仿宋_GB2312" w:hAnsi="仿宋_GB2312" w:cs="仿宋_GB2312" w:eastAsia="仿宋_GB2312"/>
              </w:rPr>
              <w:t>现场适配</w:t>
            </w:r>
          </w:p>
          <w:p>
            <w:pPr>
              <w:pStyle w:val="null3"/>
              <w:ind w:firstLine="400"/>
              <w:jc w:val="left"/>
            </w:pPr>
            <w:r>
              <w:rPr>
                <w:rFonts w:ascii="仿宋_GB2312" w:hAnsi="仿宋_GB2312" w:cs="仿宋_GB2312" w:eastAsia="仿宋_GB2312"/>
              </w:rPr>
              <w:t>安装前需完成现场调研，明确监测点位、水质特性；传感器布置需覆盖水箱关键区域，确保数据代表性。</w:t>
            </w:r>
          </w:p>
          <w:p>
            <w:pPr>
              <w:pStyle w:val="null3"/>
              <w:ind w:firstLine="400"/>
              <w:jc w:val="left"/>
            </w:pPr>
            <w:r>
              <w:rPr>
                <w:rFonts w:ascii="仿宋_GB2312" w:hAnsi="仿宋_GB2312" w:cs="仿宋_GB2312" w:eastAsia="仿宋_GB2312"/>
              </w:rPr>
              <w:t>2、</w:t>
            </w:r>
            <w:r>
              <w:rPr>
                <w:rFonts w:ascii="仿宋_GB2312" w:hAnsi="仿宋_GB2312" w:cs="仿宋_GB2312" w:eastAsia="仿宋_GB2312"/>
              </w:rPr>
              <w:t>安装与调试</w:t>
            </w:r>
          </w:p>
          <w:p>
            <w:pPr>
              <w:pStyle w:val="null3"/>
              <w:ind w:firstLine="400"/>
              <w:jc w:val="left"/>
            </w:pPr>
            <w:r>
              <w:rPr>
                <w:rFonts w:ascii="仿宋_GB2312" w:hAnsi="仿宋_GB2312" w:cs="仿宋_GB2312" w:eastAsia="仿宋_GB2312"/>
              </w:rPr>
              <w:t>支持壁挂式等安装方式，安装后调试需确保传感器精度</w:t>
            </w:r>
            <w:r>
              <w:rPr>
                <w:rFonts w:ascii="仿宋_GB2312" w:hAnsi="仿宋_GB2312" w:cs="仿宋_GB2312" w:eastAsia="仿宋_GB2312"/>
              </w:rPr>
              <w:t>满足要求</w:t>
            </w:r>
            <w:r>
              <w:rPr>
                <w:rFonts w:ascii="仿宋_GB2312" w:hAnsi="仿宋_GB2312" w:cs="仿宋_GB2312" w:eastAsia="仿宋_GB2312"/>
              </w:rPr>
              <w:t>，数据传输成功率</w:t>
            </w:r>
            <w:r>
              <w:rPr>
                <w:rFonts w:ascii="仿宋_GB2312" w:hAnsi="仿宋_GB2312" w:cs="仿宋_GB2312" w:eastAsia="仿宋_GB2312"/>
              </w:rPr>
              <w:t>≥99%。</w:t>
            </w:r>
          </w:p>
          <w:p>
            <w:pPr>
              <w:pStyle w:val="null3"/>
              <w:ind w:firstLine="400"/>
              <w:jc w:val="left"/>
            </w:pPr>
            <w:r>
              <w:rPr>
                <w:rFonts w:ascii="仿宋_GB2312" w:hAnsi="仿宋_GB2312" w:cs="仿宋_GB2312" w:eastAsia="仿宋_GB2312"/>
              </w:rPr>
              <w:t>3、</w:t>
            </w:r>
            <w:r>
              <w:rPr>
                <w:rFonts w:ascii="仿宋_GB2312" w:hAnsi="仿宋_GB2312" w:cs="仿宋_GB2312" w:eastAsia="仿宋_GB2312"/>
              </w:rPr>
              <w:t>兼容性要求</w:t>
            </w:r>
          </w:p>
          <w:p>
            <w:pPr>
              <w:pStyle w:val="null3"/>
              <w:ind w:firstLine="400"/>
              <w:jc w:val="left"/>
            </w:pPr>
            <w:r>
              <w:rPr>
                <w:rFonts w:ascii="仿宋_GB2312" w:hAnsi="仿宋_GB2312" w:cs="仿宋_GB2312" w:eastAsia="仿宋_GB2312"/>
              </w:rPr>
              <w:t>可扩展</w:t>
            </w:r>
            <w:r>
              <w:rPr>
                <w:rFonts w:ascii="仿宋_GB2312" w:hAnsi="仿宋_GB2312" w:cs="仿宋_GB2312" w:eastAsia="仿宋_GB2312"/>
              </w:rPr>
              <w:t>API接口</w:t>
            </w:r>
            <w:r>
              <w:rPr>
                <w:rFonts w:ascii="仿宋_GB2312" w:hAnsi="仿宋_GB2312" w:cs="仿宋_GB2312" w:eastAsia="仿宋_GB2312"/>
              </w:rPr>
              <w:t>/</w:t>
            </w:r>
            <w:r>
              <w:rPr>
                <w:rFonts w:ascii="仿宋_GB2312" w:hAnsi="仿宋_GB2312" w:cs="仿宋_GB2312" w:eastAsia="仿宋_GB2312"/>
              </w:rPr>
              <w:t>兼容</w:t>
            </w:r>
            <w:r>
              <w:rPr>
                <w:rFonts w:ascii="仿宋_GB2312" w:hAnsi="仿宋_GB2312" w:cs="仿宋_GB2312" w:eastAsia="仿宋_GB2312"/>
              </w:rPr>
              <w:t>MODBUS/RTU等协议。</w:t>
            </w:r>
          </w:p>
          <w:p>
            <w:pPr>
              <w:pStyle w:val="null3"/>
              <w:ind w:firstLine="400"/>
              <w:jc w:val="left"/>
            </w:pPr>
            <w:r>
              <w:rPr>
                <w:rFonts w:ascii="仿宋_GB2312" w:hAnsi="仿宋_GB2312" w:cs="仿宋_GB2312" w:eastAsia="仿宋_GB2312"/>
                <w:b/>
              </w:rPr>
              <w:t>（</w:t>
            </w:r>
            <w:r>
              <w:rPr>
                <w:rFonts w:ascii="仿宋_GB2312" w:hAnsi="仿宋_GB2312" w:cs="仿宋_GB2312" w:eastAsia="仿宋_GB2312"/>
                <w:b/>
              </w:rPr>
              <w:t>七</w:t>
            </w:r>
            <w:r>
              <w:rPr>
                <w:rFonts w:ascii="仿宋_GB2312" w:hAnsi="仿宋_GB2312" w:cs="仿宋_GB2312" w:eastAsia="仿宋_GB2312"/>
                <w:b/>
              </w:rPr>
              <w:t>）软件平台要求</w:t>
            </w:r>
          </w:p>
          <w:p>
            <w:pPr>
              <w:pStyle w:val="null3"/>
              <w:ind w:firstLine="400"/>
              <w:jc w:val="left"/>
            </w:pPr>
            <w:r>
              <w:rPr>
                <w:rFonts w:ascii="仿宋_GB2312" w:hAnsi="仿宋_GB2312" w:cs="仿宋_GB2312" w:eastAsia="仿宋_GB2312"/>
              </w:rPr>
              <w:t>1、</w:t>
            </w:r>
            <w:r>
              <w:rPr>
                <w:rFonts w:ascii="仿宋_GB2312" w:hAnsi="仿宋_GB2312" w:cs="仿宋_GB2312" w:eastAsia="仿宋_GB2312"/>
              </w:rPr>
              <w:t>功能支持服务</w:t>
            </w:r>
          </w:p>
          <w:p>
            <w:pPr>
              <w:pStyle w:val="null3"/>
              <w:ind w:firstLine="400"/>
              <w:jc w:val="left"/>
            </w:pPr>
            <w:r>
              <w:rPr>
                <w:rFonts w:ascii="仿宋_GB2312" w:hAnsi="仿宋_GB2312" w:cs="仿宋_GB2312" w:eastAsia="仿宋_GB2312"/>
              </w:rPr>
              <w:t>支持电脑、手机、平板多终端访问，提供数据可视化（图表、报表）、远程控制功能。</w:t>
            </w:r>
          </w:p>
          <w:p>
            <w:pPr>
              <w:pStyle w:val="null3"/>
              <w:ind w:firstLine="400"/>
              <w:jc w:val="left"/>
            </w:pPr>
            <w:r>
              <w:rPr>
                <w:rFonts w:ascii="仿宋_GB2312" w:hAnsi="仿宋_GB2312" w:cs="仿宋_GB2312" w:eastAsia="仿宋_GB2312"/>
              </w:rPr>
              <w:t>2、</w:t>
            </w:r>
            <w:r>
              <w:rPr>
                <w:rFonts w:ascii="仿宋_GB2312" w:hAnsi="仿宋_GB2312" w:cs="仿宋_GB2312" w:eastAsia="仿宋_GB2312"/>
              </w:rPr>
              <w:t>智能分析要求</w:t>
            </w:r>
          </w:p>
          <w:p>
            <w:pPr>
              <w:pStyle w:val="null3"/>
              <w:ind w:firstLine="400"/>
              <w:jc w:val="left"/>
            </w:pPr>
            <w:r>
              <w:rPr>
                <w:rFonts w:ascii="仿宋_GB2312" w:hAnsi="仿宋_GB2312" w:cs="仿宋_GB2312" w:eastAsia="仿宋_GB2312"/>
              </w:rPr>
              <w:t>对收集到的数据进行分析，进行水质</w:t>
            </w:r>
            <w:r>
              <w:rPr>
                <w:rFonts w:ascii="仿宋_GB2312" w:hAnsi="仿宋_GB2312" w:cs="仿宋_GB2312" w:eastAsia="仿宋_GB2312"/>
              </w:rPr>
              <w:t>趋势预测</w:t>
            </w:r>
            <w:r>
              <w:rPr>
                <w:rFonts w:ascii="仿宋_GB2312" w:hAnsi="仿宋_GB2312" w:cs="仿宋_GB2312" w:eastAsia="仿宋_GB2312"/>
              </w:rPr>
              <w:t>及消毒剂</w:t>
            </w:r>
            <w:r>
              <w:rPr>
                <w:rFonts w:ascii="仿宋_GB2312" w:hAnsi="仿宋_GB2312" w:cs="仿宋_GB2312" w:eastAsia="仿宋_GB2312"/>
              </w:rPr>
              <w:t>投加策略优化。</w:t>
            </w:r>
          </w:p>
          <w:p>
            <w:pPr>
              <w:pStyle w:val="null3"/>
              <w:ind w:firstLine="400"/>
              <w:jc w:val="left"/>
            </w:pPr>
            <w:r>
              <w:rPr>
                <w:rFonts w:ascii="仿宋_GB2312" w:hAnsi="仿宋_GB2312" w:cs="仿宋_GB2312" w:eastAsia="仿宋_GB2312"/>
              </w:rPr>
              <w:t>3、</w:t>
            </w:r>
            <w:r>
              <w:rPr>
                <w:rFonts w:ascii="仿宋_GB2312" w:hAnsi="仿宋_GB2312" w:cs="仿宋_GB2312" w:eastAsia="仿宋_GB2312"/>
              </w:rPr>
              <w:t>用户体验要求</w:t>
            </w:r>
          </w:p>
          <w:p>
            <w:pPr>
              <w:pStyle w:val="null3"/>
              <w:ind w:firstLine="400"/>
              <w:jc w:val="left"/>
            </w:pPr>
            <w:r>
              <w:rPr>
                <w:rFonts w:ascii="仿宋_GB2312" w:hAnsi="仿宋_GB2312" w:cs="仿宋_GB2312" w:eastAsia="仿宋_GB2312"/>
              </w:rPr>
              <w:t>界面简洁直观，操作流程</w:t>
            </w:r>
            <w:r>
              <w:rPr>
                <w:rFonts w:ascii="仿宋_GB2312" w:hAnsi="仿宋_GB2312" w:cs="仿宋_GB2312" w:eastAsia="仿宋_GB2312"/>
              </w:rPr>
              <w:t>≤3步完成核心功能，支持权限分级管理（管理员、操作员等）。</w:t>
            </w:r>
          </w:p>
          <w:p>
            <w:pPr>
              <w:pStyle w:val="null3"/>
              <w:ind w:firstLine="400"/>
              <w:jc w:val="left"/>
            </w:pPr>
            <w:r>
              <w:rPr>
                <w:rFonts w:ascii="仿宋_GB2312" w:hAnsi="仿宋_GB2312" w:cs="仿宋_GB2312" w:eastAsia="仿宋_GB2312"/>
                <w:b/>
              </w:rPr>
              <w:t>（</w:t>
            </w:r>
            <w:r>
              <w:rPr>
                <w:rFonts w:ascii="仿宋_GB2312" w:hAnsi="仿宋_GB2312" w:cs="仿宋_GB2312" w:eastAsia="仿宋_GB2312"/>
                <w:b/>
              </w:rPr>
              <w:t>八</w:t>
            </w:r>
            <w:r>
              <w:rPr>
                <w:rFonts w:ascii="仿宋_GB2312" w:hAnsi="仿宋_GB2312" w:cs="仿宋_GB2312" w:eastAsia="仿宋_GB2312"/>
                <w:b/>
              </w:rPr>
              <w:t>）安装要求</w:t>
            </w:r>
          </w:p>
          <w:p>
            <w:pPr>
              <w:pStyle w:val="null3"/>
              <w:ind w:firstLine="400"/>
              <w:jc w:val="left"/>
            </w:pPr>
            <w:r>
              <w:rPr>
                <w:rFonts w:ascii="仿宋_GB2312" w:hAnsi="仿宋_GB2312" w:cs="仿宋_GB2312" w:eastAsia="仿宋_GB2312"/>
              </w:rPr>
              <w:t>1、</w:t>
            </w:r>
            <w:r>
              <w:rPr>
                <w:rFonts w:ascii="仿宋_GB2312" w:hAnsi="仿宋_GB2312" w:cs="仿宋_GB2312" w:eastAsia="仿宋_GB2312"/>
              </w:rPr>
              <w:t>前期现场勘察</w:t>
            </w:r>
          </w:p>
          <w:p>
            <w:pPr>
              <w:pStyle w:val="null3"/>
              <w:ind w:firstLine="400"/>
              <w:jc w:val="left"/>
            </w:pPr>
            <w:r>
              <w:rPr>
                <w:rFonts w:ascii="仿宋_GB2312" w:hAnsi="仿宋_GB2312" w:cs="仿宋_GB2312" w:eastAsia="仿宋_GB2312"/>
              </w:rPr>
              <w:t>项目正式</w:t>
            </w:r>
            <w:r>
              <w:rPr>
                <w:rFonts w:ascii="仿宋_GB2312" w:hAnsi="仿宋_GB2312" w:cs="仿宋_GB2312" w:eastAsia="仿宋_GB2312"/>
              </w:rPr>
              <w:t>实施</w:t>
            </w:r>
            <w:r>
              <w:rPr>
                <w:rFonts w:ascii="仿宋_GB2312" w:hAnsi="仿宋_GB2312" w:cs="仿宋_GB2312" w:eastAsia="仿宋_GB2312"/>
              </w:rPr>
              <w:t>前，</w:t>
            </w:r>
            <w:r>
              <w:rPr>
                <w:rFonts w:ascii="仿宋_GB2312" w:hAnsi="仿宋_GB2312" w:cs="仿宋_GB2312" w:eastAsia="仿宋_GB2312"/>
              </w:rPr>
              <w:t>应对</w:t>
            </w:r>
            <w:r>
              <w:rPr>
                <w:rFonts w:ascii="仿宋_GB2312" w:hAnsi="仿宋_GB2312" w:cs="仿宋_GB2312" w:eastAsia="仿宋_GB2312"/>
              </w:rPr>
              <w:t>各小区生活水泵房开展逐点现场勘查，详细记录现场工况并填写勘查记录表，重点确认水箱、进出水口、管网管径位置，规划设备安装点位，排查泵房供电条件、布线路径、排水系统布局，梳理现场障碍物并制定专项避让方案，同时对接小区物业确认施工准入要求、泵房开放时间，完善施工入场手续。</w:t>
            </w:r>
          </w:p>
          <w:p>
            <w:pPr>
              <w:pStyle w:val="null3"/>
              <w:ind w:firstLine="400"/>
              <w:jc w:val="left"/>
            </w:pPr>
            <w:r>
              <w:rPr>
                <w:rFonts w:ascii="仿宋_GB2312" w:hAnsi="仿宋_GB2312" w:cs="仿宋_GB2312" w:eastAsia="仿宋_GB2312"/>
              </w:rPr>
              <w:t>2、</w:t>
            </w:r>
            <w:r>
              <w:rPr>
                <w:rFonts w:ascii="仿宋_GB2312" w:hAnsi="仿宋_GB2312" w:cs="仿宋_GB2312" w:eastAsia="仿宋_GB2312"/>
              </w:rPr>
              <w:t>设备与材料筹备</w:t>
            </w:r>
          </w:p>
          <w:p>
            <w:pPr>
              <w:pStyle w:val="null3"/>
              <w:ind w:firstLine="400"/>
              <w:jc w:val="left"/>
            </w:pPr>
            <w:r>
              <w:rPr>
                <w:rFonts w:ascii="仿宋_GB2312" w:hAnsi="仿宋_GB2312" w:cs="仿宋_GB2312" w:eastAsia="仿宋_GB2312"/>
              </w:rPr>
              <w:t>项目实施</w:t>
            </w:r>
            <w:r>
              <w:rPr>
                <w:rFonts w:ascii="仿宋_GB2312" w:hAnsi="仿宋_GB2312" w:cs="仿宋_GB2312" w:eastAsia="仿宋_GB2312"/>
              </w:rPr>
              <w:t>前</w:t>
            </w:r>
            <w:r>
              <w:rPr>
                <w:rFonts w:ascii="仿宋_GB2312" w:hAnsi="仿宋_GB2312" w:cs="仿宋_GB2312" w:eastAsia="仿宋_GB2312"/>
              </w:rPr>
              <w:t>对进场</w:t>
            </w:r>
            <w:r>
              <w:rPr>
                <w:rFonts w:ascii="仿宋_GB2312" w:hAnsi="仿宋_GB2312" w:cs="仿宋_GB2312" w:eastAsia="仿宋_GB2312"/>
              </w:rPr>
              <w:t>设备、辅助材料</w:t>
            </w:r>
            <w:r>
              <w:rPr>
                <w:rFonts w:ascii="仿宋_GB2312" w:hAnsi="仿宋_GB2312" w:cs="仿宋_GB2312" w:eastAsia="仿宋_GB2312"/>
              </w:rPr>
              <w:t>进行查验，</w:t>
            </w:r>
            <w:r>
              <w:rPr>
                <w:rFonts w:ascii="仿宋_GB2312" w:hAnsi="仿宋_GB2312" w:cs="仿宋_GB2312" w:eastAsia="仿宋_GB2312"/>
              </w:rPr>
              <w:t>逐一核对设备规格数量、检查设备完好性，提前通电测试设备基础功能，准备防水电缆、固定配件、密封耗材等辅助材料，所有物资均符合安全与卫生标准，运输过程做好防震、防潮防护，现场规范存放，远离水源与电源。</w:t>
            </w:r>
          </w:p>
          <w:p>
            <w:pPr>
              <w:pStyle w:val="null3"/>
              <w:ind w:firstLine="400"/>
              <w:jc w:val="left"/>
            </w:pPr>
            <w:r>
              <w:rPr>
                <w:rFonts w:ascii="仿宋_GB2312" w:hAnsi="仿宋_GB2312" w:cs="仿宋_GB2312" w:eastAsia="仿宋_GB2312"/>
              </w:rPr>
              <w:t>3、</w:t>
            </w:r>
            <w:r>
              <w:rPr>
                <w:rFonts w:ascii="仿宋_GB2312" w:hAnsi="仿宋_GB2312" w:cs="仿宋_GB2312" w:eastAsia="仿宋_GB2312"/>
              </w:rPr>
              <w:t>施工人员与工具准备</w:t>
            </w:r>
          </w:p>
          <w:p>
            <w:pPr>
              <w:pStyle w:val="null3"/>
              <w:ind w:firstLine="400"/>
              <w:jc w:val="left"/>
            </w:pPr>
            <w:r>
              <w:rPr>
                <w:rFonts w:ascii="仿宋_GB2312" w:hAnsi="仿宋_GB2312" w:cs="仿宋_GB2312" w:eastAsia="仿宋_GB2312"/>
              </w:rPr>
              <w:t>项目施工团队</w:t>
            </w:r>
            <w:r>
              <w:rPr>
                <w:rFonts w:ascii="仿宋_GB2312" w:hAnsi="仿宋_GB2312" w:cs="仿宋_GB2312" w:eastAsia="仿宋_GB2312"/>
              </w:rPr>
              <w:t>应</w:t>
            </w:r>
            <w:r>
              <w:rPr>
                <w:rFonts w:ascii="仿宋_GB2312" w:hAnsi="仿宋_GB2312" w:cs="仿宋_GB2312" w:eastAsia="仿宋_GB2312"/>
              </w:rPr>
              <w:t>配备具备专业资质的作业人员，上岗前完成专项培训，熟练掌握安装流程、安全规范与应急处置方法，每组配置持证电工与专业安装工，分工负责布线供电、设备安装调试等工作。施工前全面检修电钻、万用表、管道切割机等各类工具，配齐安全帽、绝缘手套等防护用品及急救、消防应急物资，保障施工安全有序开展。</w:t>
            </w:r>
          </w:p>
          <w:p>
            <w:pPr>
              <w:pStyle w:val="null3"/>
              <w:ind w:firstLine="400"/>
              <w:jc w:val="left"/>
            </w:pPr>
            <w:r>
              <w:rPr>
                <w:rFonts w:ascii="仿宋_GB2312" w:hAnsi="仿宋_GB2312" w:cs="仿宋_GB2312" w:eastAsia="仿宋_GB2312"/>
              </w:rPr>
              <w:t>4、</w:t>
            </w:r>
            <w:r>
              <w:rPr>
                <w:rFonts w:ascii="仿宋_GB2312" w:hAnsi="仿宋_GB2312" w:cs="仿宋_GB2312" w:eastAsia="仿宋_GB2312"/>
              </w:rPr>
              <w:t>设备安装质量标准</w:t>
            </w:r>
          </w:p>
          <w:p>
            <w:pPr>
              <w:pStyle w:val="null3"/>
              <w:ind w:firstLine="400"/>
              <w:jc w:val="left"/>
            </w:pPr>
            <w:r>
              <w:rPr>
                <w:rFonts w:ascii="仿宋_GB2312" w:hAnsi="仿宋_GB2312" w:cs="仿宋_GB2312" w:eastAsia="仿宋_GB2312"/>
              </w:rPr>
              <w:t>施工全过程严格执行质量标准，所有进场设备必须检验，不合格设备严禁使用；严格按照设备说明书与施工规范作业，确保设备支架牢固水平、管道连接密封无渗漏、线路布设规范隐蔽、绝缘防护完好。</w:t>
            </w:r>
            <w:r>
              <w:rPr>
                <w:rFonts w:ascii="仿宋_GB2312" w:hAnsi="仿宋_GB2312" w:cs="仿宋_GB2312" w:eastAsia="仿宋_GB2312"/>
              </w:rPr>
              <w:t>设备调试校准精准，各项功能运行正常，全面保障工程施工质量。</w:t>
            </w:r>
          </w:p>
          <w:p>
            <w:pPr>
              <w:pStyle w:val="null3"/>
              <w:ind w:firstLine="400"/>
              <w:jc w:val="left"/>
            </w:pPr>
            <w:r>
              <w:rPr>
                <w:rFonts w:ascii="仿宋_GB2312" w:hAnsi="仿宋_GB2312" w:cs="仿宋_GB2312" w:eastAsia="仿宋_GB2312"/>
                <w:b/>
              </w:rPr>
              <w:t>六、</w:t>
            </w:r>
            <w:r>
              <w:rPr>
                <w:rFonts w:ascii="仿宋_GB2312" w:hAnsi="仿宋_GB2312" w:cs="仿宋_GB2312" w:eastAsia="仿宋_GB2312"/>
                <w:b/>
              </w:rPr>
              <w:t>成果分析服务</w:t>
            </w:r>
          </w:p>
          <w:p>
            <w:pPr>
              <w:pStyle w:val="null3"/>
              <w:ind w:firstLine="400"/>
              <w:jc w:val="left"/>
            </w:pPr>
            <w:r>
              <w:rPr>
                <w:rFonts w:ascii="仿宋_GB2312" w:hAnsi="仿宋_GB2312" w:cs="仿宋_GB2312" w:eastAsia="仿宋_GB2312"/>
              </w:rPr>
              <w:t>根据重点区域水质监测结果，将所有水质监测数据和</w:t>
            </w:r>
            <w:r>
              <w:rPr>
                <w:rFonts w:ascii="仿宋_GB2312" w:hAnsi="仿宋_GB2312" w:cs="仿宋_GB2312" w:eastAsia="仿宋_GB2312"/>
              </w:rPr>
              <w:t>实时</w:t>
            </w:r>
            <w:r>
              <w:rPr>
                <w:rFonts w:ascii="仿宋_GB2312" w:hAnsi="仿宋_GB2312" w:cs="仿宋_GB2312" w:eastAsia="仿宋_GB2312"/>
              </w:rPr>
              <w:t>记录进行存储，用于后续分析和追溯，以便在出现水质问题时能够快速查找原因并采取相应措施。数据存储应符合相关法律法规和数据安全要求，确保数据的保密性和完整性。支持数据导出</w:t>
            </w:r>
            <w:r>
              <w:rPr>
                <w:rFonts w:ascii="仿宋_GB2312" w:hAnsi="仿宋_GB2312" w:cs="仿宋_GB2312" w:eastAsia="仿宋_GB2312"/>
              </w:rPr>
              <w:t>便于</w:t>
            </w:r>
            <w:r>
              <w:rPr>
                <w:rFonts w:ascii="仿宋_GB2312" w:hAnsi="仿宋_GB2312" w:cs="仿宋_GB2312" w:eastAsia="仿宋_GB2312"/>
              </w:rPr>
              <w:t>长期保存，</w:t>
            </w:r>
            <w:r>
              <w:rPr>
                <w:rFonts w:ascii="仿宋_GB2312" w:hAnsi="仿宋_GB2312" w:cs="仿宋_GB2312" w:eastAsia="仿宋_GB2312"/>
              </w:rPr>
              <w:t>可用于</w:t>
            </w:r>
            <w:r>
              <w:rPr>
                <w:rFonts w:ascii="仿宋_GB2312" w:hAnsi="仿宋_GB2312" w:cs="仿宋_GB2312" w:eastAsia="仿宋_GB2312"/>
              </w:rPr>
              <w:t>后期数据</w:t>
            </w:r>
            <w:r>
              <w:rPr>
                <w:rFonts w:ascii="仿宋_GB2312" w:hAnsi="仿宋_GB2312" w:cs="仿宋_GB2312" w:eastAsia="仿宋_GB2312"/>
              </w:rPr>
              <w:t>调取</w:t>
            </w:r>
            <w:r>
              <w:rPr>
                <w:rFonts w:ascii="仿宋_GB2312" w:hAnsi="仿宋_GB2312" w:cs="仿宋_GB2312" w:eastAsia="仿宋_GB2312"/>
              </w:rPr>
              <w:t>分析使用。</w:t>
            </w:r>
          </w:p>
          <w:p>
            <w:pPr>
              <w:pStyle w:val="null3"/>
              <w:ind w:firstLine="400"/>
              <w:jc w:val="left"/>
            </w:pPr>
            <w:r>
              <w:rPr>
                <w:rFonts w:ascii="仿宋_GB2312" w:hAnsi="仿宋_GB2312" w:cs="仿宋_GB2312" w:eastAsia="仿宋_GB2312"/>
              </w:rPr>
              <w:t>根据收集的水质数据，分析片区水质状况，统计归纳整个重点区域的用水数据。水质历史数据</w:t>
            </w:r>
            <w:r>
              <w:rPr>
                <w:rFonts w:ascii="仿宋_GB2312" w:hAnsi="仿宋_GB2312" w:cs="仿宋_GB2312" w:eastAsia="仿宋_GB2312"/>
              </w:rPr>
              <w:t>研判区域</w:t>
            </w:r>
            <w:r>
              <w:rPr>
                <w:rFonts w:ascii="仿宋_GB2312" w:hAnsi="仿宋_GB2312" w:cs="仿宋_GB2312" w:eastAsia="仿宋_GB2312"/>
              </w:rPr>
              <w:t>水质</w:t>
            </w:r>
            <w:r>
              <w:rPr>
                <w:rFonts w:ascii="仿宋_GB2312" w:hAnsi="仿宋_GB2312" w:cs="仿宋_GB2312" w:eastAsia="仿宋_GB2312"/>
              </w:rPr>
              <w:t>趋势</w:t>
            </w:r>
            <w:r>
              <w:rPr>
                <w:rFonts w:ascii="仿宋_GB2312" w:hAnsi="仿宋_GB2312" w:cs="仿宋_GB2312" w:eastAsia="仿宋_GB2312"/>
              </w:rPr>
              <w:t>，形成</w:t>
            </w:r>
            <w:r>
              <w:rPr>
                <w:rFonts w:ascii="仿宋_GB2312" w:hAnsi="仿宋_GB2312" w:cs="仿宋_GB2312" w:eastAsia="仿宋_GB2312"/>
              </w:rPr>
              <w:t>相关成果分析</w:t>
            </w:r>
            <w:r>
              <w:rPr>
                <w:rFonts w:ascii="仿宋_GB2312" w:hAnsi="仿宋_GB2312" w:cs="仿宋_GB2312" w:eastAsia="仿宋_GB2312"/>
              </w:rPr>
              <w:t>，为</w:t>
            </w:r>
            <w:r>
              <w:rPr>
                <w:rFonts w:ascii="仿宋_GB2312" w:hAnsi="仿宋_GB2312" w:cs="仿宋_GB2312" w:eastAsia="仿宋_GB2312"/>
              </w:rPr>
              <w:t>管理</w:t>
            </w:r>
            <w:r>
              <w:rPr>
                <w:rFonts w:ascii="仿宋_GB2312" w:hAnsi="仿宋_GB2312" w:cs="仿宋_GB2312" w:eastAsia="仿宋_GB2312"/>
              </w:rPr>
              <w:t>决策提供</w:t>
            </w:r>
            <w:r>
              <w:rPr>
                <w:rFonts w:ascii="仿宋_GB2312" w:hAnsi="仿宋_GB2312" w:cs="仿宋_GB2312" w:eastAsia="仿宋_GB2312"/>
              </w:rPr>
              <w:t>技术</w:t>
            </w:r>
            <w:r>
              <w:rPr>
                <w:rFonts w:ascii="仿宋_GB2312" w:hAnsi="仿宋_GB2312" w:cs="仿宋_GB2312" w:eastAsia="仿宋_GB2312"/>
              </w:rPr>
              <w:t>支持。</w:t>
            </w:r>
          </w:p>
          <w:p>
            <w:pPr>
              <w:pStyle w:val="null3"/>
              <w:ind w:firstLine="400"/>
              <w:jc w:val="left"/>
            </w:pPr>
            <w:r>
              <w:rPr>
                <w:rFonts w:ascii="仿宋_GB2312" w:hAnsi="仿宋_GB2312" w:cs="仿宋_GB2312" w:eastAsia="仿宋_GB2312"/>
                <w:b/>
              </w:rPr>
              <w:t>七、</w:t>
            </w:r>
            <w:r>
              <w:rPr>
                <w:rFonts w:ascii="仿宋_GB2312" w:hAnsi="仿宋_GB2312" w:cs="仿宋_GB2312" w:eastAsia="仿宋_GB2312"/>
                <w:b/>
              </w:rPr>
              <w:t>技术支持服务</w:t>
            </w:r>
          </w:p>
          <w:p>
            <w:pPr>
              <w:pStyle w:val="null3"/>
              <w:ind w:firstLine="400"/>
              <w:jc w:val="left"/>
            </w:pPr>
            <w:r>
              <w:rPr>
                <w:rFonts w:ascii="仿宋_GB2312" w:hAnsi="仿宋_GB2312" w:cs="仿宋_GB2312" w:eastAsia="仿宋_GB2312"/>
              </w:rPr>
              <w:t>根据重点区域水质监测服务建设内容和设施配备情况，本项目建成后应提供但不限于以下技术支持服务内容：</w:t>
            </w:r>
          </w:p>
          <w:p>
            <w:pPr>
              <w:pStyle w:val="null3"/>
              <w:ind w:firstLine="400"/>
              <w:jc w:val="left"/>
            </w:pPr>
            <w:r>
              <w:rPr>
                <w:rFonts w:ascii="仿宋_GB2312" w:hAnsi="仿宋_GB2312" w:cs="仿宋_GB2312" w:eastAsia="仿宋_GB2312"/>
              </w:rPr>
              <w:t>（一）</w:t>
            </w:r>
            <w:r>
              <w:rPr>
                <w:rFonts w:ascii="仿宋_GB2312" w:hAnsi="仿宋_GB2312" w:cs="仿宋_GB2312" w:eastAsia="仿宋_GB2312"/>
              </w:rPr>
              <w:t>通过综合研判，制定详细方案，科学、合理选取水质检测点位，负责进场施工协调和管理工作；</w:t>
            </w:r>
          </w:p>
          <w:p>
            <w:pPr>
              <w:pStyle w:val="null3"/>
              <w:ind w:firstLine="400"/>
              <w:jc w:val="left"/>
            </w:pPr>
            <w:r>
              <w:rPr>
                <w:rFonts w:ascii="仿宋_GB2312" w:hAnsi="仿宋_GB2312" w:cs="仿宋_GB2312" w:eastAsia="仿宋_GB2312"/>
              </w:rPr>
              <w:t>（</w:t>
            </w:r>
            <w:r>
              <w:rPr>
                <w:rFonts w:ascii="仿宋_GB2312" w:hAnsi="仿宋_GB2312" w:cs="仿宋_GB2312" w:eastAsia="仿宋_GB2312"/>
              </w:rPr>
              <w:t>二</w:t>
            </w:r>
            <w:r>
              <w:rPr>
                <w:rFonts w:ascii="仿宋_GB2312" w:hAnsi="仿宋_GB2312" w:cs="仿宋_GB2312" w:eastAsia="仿宋_GB2312"/>
              </w:rPr>
              <w:t>）</w:t>
            </w:r>
            <w:r>
              <w:rPr>
                <w:rFonts w:ascii="仿宋_GB2312" w:hAnsi="仿宋_GB2312" w:cs="仿宋_GB2312" w:eastAsia="仿宋_GB2312"/>
              </w:rPr>
              <w:t>安装调试水质设备，校验参数并开展多轮测试，确保设施设备稳定投用；</w:t>
            </w:r>
          </w:p>
          <w:p>
            <w:pPr>
              <w:pStyle w:val="null3"/>
              <w:ind w:firstLine="400"/>
              <w:jc w:val="left"/>
            </w:pPr>
            <w:r>
              <w:rPr>
                <w:rFonts w:ascii="仿宋_GB2312" w:hAnsi="仿宋_GB2312" w:cs="仿宋_GB2312" w:eastAsia="仿宋_GB2312"/>
              </w:rPr>
              <w:t>（</w:t>
            </w:r>
            <w:r>
              <w:rPr>
                <w:rFonts w:ascii="仿宋_GB2312" w:hAnsi="仿宋_GB2312" w:cs="仿宋_GB2312" w:eastAsia="仿宋_GB2312"/>
              </w:rPr>
              <w:t>三</w:t>
            </w:r>
            <w:r>
              <w:rPr>
                <w:rFonts w:ascii="仿宋_GB2312" w:hAnsi="仿宋_GB2312" w:cs="仿宋_GB2312" w:eastAsia="仿宋_GB2312"/>
              </w:rPr>
              <w:t>）</w:t>
            </w:r>
            <w:r>
              <w:rPr>
                <w:rFonts w:ascii="仿宋_GB2312" w:hAnsi="仿宋_GB2312" w:cs="仿宋_GB2312" w:eastAsia="仿宋_GB2312"/>
              </w:rPr>
              <w:t>提供设备操作和维护技术培训（包括理论讲解和实际操作演示），涵盖设备基本原理、操作方法、日常巡检要点、简单故障处理、校准方法等，确保物业管理人员能熟练操作设备、及时发现并处理简单故障，保障设备长期稳定运行；</w:t>
            </w:r>
          </w:p>
          <w:p>
            <w:pPr>
              <w:pStyle w:val="null3"/>
              <w:ind w:firstLine="400"/>
              <w:jc w:val="left"/>
            </w:pPr>
            <w:r>
              <w:rPr>
                <w:rFonts w:ascii="仿宋_GB2312" w:hAnsi="仿宋_GB2312" w:cs="仿宋_GB2312" w:eastAsia="仿宋_GB2312"/>
              </w:rPr>
              <w:t>（</w:t>
            </w:r>
            <w:r>
              <w:rPr>
                <w:rFonts w:ascii="仿宋_GB2312" w:hAnsi="仿宋_GB2312" w:cs="仿宋_GB2312" w:eastAsia="仿宋_GB2312"/>
              </w:rPr>
              <w:t>四</w:t>
            </w:r>
            <w:r>
              <w:rPr>
                <w:rFonts w:ascii="仿宋_GB2312" w:hAnsi="仿宋_GB2312" w:cs="仿宋_GB2312" w:eastAsia="仿宋_GB2312"/>
              </w:rPr>
              <w:t>）</w:t>
            </w:r>
            <w:r>
              <w:rPr>
                <w:rFonts w:ascii="仿宋_GB2312" w:hAnsi="仿宋_GB2312" w:cs="仿宋_GB2312" w:eastAsia="仿宋_GB2312"/>
              </w:rPr>
              <w:t>组织专业团队每季度开展</w:t>
            </w:r>
            <w:r>
              <w:rPr>
                <w:rFonts w:ascii="仿宋_GB2312" w:hAnsi="仿宋_GB2312" w:cs="仿宋_GB2312" w:eastAsia="仿宋_GB2312"/>
              </w:rPr>
              <w:t>1次定期巡检，对设备进行巡检、校准，及时处理设备故障，确保设备正常运行；</w:t>
            </w:r>
          </w:p>
          <w:p>
            <w:pPr>
              <w:pStyle w:val="null3"/>
              <w:ind w:firstLine="400"/>
              <w:jc w:val="left"/>
            </w:pPr>
            <w:r>
              <w:rPr>
                <w:rFonts w:ascii="仿宋_GB2312" w:hAnsi="仿宋_GB2312" w:cs="仿宋_GB2312" w:eastAsia="仿宋_GB2312"/>
              </w:rPr>
              <w:t>（</w:t>
            </w:r>
            <w:r>
              <w:rPr>
                <w:rFonts w:ascii="仿宋_GB2312" w:hAnsi="仿宋_GB2312" w:cs="仿宋_GB2312" w:eastAsia="仿宋_GB2312"/>
              </w:rPr>
              <w:t>五</w:t>
            </w:r>
            <w:r>
              <w:rPr>
                <w:rFonts w:ascii="仿宋_GB2312" w:hAnsi="仿宋_GB2312" w:cs="仿宋_GB2312" w:eastAsia="仿宋_GB2312"/>
              </w:rPr>
              <w:t>）</w:t>
            </w:r>
            <w:r>
              <w:rPr>
                <w:rFonts w:ascii="仿宋_GB2312" w:hAnsi="仿宋_GB2312" w:cs="仿宋_GB2312" w:eastAsia="仿宋_GB2312"/>
              </w:rPr>
              <w:t>运维人员</w:t>
            </w:r>
            <w:r>
              <w:rPr>
                <w:rFonts w:ascii="仿宋_GB2312" w:hAnsi="仿宋_GB2312" w:cs="仿宋_GB2312" w:eastAsia="仿宋_GB2312"/>
              </w:rPr>
              <w:t>24小时待命，接到设备故障报修后，6小时内响应，24小时内处理（偏远小区可适当延长）；</w:t>
            </w:r>
          </w:p>
          <w:p>
            <w:pPr>
              <w:pStyle w:val="null3"/>
              <w:ind w:firstLine="400"/>
              <w:jc w:val="left"/>
            </w:pPr>
            <w:r>
              <w:rPr>
                <w:rFonts w:ascii="仿宋_GB2312" w:hAnsi="仿宋_GB2312" w:cs="仿宋_GB2312" w:eastAsia="仿宋_GB2312"/>
              </w:rPr>
              <w:t>（</w:t>
            </w:r>
            <w:r>
              <w:rPr>
                <w:rFonts w:ascii="仿宋_GB2312" w:hAnsi="仿宋_GB2312" w:cs="仿宋_GB2312" w:eastAsia="仿宋_GB2312"/>
              </w:rPr>
              <w:t>六</w:t>
            </w:r>
            <w:r>
              <w:rPr>
                <w:rFonts w:ascii="仿宋_GB2312" w:hAnsi="仿宋_GB2312" w:cs="仿宋_GB2312" w:eastAsia="仿宋_GB2312"/>
              </w:rPr>
              <w:t>）</w:t>
            </w:r>
            <w:r>
              <w:rPr>
                <w:rFonts w:ascii="仿宋_GB2312" w:hAnsi="仿宋_GB2312" w:cs="仿宋_GB2312" w:eastAsia="仿宋_GB2312"/>
              </w:rPr>
              <w:t>提供水质管理延伸服务，包括但不限于法律法规政策解读、水质安全管理、水质指标解答、水质应急处置等技术解析和相关服务。</w:t>
            </w:r>
          </w:p>
          <w:p>
            <w:pPr>
              <w:pStyle w:val="null3"/>
              <w:ind w:firstLine="400"/>
              <w:jc w:val="left"/>
            </w:pPr>
            <w:r>
              <w:rPr>
                <w:rFonts w:ascii="仿宋_GB2312" w:hAnsi="仿宋_GB2312" w:cs="仿宋_GB2312" w:eastAsia="仿宋_GB2312"/>
                <w:b/>
              </w:rPr>
              <w:t>八、</w:t>
            </w:r>
            <w:r>
              <w:rPr>
                <w:rFonts w:ascii="仿宋_GB2312" w:hAnsi="仿宋_GB2312" w:cs="仿宋_GB2312" w:eastAsia="仿宋_GB2312"/>
                <w:b/>
              </w:rPr>
              <w:t>维保服务要求</w:t>
            </w:r>
          </w:p>
          <w:p>
            <w:pPr>
              <w:pStyle w:val="null3"/>
              <w:ind w:firstLine="400"/>
              <w:jc w:val="left"/>
            </w:pPr>
            <w:r>
              <w:rPr>
                <w:rFonts w:ascii="仿宋_GB2312" w:hAnsi="仿宋_GB2312" w:cs="仿宋_GB2312" w:eastAsia="仿宋_GB2312"/>
              </w:rPr>
              <w:t>本项目完工验收后，须提供至少</w:t>
            </w:r>
            <w:r>
              <w:rPr>
                <w:rFonts w:ascii="仿宋_GB2312" w:hAnsi="仿宋_GB2312" w:cs="仿宋_GB2312" w:eastAsia="仿宋_GB2312"/>
              </w:rPr>
              <w:t>3年的质保和维护服务，具体包括但不限于：监测设备校验、设备故障维修、主要设备（非外界因素损坏）无偿更换（包括传输设备和水质治理设备）等</w:t>
            </w:r>
            <w:r>
              <w:rPr>
                <w:rFonts w:ascii="仿宋_GB2312" w:hAnsi="仿宋_GB2312" w:cs="仿宋_GB2312" w:eastAsia="仿宋_GB2312"/>
              </w:rPr>
              <w:t>。</w:t>
            </w:r>
          </w:p>
          <w:p>
            <w:pPr>
              <w:pStyle w:val="null3"/>
              <w:ind w:firstLine="402"/>
              <w:jc w:val="both"/>
            </w:pPr>
            <w:r>
              <w:rPr>
                <w:rFonts w:ascii="仿宋_GB2312" w:hAnsi="仿宋_GB2312" w:cs="仿宋_GB2312" w:eastAsia="仿宋_GB2312"/>
                <w:b/>
              </w:rPr>
              <w:t>九</w:t>
            </w:r>
            <w:r>
              <w:rPr>
                <w:rFonts w:ascii="仿宋_GB2312" w:hAnsi="仿宋_GB2312" w:cs="仿宋_GB2312" w:eastAsia="仿宋_GB2312"/>
                <w:b/>
              </w:rPr>
              <w:t>、</w:t>
            </w:r>
            <w:r>
              <w:rPr>
                <w:rFonts w:ascii="仿宋_GB2312" w:hAnsi="仿宋_GB2312" w:cs="仿宋_GB2312" w:eastAsia="仿宋_GB2312"/>
                <w:b/>
              </w:rPr>
              <w:t>商务要求</w:t>
            </w:r>
          </w:p>
          <w:p>
            <w:pPr>
              <w:pStyle w:val="null3"/>
              <w:ind w:firstLine="400"/>
              <w:jc w:val="both"/>
            </w:pPr>
            <w:r>
              <w:rPr>
                <w:rFonts w:ascii="仿宋_GB2312" w:hAnsi="仿宋_GB2312" w:cs="仿宋_GB2312" w:eastAsia="仿宋_GB2312"/>
              </w:rPr>
              <w:t>（一）服务期：</w:t>
            </w:r>
            <w:r>
              <w:rPr>
                <w:rFonts w:ascii="仿宋_GB2312" w:hAnsi="仿宋_GB2312" w:cs="仿宋_GB2312" w:eastAsia="仿宋_GB2312"/>
              </w:rPr>
              <w:t>12</w:t>
            </w:r>
            <w:r>
              <w:rPr>
                <w:rFonts w:ascii="仿宋_GB2312" w:hAnsi="仿宋_GB2312" w:cs="仿宋_GB2312" w:eastAsia="仿宋_GB2312"/>
              </w:rPr>
              <w:t>个月，自</w:t>
            </w:r>
            <w:r>
              <w:rPr>
                <w:rFonts w:ascii="仿宋_GB2312" w:hAnsi="仿宋_GB2312" w:cs="仿宋_GB2312" w:eastAsia="仿宋_GB2312"/>
              </w:rPr>
              <w:t>2026</w:t>
            </w:r>
            <w:r>
              <w:rPr>
                <w:rFonts w:ascii="仿宋_GB2312" w:hAnsi="仿宋_GB2312" w:cs="仿宋_GB2312" w:eastAsia="仿宋_GB2312"/>
              </w:rPr>
              <w:t>年</w:t>
            </w:r>
            <w:r>
              <w:rPr>
                <w:rFonts w:ascii="仿宋_GB2312" w:hAnsi="仿宋_GB2312" w:cs="仿宋_GB2312" w:eastAsia="仿宋_GB2312"/>
              </w:rPr>
              <w:t>7</w:t>
            </w:r>
            <w:r>
              <w:rPr>
                <w:rFonts w:ascii="仿宋_GB2312" w:hAnsi="仿宋_GB2312" w:cs="仿宋_GB2312" w:eastAsia="仿宋_GB2312"/>
              </w:rPr>
              <w:t>月</w:t>
            </w:r>
            <w:r>
              <w:rPr>
                <w:rFonts w:ascii="仿宋_GB2312" w:hAnsi="仿宋_GB2312" w:cs="仿宋_GB2312" w:eastAsia="仿宋_GB2312"/>
              </w:rPr>
              <w:t>1</w:t>
            </w:r>
            <w:r>
              <w:rPr>
                <w:rFonts w:ascii="仿宋_GB2312" w:hAnsi="仿宋_GB2312" w:cs="仿宋_GB2312" w:eastAsia="仿宋_GB2312"/>
              </w:rPr>
              <w:t>日至</w:t>
            </w:r>
            <w:r>
              <w:rPr>
                <w:rFonts w:ascii="仿宋_GB2312" w:hAnsi="仿宋_GB2312" w:cs="仿宋_GB2312" w:eastAsia="仿宋_GB2312"/>
              </w:rPr>
              <w:t>2027</w:t>
            </w:r>
            <w:r>
              <w:rPr>
                <w:rFonts w:ascii="仿宋_GB2312" w:hAnsi="仿宋_GB2312" w:cs="仿宋_GB2312" w:eastAsia="仿宋_GB2312"/>
              </w:rPr>
              <w:t>年</w:t>
            </w:r>
            <w:r>
              <w:rPr>
                <w:rFonts w:ascii="仿宋_GB2312" w:hAnsi="仿宋_GB2312" w:cs="仿宋_GB2312" w:eastAsia="仿宋_GB2312"/>
              </w:rPr>
              <w:t>6</w:t>
            </w:r>
            <w:r>
              <w:rPr>
                <w:rFonts w:ascii="仿宋_GB2312" w:hAnsi="仿宋_GB2312" w:cs="仿宋_GB2312" w:eastAsia="仿宋_GB2312"/>
              </w:rPr>
              <w:t>月</w:t>
            </w:r>
            <w:r>
              <w:rPr>
                <w:rFonts w:ascii="仿宋_GB2312" w:hAnsi="仿宋_GB2312" w:cs="仿宋_GB2312" w:eastAsia="仿宋_GB2312"/>
              </w:rPr>
              <w:t>30</w:t>
            </w:r>
            <w:r>
              <w:rPr>
                <w:rFonts w:ascii="仿宋_GB2312" w:hAnsi="仿宋_GB2312" w:cs="仿宋_GB2312" w:eastAsia="仿宋_GB2312"/>
              </w:rPr>
              <w:t>日止。</w:t>
            </w:r>
          </w:p>
          <w:p>
            <w:pPr>
              <w:pStyle w:val="null3"/>
            </w:pPr>
            <w:r>
              <w:rPr>
                <w:rFonts w:ascii="仿宋_GB2312" w:hAnsi="仿宋_GB2312" w:cs="仿宋_GB2312" w:eastAsia="仿宋_GB2312"/>
                <w:sz w:val="21"/>
              </w:rPr>
              <w:t xml:space="preserve">    （二）服务地点：</w:t>
            </w:r>
            <w:r>
              <w:rPr>
                <w:rFonts w:ascii="仿宋_GB2312" w:hAnsi="仿宋_GB2312" w:cs="仿宋_GB2312" w:eastAsia="仿宋_GB2312"/>
                <w:sz w:val="21"/>
              </w:rPr>
              <w:t>西安市范围内</w:t>
            </w:r>
            <w:r>
              <w:rPr>
                <w:rFonts w:ascii="仿宋_GB2312" w:hAnsi="仿宋_GB2312" w:cs="仿宋_GB2312" w:eastAsia="仿宋_GB2312"/>
                <w:sz w:val="21"/>
              </w:rPr>
              <w:t>，具体以采购人安排为准</w:t>
            </w:r>
            <w:r>
              <w:rPr>
                <w:rFonts w:ascii="仿宋_GB2312" w:hAnsi="仿宋_GB2312" w:cs="仿宋_GB2312" w:eastAsia="仿宋_GB2312"/>
                <w:sz w:val="21"/>
              </w:rPr>
              <w:t>。</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满足服务要求。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满足服务要求。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12个月，自2026年7月1日至2027年6月30日止。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12 个月，自2026年7月1日至2027年6月30日止。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西安市范围内，具体以采购人安排为准。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西安市范围内，具体以采购人安排为准。</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按照招标文件要求及合同约定执行。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进度款，项目进度达到70%，达到付款条件起30个工作日内，支付合同总金额的20.0%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进度款，待中标人完成合同约定全部工作内容，经甲方合格后，达到付款条件起30个工作日内，支付合同总金额的30.0%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进度款，项目进度达到70%，达到付款条件起30个工作日内，支付合同总金额的20.0%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进度款，待中标人完成合同约定全部工作内容，经甲方合格后，达到付款条件起30个工作日内，支付合同总金额的30.0%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按照招标文件要求及合同约定执行。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所属行业为：其他未列明行业（根据《中小企业划型标准规定》（工信部联企业〔2011〕300号），其他未列明行业划分标准为“从业人员300人以下的为中小微型企业。其中，从业人员100人及以上的为中型企业；从业人员10人及以上的为小型企业；从业人员10人以下的为微型企业”）。（2）本项目共分为2个采购包，每个采购包确定1家中标人，投标人可同时参与多个采购包，但最终只能中1个采购包。评审时按照采购包号顺序进行评审，若投标人在评审时已在采购包被推荐为排序第一的中标候选人，则该投标人在其他采购包中不再参与中标候选人的推荐。（3）因系统格式设置无法调整，合同付款支付要求以第七章“拟签订采购合同文本”中体现的内容为准。（4）各采购包中标人在领取中标通知书前，须向采购代理机构提供纸质版投标文件3套（一正两副），且提供的投标文件必须与在陕西省政府采购综合管理平台的项目电子化交易系统中递交的电子投标文件内容一致，纸质版投标文件必须装订成册签字盖章。（5）如招标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投标人需在项目电子化交易系统中按要求上传财务状况报告（以下三种资料提供任意一种即可）： （1）提供2025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审计报告须具有注册会计师行业统一监管平台赋予的验证码。 （2）其开标前三个月内基本开户银行出具的资信证明。（3）信用担保机构出具的投标担保函。分支机构参与投标时，须另提供总公司授权或出具总公司的有关文件或制度等能够证明总公司授权其独立开展业务的证明，但其民事责任由其总公司承担。基本资格条件中可以提供总公司或分支机构经审计的财务报告。（以上内容投标文件中提供复印件或扫描件并进行电子签章）。</w:t>
            </w:r>
          </w:p>
        </w:tc>
        <w:tc>
          <w:tcPr>
            <w:tcW w:type="dxa" w:w="1661"/>
          </w:tcPr>
          <w:p>
            <w:pPr>
              <w:pStyle w:val="null3"/>
            </w:pPr>
            <w:r>
              <w:rPr>
                <w:rFonts w:ascii="仿宋_GB2312" w:hAnsi="仿宋_GB2312" w:cs="仿宋_GB2312" w:eastAsia="仿宋_GB2312"/>
              </w:rPr>
              <w:t>健全的财务会计制度的证明材料.docx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上传财务状况报告（以下三种资料提供任意一种即可）：（1）提供2025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审计报告须具有注册会计师行业统一监管平台赋予的验证码。（2）其开标前三个月内基本开户银行出具的资信证明。（3）信用担保机构出具的投标担保函。分支机构参与投标时，须另提供总公司授权或出具总公司的有关文件或制度等能够证明总公司授权其独立开展业务的证明，但其民事责任由其总公司承担。基本资格条件中可以提供总公司或分支机构经审计的财务报告。（以上内容投标文件中提供复印件或扫描件并进行电子签章）。</w:t>
            </w:r>
          </w:p>
        </w:tc>
        <w:tc>
          <w:tcPr>
            <w:tcW w:type="dxa" w:w="1661"/>
          </w:tcPr>
          <w:p>
            <w:pPr>
              <w:pStyle w:val="null3"/>
            </w:pPr>
            <w:r>
              <w:rPr>
                <w:rFonts w:ascii="仿宋_GB2312" w:hAnsi="仿宋_GB2312" w:cs="仿宋_GB2312" w:eastAsia="仿宋_GB2312"/>
              </w:rPr>
              <w:t>健全的财务会计制度的证明材料.docx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企业法人应提供合法有效的标识有统一社会信用代码的营业执照；事业法人应提供事业单位法人证书；其他组织应提供合法登记证明文件，自然人应提供身份证。</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依法缴纳税收和社会保障资金</w:t>
            </w:r>
          </w:p>
        </w:tc>
        <w:tc>
          <w:tcPr>
            <w:tcW w:type="dxa" w:w="3322"/>
          </w:tcPr>
          <w:p>
            <w:pPr>
              <w:pStyle w:val="null3"/>
            </w:pPr>
            <w:r>
              <w:rPr>
                <w:rFonts w:ascii="仿宋_GB2312" w:hAnsi="仿宋_GB2312" w:cs="仿宋_GB2312" w:eastAsia="仿宋_GB2312"/>
              </w:rPr>
              <w:t>①提供投标文件递交截止时间前6个月内任意时段已缴纳的纳税证明或完税证明（纳税证明或完税证明上应有代收机构或税务机关的公章或业务专用章）；②提供投标文件递交截止时间前6个月内任意时段已缴纳的社会保障资金的证明（社会保障资金缴存单据或社保机构开具的社会保险参保缴费情况证明等)。</w:t>
            </w:r>
          </w:p>
        </w:tc>
        <w:tc>
          <w:tcPr>
            <w:tcW w:type="dxa" w:w="1661"/>
          </w:tcPr>
          <w:p>
            <w:pPr>
              <w:pStyle w:val="null3"/>
            </w:pPr>
            <w:r>
              <w:rPr>
                <w:rFonts w:ascii="仿宋_GB2312" w:hAnsi="仿宋_GB2312" w:cs="仿宋_GB2312" w:eastAsia="仿宋_GB2312"/>
              </w:rPr>
              <w:t>依法缴纳税收和社会保障资金.docx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提供具有履行本合同所必需的设备和专业技术能力的书面声明。</w:t>
            </w:r>
          </w:p>
        </w:tc>
        <w:tc>
          <w:tcPr>
            <w:tcW w:type="dxa" w:w="1661"/>
          </w:tcPr>
          <w:p>
            <w:pPr>
              <w:pStyle w:val="null3"/>
            </w:pPr>
            <w:r>
              <w:rPr>
                <w:rFonts w:ascii="仿宋_GB2312" w:hAnsi="仿宋_GB2312" w:cs="仿宋_GB2312" w:eastAsia="仿宋_GB2312"/>
              </w:rPr>
              <w:t>履行本合同所必需的设备和专业技术能力.docx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无重大违法记录书面声明.docx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投标人未被列入“失信被执行人”、“重大税收违法案件当事人名单”和“政府采购严重违法失信行为记录名单”。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信誉要求.docx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企业法人应提供合法有效的标识有统一社会信用代码的营业执照；事业法人应提供事业单位法人证书；其他组织应提供合法登记证明文件，自然人应提供身份证。</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依法缴纳税收和社会保障资金</w:t>
            </w:r>
          </w:p>
        </w:tc>
        <w:tc>
          <w:tcPr>
            <w:tcW w:type="dxa" w:w="3322"/>
          </w:tcPr>
          <w:p>
            <w:pPr>
              <w:pStyle w:val="null3"/>
            </w:pPr>
            <w:r>
              <w:rPr>
                <w:rFonts w:ascii="仿宋_GB2312" w:hAnsi="仿宋_GB2312" w:cs="仿宋_GB2312" w:eastAsia="仿宋_GB2312"/>
              </w:rPr>
              <w:t>①提供投标文件递交截止时间前6个月内任意时段已缴纳的纳税证明或完税证明（纳税证明或完税证明上应有代收机构或税务机关的公章或业务专用章）；②提供投标文件递交截止时间前6个月内任意时段已缴纳的社会保障资金的证明（社会保障资金缴存单据或社保机构开具的社会保险参保缴费情况证明等)。</w:t>
            </w:r>
          </w:p>
        </w:tc>
        <w:tc>
          <w:tcPr>
            <w:tcW w:type="dxa" w:w="1661"/>
          </w:tcPr>
          <w:p>
            <w:pPr>
              <w:pStyle w:val="null3"/>
            </w:pPr>
            <w:r>
              <w:rPr>
                <w:rFonts w:ascii="仿宋_GB2312" w:hAnsi="仿宋_GB2312" w:cs="仿宋_GB2312" w:eastAsia="仿宋_GB2312"/>
              </w:rPr>
              <w:t>依法缴纳税收和社会保障资金.docx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提供具有履行本合同所必需的设备和专业技术能力的书面声明。</w:t>
            </w:r>
          </w:p>
        </w:tc>
        <w:tc>
          <w:tcPr>
            <w:tcW w:type="dxa" w:w="1661"/>
          </w:tcPr>
          <w:p>
            <w:pPr>
              <w:pStyle w:val="null3"/>
            </w:pPr>
            <w:r>
              <w:rPr>
                <w:rFonts w:ascii="仿宋_GB2312" w:hAnsi="仿宋_GB2312" w:cs="仿宋_GB2312" w:eastAsia="仿宋_GB2312"/>
              </w:rPr>
              <w:t>履行本合同所必需的设备和专业技术能力.docx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无重大违法记录书面声明.docx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投标人未被列入“失信被执行人”、“重大税收违法案件当事人名单”和“政府采购严重违法失信行为记录名单”。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信誉要求.docx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 （2）报价货币符合招标文件要求； （3）未超出采购预算或招标文件规定的最高限价。</w:t>
            </w:r>
          </w:p>
        </w:tc>
        <w:tc>
          <w:tcPr>
            <w:tcW w:type="dxa" w:w="1661"/>
          </w:tcPr>
          <w:p>
            <w:pPr>
              <w:pStyle w:val="null3"/>
            </w:pPr>
            <w:r>
              <w:rPr>
                <w:rFonts w:ascii="仿宋_GB2312" w:hAnsi="仿宋_GB2312" w:cs="仿宋_GB2312" w:eastAsia="仿宋_GB2312"/>
              </w:rPr>
              <w:t>开标一览表 费用组成明细表（包1）.docx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与所投项目名称、项目编号一致，且符合招标文件签署盖章要求。</w:t>
            </w:r>
          </w:p>
        </w:tc>
        <w:tc>
          <w:tcPr>
            <w:tcW w:type="dxa" w:w="1661"/>
          </w:tcPr>
          <w:p>
            <w:pPr>
              <w:pStyle w:val="null3"/>
            </w:pPr>
            <w:r>
              <w:rPr>
                <w:rFonts w:ascii="仿宋_GB2312" w:hAnsi="仿宋_GB2312" w:cs="仿宋_GB2312" w:eastAsia="仿宋_GB2312"/>
              </w:rPr>
              <w:t>投标函 投标文件封面.docx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从递交投标文件的截止之日起算不少于90个日历日。</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响应招标文件合同条款未出现负偏离且响应的内容中未附有采购人不能接受的附加条件。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 （2）报价货币符合招标文件要求； （3）未超出采购预算或招标文件规定的最高限价。</w:t>
            </w:r>
          </w:p>
        </w:tc>
        <w:tc>
          <w:tcPr>
            <w:tcW w:type="dxa" w:w="1661"/>
          </w:tcPr>
          <w:p>
            <w:pPr>
              <w:pStyle w:val="null3"/>
            </w:pPr>
            <w:r>
              <w:rPr>
                <w:rFonts w:ascii="仿宋_GB2312" w:hAnsi="仿宋_GB2312" w:cs="仿宋_GB2312" w:eastAsia="仿宋_GB2312"/>
              </w:rPr>
              <w:t>开标一览表 标的清单 费用组成明细表（包2）.docx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与所投项目名称、项目编号一致，且符合招标文件签署盖章要求。</w:t>
            </w:r>
          </w:p>
        </w:tc>
        <w:tc>
          <w:tcPr>
            <w:tcW w:type="dxa" w:w="1661"/>
          </w:tcPr>
          <w:p>
            <w:pPr>
              <w:pStyle w:val="null3"/>
            </w:pPr>
            <w:r>
              <w:rPr>
                <w:rFonts w:ascii="仿宋_GB2312" w:hAnsi="仿宋_GB2312" w:cs="仿宋_GB2312" w:eastAsia="仿宋_GB2312"/>
              </w:rPr>
              <w:t>投标文件封面.docx 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从递交投标文件的截止之日起算不少于90个日历日。</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响应招标文件合同条款未出现负偏离且响应的内容中未附有采购人不能接受的附加条件。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项目总体部署</w:t>
            </w:r>
          </w:p>
        </w:tc>
        <w:tc>
          <w:tcPr>
            <w:tcW w:type="dxa" w:w="2492"/>
          </w:tcPr>
          <w:p>
            <w:pPr>
              <w:pStyle w:val="null3"/>
            </w:pPr>
            <w:r>
              <w:rPr>
                <w:rFonts w:ascii="仿宋_GB2312" w:hAnsi="仿宋_GB2312" w:cs="仿宋_GB2312" w:eastAsia="仿宋_GB2312"/>
              </w:rPr>
              <w:t>内容至少包括①项目介绍及现场部署；②重点与难点分析；③实施流程及项目验收等。 评审标准：项目总体部署内容全面详细、阐述条理清晰详尽、符合本项目采购需求得6分，每缺一项内容扣2分，评审内容有瑕疵的根据情况扣分，扣完为止。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内容至少包括①管理信息采集更新服务方案；②城市供水水质抽检服务方案；③供水管理技术推广服务方案；④数据平台技术服务方案；⑤二次供水设施验收备案技术支持服务方案等。 评审标准：项目实施方案各部分内容全面详细、阐述条理清晰详尽、符合本项目采购需求得25分，每缺一项内容扣5分，评审内容有瑕疵的根据情况扣分，扣完为止。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内容至少包括①项目进度保障措施；②成果保障措施；③安全保障措施；④质量保障措施；⑤风险保障措施等。 评审标准：服务保障措施各部分内容全面详细、阐述条理清晰详尽、符合本项目采购需求得10分，每缺一项内容扣2分，评审内容有瑕疵的根据情况扣分，扣完为止。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内容至少包括①业务质量控制制度；②档案管理制度；③风险控制制度；④保密制度（保密手段、人员保密管理、保密承诺等）等。 评审标准：管理制度各部分内容全面详细、阐述条理清晰详尽、符合本项目采购需求得8分，每缺一项内容扣2分，评审内容有瑕疵的根据情况扣分，扣完为止。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拟投入项目人员配备方案</w:t>
            </w:r>
          </w:p>
        </w:tc>
        <w:tc>
          <w:tcPr>
            <w:tcW w:type="dxa" w:w="2492"/>
          </w:tcPr>
          <w:p>
            <w:pPr>
              <w:pStyle w:val="null3"/>
            </w:pPr>
            <w:r>
              <w:rPr>
                <w:rFonts w:ascii="仿宋_GB2312" w:hAnsi="仿宋_GB2312" w:cs="仿宋_GB2312" w:eastAsia="仿宋_GB2312"/>
              </w:rPr>
              <w:t>内容至少包括①项目组织机构；②团队人员配置清单；③岗位职责安排；④团队管理制度（人员管理、任务委派、奖惩制度等）等。 评审标准：拟投入项目人员配备方案各部分内容全面详细、阐述条理清晰详尽、符合本项目采购需求得12分，每缺一项内容扣3分，评审内容有瑕疵的根据情况扣分，扣完为止。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内容至少包括①培训目标、培训计划及内容；②培训组织方式；③培训质量保证措施等方面。 评审标准：培训方案各部分内容全面详细、阐述条理清晰详尽、符合本项目采购需求得9分，每缺一项内容扣3分，评审内容有瑕疵的根据情况扣分，扣完为止。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突发事件应急预案</w:t>
            </w:r>
          </w:p>
        </w:tc>
        <w:tc>
          <w:tcPr>
            <w:tcW w:type="dxa" w:w="2492"/>
          </w:tcPr>
          <w:p>
            <w:pPr>
              <w:pStyle w:val="null3"/>
            </w:pPr>
            <w:r>
              <w:rPr>
                <w:rFonts w:ascii="仿宋_GB2312" w:hAnsi="仿宋_GB2312" w:cs="仿宋_GB2312" w:eastAsia="仿宋_GB2312"/>
              </w:rPr>
              <w:t>内容至少包括①故障处理及疑难问题解答；②应急事故处理措施；③预案演练方案；④应急常识宣传；⑤应急响应安排等。 评审标准：突发事件应急预案各部分内容全面详细、阐述条理清晰详尽、符合本项目采购需求得10分，每缺一项内容扣2分，评审内容有瑕疵的根据情况扣分，扣完为止。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投标人具有2023年04月01日至今（以合同签订时间为准）的同类项目业绩，投标文件中提供合同复印件加盖公章，每提供一个计2分，满分10分。 注：投标文件中提供合同复印件加盖供应商公章。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业绩的有关证明材料.docx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满足招标文件内容及技术要求且投标报价最低的投标价为评标基准价，其价格分为满分。 投标报价得分=（评标基准价／投标报价）×价格权值×100。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费用组成明细表（包1）.docx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项目总体部署</w:t>
            </w:r>
          </w:p>
        </w:tc>
        <w:tc>
          <w:tcPr>
            <w:tcW w:type="dxa" w:w="2492"/>
          </w:tcPr>
          <w:p>
            <w:pPr>
              <w:pStyle w:val="null3"/>
            </w:pPr>
            <w:r>
              <w:rPr>
                <w:rFonts w:ascii="仿宋_GB2312" w:hAnsi="仿宋_GB2312" w:cs="仿宋_GB2312" w:eastAsia="仿宋_GB2312"/>
              </w:rPr>
              <w:t>内容至少包括①项目介绍及现场部署；②重点与难点分析；③实施流程及项目验收等。 评审标准：项目总体部署内容全面详细、阐述条理清晰详尽、符合本项目采购需求得6分，每缺一项内容扣2分，评审内容有瑕疵的根据情况扣分，扣完为止。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内容至少包括①水质监测点位选取方案；②水质在线监测方案；③水质监测设备安装、维护及升级方案；④消毒投药实施方案；⑤水质数据异常预警及治理方案；⑥数据规范及系统部署方案；⑦成果分析服务；⑧技术支持服务方案等。 评审标准：项目实施方案各部分内容全面详细、阐述条理清晰详尽、符合本项目采购需求得24分，每缺一项内容扣3分，评审内容有瑕疵的根据情况扣分，扣完为止。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内容至少包括①项目进度保障措施；②成果保障措施；③安全保障措施；④质量保障措施；⑤风险保障措施等。 评审标准：服务保障措施各部分内容全面详细、阐述条理清晰详尽、符合本项目采购需求得10分，每缺一项内容扣2分，评审内容有瑕疵的根据情况扣分，扣完为止。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内容至少包括①业务质量控制制度；②档案管理制度；③风险控制制度；④保密制度（保密手段、人员保密管理、保密承诺等）等。 评审标准：管理制度各部分内容全面详细、阐述条理清晰详尽、符合本项目采购需求得8分，每缺一项内容扣2分，评审内容有瑕疵的根据情况扣分，扣完为止。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拟投入项目人员配备方案</w:t>
            </w:r>
          </w:p>
        </w:tc>
        <w:tc>
          <w:tcPr>
            <w:tcW w:type="dxa" w:w="2492"/>
          </w:tcPr>
          <w:p>
            <w:pPr>
              <w:pStyle w:val="null3"/>
            </w:pPr>
            <w:r>
              <w:rPr>
                <w:rFonts w:ascii="仿宋_GB2312" w:hAnsi="仿宋_GB2312" w:cs="仿宋_GB2312" w:eastAsia="仿宋_GB2312"/>
              </w:rPr>
              <w:t>内容至少包括①项目组织机构；②团队人员配置清单；③岗位职责安排；④团队管理制度（人员管理、任务委派、奖惩制度等）等。 评审标准：拟投入项目人员配备方案各部分内容全面详细、阐述条理清晰详尽、符合本项目采购需求得12分，每缺一项内容扣3分，评审内容有瑕疵的根据情况扣分，扣完为止。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突发事件应急预案</w:t>
            </w:r>
          </w:p>
        </w:tc>
        <w:tc>
          <w:tcPr>
            <w:tcW w:type="dxa" w:w="2492"/>
          </w:tcPr>
          <w:p>
            <w:pPr>
              <w:pStyle w:val="null3"/>
            </w:pPr>
            <w:r>
              <w:rPr>
                <w:rFonts w:ascii="仿宋_GB2312" w:hAnsi="仿宋_GB2312" w:cs="仿宋_GB2312" w:eastAsia="仿宋_GB2312"/>
              </w:rPr>
              <w:t>内容至少包括①故障处理及疑难问题解答；②应急事故处理措施；③预案演练方案；④应急常识宣传；⑤应急响应安排等。 评审标准：突发事件应急预案各部分内容全面详细、阐述条理清晰详尽、符合本项目采购需求得10分，每缺一项内容扣2分，评审内容有瑕疵的根据情况扣分，扣完为止。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内容至少包括①售后服务方式及内容；②售后服务团队配置；③服务内容及服务期限承诺；④故障及维修时间响应、故障的检修和排除；⑤定期回访、检修、保养等。 评审标准：售后服务方案各部分内容全面详细、阐述条理清晰详尽、符合本项目采购需求得10分，每缺一项内容扣2分，评审内容有瑕疵的根据情况扣分，扣完为止。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投标人具有2023年04月01日至今（以合同签订时间为准）的同类项目业绩，投标文件中提供合同复印件加盖公章，每提供一个计2分，满分10分。 注：投标文件中提供合同复印件加盖供应商公章。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业绩的有关证明材料.docx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满足招标文件内容及技术要求且投标报价最低的投标价为评标基准价，其价格分为满分。 投标报价得分=（评标基准价／投标报价）×价格权值×100。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费用组成明细表（包2）.docx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详见附件：投标文件封面.docx</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详见附件：费用组成明细表（包1）.docx</w:t>
      </w:r>
    </w:p>
    <w:p>
      <w:pPr>
        <w:pStyle w:val="null3"/>
        <w:ind w:firstLine="960"/>
      </w:pPr>
      <w:r>
        <w:rPr>
          <w:rFonts w:ascii="仿宋_GB2312" w:hAnsi="仿宋_GB2312" w:cs="仿宋_GB2312" w:eastAsia="仿宋_GB2312"/>
        </w:rPr>
        <w:t>详见附件：健全的财务会计制度的证明材料.docx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详见附件：依法缴纳税收和社会保障资金.docx</w:t>
      </w:r>
    </w:p>
    <w:p>
      <w:pPr>
        <w:pStyle w:val="null3"/>
        <w:ind w:firstLine="960"/>
      </w:pPr>
      <w:r>
        <w:rPr>
          <w:rFonts w:ascii="仿宋_GB2312" w:hAnsi="仿宋_GB2312" w:cs="仿宋_GB2312" w:eastAsia="仿宋_GB2312"/>
        </w:rPr>
        <w:t>详见附件：履行本合同所必需的设备和专业技术能力.docx</w:t>
      </w:r>
    </w:p>
    <w:p>
      <w:pPr>
        <w:pStyle w:val="null3"/>
        <w:ind w:firstLine="960"/>
      </w:pPr>
      <w:r>
        <w:rPr>
          <w:rFonts w:ascii="仿宋_GB2312" w:hAnsi="仿宋_GB2312" w:cs="仿宋_GB2312" w:eastAsia="仿宋_GB2312"/>
        </w:rPr>
        <w:t>详见附件：无重大违法记录书面声明.docx</w:t>
      </w:r>
    </w:p>
    <w:p>
      <w:pPr>
        <w:pStyle w:val="null3"/>
        <w:ind w:firstLine="960"/>
      </w:pPr>
      <w:r>
        <w:rPr>
          <w:rFonts w:ascii="仿宋_GB2312" w:hAnsi="仿宋_GB2312" w:cs="仿宋_GB2312" w:eastAsia="仿宋_GB2312"/>
        </w:rPr>
        <w:t>详见附件：信誉要求.docx</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详见附件：服务方案响应说明.docx</w:t>
      </w:r>
    </w:p>
    <w:p>
      <w:pPr>
        <w:pStyle w:val="null3"/>
        <w:ind w:firstLine="960"/>
      </w:pPr>
      <w:r>
        <w:rPr>
          <w:rFonts w:ascii="仿宋_GB2312" w:hAnsi="仿宋_GB2312" w:cs="仿宋_GB2312" w:eastAsia="仿宋_GB2312"/>
        </w:rPr>
        <w:t>详见附件：业绩的有关证明材料.docx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详见附件：投标文件封面.docx</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详见附件：费用组成明细表（包2）.docx</w:t>
      </w:r>
    </w:p>
    <w:p>
      <w:pPr>
        <w:pStyle w:val="null3"/>
        <w:ind w:firstLine="960"/>
      </w:pPr>
      <w:r>
        <w:rPr>
          <w:rFonts w:ascii="仿宋_GB2312" w:hAnsi="仿宋_GB2312" w:cs="仿宋_GB2312" w:eastAsia="仿宋_GB2312"/>
        </w:rPr>
        <w:t>详见附件：健全的财务会计制度的证明材料.docx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详见附件：依法缴纳税收和社会保障资金.docx</w:t>
      </w:r>
    </w:p>
    <w:p>
      <w:pPr>
        <w:pStyle w:val="null3"/>
        <w:ind w:firstLine="960"/>
      </w:pPr>
      <w:r>
        <w:rPr>
          <w:rFonts w:ascii="仿宋_GB2312" w:hAnsi="仿宋_GB2312" w:cs="仿宋_GB2312" w:eastAsia="仿宋_GB2312"/>
        </w:rPr>
        <w:t>详见附件：履行本合同所必需的设备和专业技术能力.docx</w:t>
      </w:r>
    </w:p>
    <w:p>
      <w:pPr>
        <w:pStyle w:val="null3"/>
        <w:ind w:firstLine="960"/>
      </w:pPr>
      <w:r>
        <w:rPr>
          <w:rFonts w:ascii="仿宋_GB2312" w:hAnsi="仿宋_GB2312" w:cs="仿宋_GB2312" w:eastAsia="仿宋_GB2312"/>
        </w:rPr>
        <w:t>详见附件：无重大违法记录书面声明.docx</w:t>
      </w:r>
    </w:p>
    <w:p>
      <w:pPr>
        <w:pStyle w:val="null3"/>
        <w:ind w:firstLine="960"/>
      </w:pPr>
      <w:r>
        <w:rPr>
          <w:rFonts w:ascii="仿宋_GB2312" w:hAnsi="仿宋_GB2312" w:cs="仿宋_GB2312" w:eastAsia="仿宋_GB2312"/>
        </w:rPr>
        <w:t>详见附件：信誉要求.docx</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详见附件：服务方案响应说明.docx</w:t>
      </w:r>
    </w:p>
    <w:p>
      <w:pPr>
        <w:pStyle w:val="null3"/>
        <w:ind w:firstLine="960"/>
      </w:pPr>
      <w:r>
        <w:rPr>
          <w:rFonts w:ascii="仿宋_GB2312" w:hAnsi="仿宋_GB2312" w:cs="仿宋_GB2312" w:eastAsia="仿宋_GB2312"/>
        </w:rPr>
        <w:t>详见附件：业绩的有关证明材料.docx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 Id="rId7" Target="media/image2.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