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6475B">
      <w:pPr>
        <w:keepLines/>
        <w:pageBreakBefore/>
        <w:shd w:val="clear"/>
        <w:tabs>
          <w:tab w:val="left" w:pos="324"/>
        </w:tabs>
        <w:spacing w:line="360" w:lineRule="auto"/>
        <w:jc w:val="center"/>
        <w:outlineLvl w:val="0"/>
        <w:rPr>
          <w:rFonts w:hint="eastAsia" w:ascii="宋体" w:hAnsi="宋体" w:eastAsia="宋体" w:cs="Times New Roman"/>
          <w:b/>
          <w:color w:val="auto"/>
          <w:sz w:val="30"/>
          <w:szCs w:val="32"/>
          <w:highlight w:val="none"/>
        </w:rPr>
      </w:pPr>
      <w:r>
        <w:rPr>
          <w:rFonts w:hint="eastAsia" w:ascii="宋体" w:hAnsi="宋体" w:eastAsia="宋体" w:cs="Times New Roman"/>
          <w:b/>
          <w:color w:val="auto"/>
          <w:sz w:val="30"/>
          <w:szCs w:val="32"/>
          <w:highlight w:val="none"/>
        </w:rPr>
        <w:t>采购内容及商务要求</w:t>
      </w:r>
    </w:p>
    <w:p w14:paraId="3AD57874">
      <w:pPr>
        <w:shd w:val="clear"/>
        <w:tabs>
          <w:tab w:val="left" w:pos="900"/>
        </w:tabs>
        <w:spacing w:line="360" w:lineRule="auto"/>
        <w:ind w:firstLine="482" w:firstLineChars="200"/>
        <w:rPr>
          <w:rFonts w:hint="eastAsia" w:ascii="宋体" w:hAnsi="宋体" w:cs="宋体"/>
          <w:b/>
          <w:color w:val="auto"/>
          <w:sz w:val="24"/>
          <w:szCs w:val="24"/>
          <w:highlight w:val="none"/>
        </w:rPr>
      </w:pPr>
      <w:bookmarkStart w:id="0" w:name="_Toc219271393"/>
      <w:bookmarkStart w:id="1" w:name="_Toc158978330"/>
      <w:bookmarkStart w:id="2" w:name="_Toc172360661"/>
      <w:r>
        <w:rPr>
          <w:rFonts w:hint="eastAsia" w:ascii="宋体" w:hAnsi="宋体" w:cs="宋体"/>
          <w:b/>
          <w:color w:val="auto"/>
          <w:sz w:val="24"/>
          <w:szCs w:val="24"/>
          <w:highlight w:val="none"/>
        </w:rPr>
        <w:t>一、采购内容</w:t>
      </w:r>
    </w:p>
    <w:bookmarkEnd w:id="0"/>
    <w:bookmarkEnd w:id="1"/>
    <w:bookmarkEnd w:id="2"/>
    <w:p w14:paraId="79C237C7">
      <w:pPr>
        <w:shd w:val="clear"/>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1、项目</w:t>
      </w:r>
      <w:r>
        <w:rPr>
          <w:rFonts w:hint="eastAsia" w:ascii="宋体" w:hAnsi="宋体" w:cs="宋体"/>
          <w:b/>
          <w:bCs/>
          <w:color w:val="auto"/>
          <w:sz w:val="24"/>
          <w:szCs w:val="24"/>
          <w:highlight w:val="none"/>
          <w:lang w:val="en-US" w:eastAsia="zh-CN"/>
        </w:rPr>
        <w:t>概况</w:t>
      </w:r>
    </w:p>
    <w:p w14:paraId="2023FE1B">
      <w:pPr>
        <w:shd w:val="clear"/>
        <w:spacing w:line="360" w:lineRule="auto"/>
        <w:ind w:firstLine="480" w:firstLineChars="200"/>
        <w:rPr>
          <w:rFonts w:hint="eastAsia" w:ascii="宋体" w:hAnsi="宋体" w:cs="宋体"/>
          <w:color w:val="auto"/>
          <w:sz w:val="24"/>
          <w:szCs w:val="24"/>
          <w:highlight w:val="none"/>
        </w:rPr>
      </w:pPr>
      <w:bookmarkStart w:id="3" w:name="OLE_LINK5"/>
      <w:bookmarkStart w:id="4" w:name="OLE_LINK4"/>
      <w:r>
        <w:rPr>
          <w:rFonts w:hint="eastAsia" w:ascii="宋体" w:hAnsi="宋体" w:cs="宋体"/>
          <w:color w:val="auto"/>
          <w:sz w:val="24"/>
          <w:szCs w:val="24"/>
          <w:highlight w:val="none"/>
        </w:rPr>
        <w:t>为进一步规范新城招商引资项目入区流程，提升招商引资工作质效，科学配给产业用地类项目资源要素，委托第三方机构开展项目入区评审，切</w:t>
      </w:r>
      <w:bookmarkStart w:id="9" w:name="_GoBack"/>
      <w:bookmarkEnd w:id="9"/>
      <w:r>
        <w:rPr>
          <w:rFonts w:hint="eastAsia" w:ascii="宋体" w:hAnsi="宋体" w:cs="宋体"/>
          <w:color w:val="auto"/>
          <w:sz w:val="24"/>
          <w:szCs w:val="24"/>
          <w:highlight w:val="none"/>
        </w:rPr>
        <w:t xml:space="preserve">实提升入区项目质量。 </w:t>
      </w:r>
      <w:bookmarkEnd w:id="3"/>
      <w:bookmarkEnd w:id="4"/>
    </w:p>
    <w:p w14:paraId="60E24D9F">
      <w:pPr>
        <w:shd w:val="clea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2、采购内容</w:t>
      </w:r>
    </w:p>
    <w:p w14:paraId="644CA61A">
      <w:pPr>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针对由沣西新城管委会依据产业规划、城市建设规划，通过招商引资方式引进的符合沣西新城入区标准的项目，围绕产业方向符合契合度、投资规模、经济效益、科技创新能力、环保与可持续发展、企业团队能力、产业带动与集聚效应、社会效益等进行综合评估；</w:t>
      </w:r>
    </w:p>
    <w:p w14:paraId="2F8546DA">
      <w:pPr>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对项目进行专项调研及开展项目初步评审论证，包括但不限于技术可行性评估、经济可行性分析、环境影响评估、企业资质与能力评估等；</w:t>
      </w:r>
    </w:p>
    <w:p w14:paraId="40D4E995">
      <w:pPr>
        <w:shd w:val="clea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设立专家库遴选行业专家，针对不同产业项目组织相关领域专家论证，召开项目入区评审会，邀请行业专家、技术专家、经济专家等对项目进行集中评审，形成专家评审意见；</w:t>
      </w:r>
    </w:p>
    <w:p w14:paraId="391ED13A">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整理并出具专家评审意见汇总、编制项目入区评审报告，包括但不限于项目概况、评</w:t>
      </w:r>
      <w:r>
        <w:rPr>
          <w:rFonts w:hint="eastAsia" w:ascii="宋体" w:hAnsi="宋体" w:eastAsia="宋体" w:cs="宋体"/>
          <w:color w:val="auto"/>
          <w:sz w:val="24"/>
          <w:szCs w:val="24"/>
          <w:highlight w:val="none"/>
        </w:rPr>
        <w:t>审内容、评审结论、意见建议等，为新城决策提供依据。</w:t>
      </w:r>
    </w:p>
    <w:p w14:paraId="53C4F57A">
      <w:pPr>
        <w:shd w:val="clea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（5）评审服务次数：</w:t>
      </w:r>
      <w:r>
        <w:rPr>
          <w:rFonts w:hint="eastAsia" w:ascii="宋体" w:hAnsi="宋体" w:eastAsia="宋体" w:cs="宋体"/>
          <w:color w:val="auto"/>
          <w:sz w:val="24"/>
          <w:szCs w:val="24"/>
          <w:highlight w:val="none"/>
        </w:rPr>
        <w:t>暂定</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次，最终以实际评审服务次数为准</w:t>
      </w:r>
      <w:r>
        <w:rPr>
          <w:rFonts w:hint="eastAsia" w:ascii="宋体" w:hAnsi="宋体" w:eastAsia="宋体" w:cs="宋体"/>
          <w:color w:val="auto"/>
          <w:sz w:val="24"/>
          <w:szCs w:val="24"/>
          <w:highlight w:val="none"/>
          <w:lang w:val="en-US" w:eastAsia="zh-CN"/>
        </w:rPr>
        <w:t>。</w:t>
      </w:r>
    </w:p>
    <w:p w14:paraId="214CCBA6">
      <w:pPr>
        <w:shd w:val="clear"/>
        <w:spacing w:line="360" w:lineRule="auto"/>
        <w:ind w:firstLine="482" w:firstLineChars="200"/>
        <w:rPr>
          <w:rFonts w:hint="eastAsia" w:ascii="宋体" w:hAnsi="宋体" w:eastAsia="宋体" w:cs="宋体"/>
          <w:b/>
          <w:bCs/>
          <w:color w:val="auto"/>
          <w:sz w:val="24"/>
          <w:szCs w:val="24"/>
          <w:highlight w:val="none"/>
          <w:lang w:eastAsia="zh-CN"/>
        </w:rPr>
      </w:pPr>
      <w:bookmarkStart w:id="5" w:name="OLE_LINK82"/>
      <w:bookmarkStart w:id="6" w:name="OLE_LINK83"/>
      <w:r>
        <w:rPr>
          <w:rFonts w:hint="eastAsia" w:ascii="宋体" w:hAnsi="宋体" w:cs="宋体"/>
          <w:b/>
          <w:bCs/>
          <w:color w:val="auto"/>
          <w:sz w:val="24"/>
          <w:szCs w:val="24"/>
          <w:highlight w:val="none"/>
        </w:rPr>
        <w:t>3、</w:t>
      </w:r>
      <w:bookmarkStart w:id="7" w:name="OLE_LINK8"/>
      <w:bookmarkStart w:id="8" w:name="OLE_LINK9"/>
      <w:r>
        <w:rPr>
          <w:rFonts w:hint="eastAsia" w:ascii="宋体" w:hAnsi="宋体" w:cs="宋体"/>
          <w:b/>
          <w:bCs/>
          <w:color w:val="auto"/>
          <w:sz w:val="24"/>
          <w:szCs w:val="24"/>
          <w:highlight w:val="none"/>
          <w:lang w:val="en-US" w:eastAsia="zh-CN"/>
        </w:rPr>
        <w:t>执行标准</w:t>
      </w:r>
    </w:p>
    <w:bookmarkEnd w:id="7"/>
    <w:bookmarkEnd w:id="8"/>
    <w:p w14:paraId="39100E00">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沣西新城的项目评审工作中，要始终坚持“符合产业导向、节约集约利用、质量效益优先、科学公正评价”这一至关重要且严谨全面的原则，将其贯穿于项目引进的每一个环节和步骤之中，并对评审项目进行专项调研、组织专家评审论证；熟知工业用地项目入区的各项经济指标要求及规划指标要求；通过对项目可行性、发展前景、企业实施能力等描述出具客观的评审报告；具有丰富的专家资源，建立的专家库涵盖各行业；确保评审工作的专业性、科学性。项目入区评审涵盖多方面要点：产业结构上，优先引符合规划项目，评科研、市场等能力；环境和能源评价，确保项目符合环保法规及规划，审环境影响等；选址布局需科学合理，看是否符合规划及指标要求；土地供给要在获批范围，符合目录与集约原则，评用地规模等；投资规模查总额、筹措方案等；综合效益关注经济指标、建设进度、就业等，确保项目投产后投入产出等符合规定。</w:t>
      </w:r>
    </w:p>
    <w:p w14:paraId="61A33986">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评审的完成以出具项目评审报告并经甲方验收通过为准。每个项目安排3—5位评审专家，评审专家费由乙方垫支，由甲方向乙方统一结算。项目评审费用包括乙方为完成项目要求的所有费用，甲方不再另行支付项目评审费用以外的其他任何费用。具体根据项目开展情况据实结算，最终结算金额不得超过预算总金额。</w:t>
      </w:r>
    </w:p>
    <w:p w14:paraId="59F29844">
      <w:pPr>
        <w:shd w:val="clear"/>
        <w:spacing w:line="360" w:lineRule="auto"/>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4、项目范围</w:t>
      </w:r>
    </w:p>
    <w:p w14:paraId="430B1418">
      <w:pPr>
        <w:shd w:val="clea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聚焦制造业、新质生产力、高附加值行业以及发展潜力大、经济贡献优、带动能力强、品牌影响力大的项目，产业用地类项目须召开专家评审会议；技术复杂、新兴领域项目，或需配置较多资源要素的项目，经项目招引部门研判后，确需专家评审的也可纳入评审范围。</w:t>
      </w:r>
    </w:p>
    <w:p w14:paraId="78B14629">
      <w:pPr>
        <w:numPr>
          <w:ilvl w:val="0"/>
          <w:numId w:val="2"/>
        </w:numPr>
        <w:shd w:val="clea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乙方职责</w:t>
      </w:r>
    </w:p>
    <w:p w14:paraId="2D1B3A51">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5.1.针对由沣西新城管委会依据沣西新城产业发展规划、城市建设规划，通过招商引资方式引进的符合沣西新城入区标准的项目。 </w:t>
      </w:r>
    </w:p>
    <w:p w14:paraId="75F66C86">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5.2.对项目进行专项调研及开展项目初步评审论证。 </w:t>
      </w:r>
    </w:p>
    <w:p w14:paraId="0117ABEE">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5.3.利用乙方专家库遴选行业专家，组织专家论证，甲方协同乙方召开项目入区评审会。 </w:t>
      </w:r>
    </w:p>
    <w:p w14:paraId="76F5452D">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5.4.整理并出具专家评审会意见汇总，为甲方决策提供依据。 </w:t>
      </w:r>
    </w:p>
    <w:p w14:paraId="1A62306E">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5.5.招商部门委托第三方机构开展项目入区评审。项目评审组由外部专家和管委会相关部门组成，形成了内外结合、优势互补的评审团队格局。 </w:t>
      </w:r>
    </w:p>
    <w:p w14:paraId="70F24B97">
      <w:pPr>
        <w:pStyle w:val="5"/>
        <w:shd w:val="clear"/>
        <w:spacing w:after="0" w:line="360" w:lineRule="auto"/>
        <w:ind w:firstLine="482" w:firstLineChars="20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en-US" w:eastAsia="zh-CN"/>
        </w:rPr>
        <w:t>6.项目入区评审会具体流程如下：</w:t>
      </w:r>
      <w:r>
        <w:rPr>
          <w:rFonts w:hint="eastAsia" w:ascii="宋体" w:hAnsi="宋体" w:eastAsia="宋体" w:cs="宋体"/>
          <w:color w:val="auto"/>
          <w:sz w:val="24"/>
          <w:szCs w:val="24"/>
          <w:highlight w:val="none"/>
          <w:lang w:val="en-US" w:eastAsia="zh-CN"/>
        </w:rPr>
        <w:t xml:space="preserve"> </w:t>
      </w:r>
    </w:p>
    <w:p w14:paraId="04470B13">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（1）项目汇报。项目单位负责人（或委托人）汇报项目情况，内容包括但不限于企业简介、项目简介、项目效益等内容。 </w:t>
      </w:r>
    </w:p>
    <w:p w14:paraId="64F1A37B">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（2）企业答辩。汇报结束后项目单位将接受项目评审组质询（评审专家和列席单位依次质询），质询环节结束后，项目单位离开评审现场。 </w:t>
      </w:r>
    </w:p>
    <w:p w14:paraId="7BC5D224">
      <w:pPr>
        <w:pStyle w:val="5"/>
        <w:shd w:val="clear"/>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（3）闭门讨论。评审组就项目情况进行深入交流讨论。 </w:t>
      </w:r>
    </w:p>
    <w:p w14:paraId="6387BA14">
      <w:pPr>
        <w:pStyle w:val="5"/>
        <w:shd w:val="clear"/>
        <w:spacing w:after="0" w:line="360" w:lineRule="auto"/>
        <w:ind w:firstLine="480" w:firstLineChars="200"/>
        <w:rPr>
          <w:color w:val="auto"/>
          <w:highlight w:val="none"/>
        </w:rPr>
      </w:pPr>
      <w:r>
        <w:rPr>
          <w:rFonts w:hint="eastAsia" w:ascii="宋体" w:hAnsi="宋体" w:eastAsia="宋体" w:cs="宋体"/>
          <w:color w:val="auto"/>
          <w:sz w:val="24"/>
          <w:szCs w:val="24"/>
          <w:highlight w:val="none"/>
          <w:lang w:val="en-US" w:eastAsia="zh-CN"/>
        </w:rPr>
        <w:t>（4）出具意见。专家根据项目单位汇报情况及项目评审资料情况，出具评审意见。</w:t>
      </w:r>
    </w:p>
    <w:bookmarkEnd w:id="5"/>
    <w:bookmarkEnd w:id="6"/>
    <w:p w14:paraId="55540A0B">
      <w:pPr>
        <w:shd w:val="clear"/>
        <w:tabs>
          <w:tab w:val="left" w:pos="900"/>
        </w:tabs>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rPr>
        <w:t>二、商务要求</w:t>
      </w:r>
    </w:p>
    <w:p w14:paraId="7B9A9DE7">
      <w:pPr>
        <w:pStyle w:val="5"/>
        <w:shd w:val="clear"/>
        <w:spacing w:after="0"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结算单位：银行转账，由采购人以人民币负责结算。</w:t>
      </w:r>
    </w:p>
    <w:p w14:paraId="4233F453">
      <w:pPr>
        <w:pStyle w:val="5"/>
        <w:shd w:val="clear"/>
        <w:spacing w:after="0"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服务</w:t>
      </w:r>
      <w:r>
        <w:rPr>
          <w:rFonts w:hint="eastAsia" w:ascii="宋体" w:hAnsi="宋体" w:cs="宋体"/>
          <w:color w:val="auto"/>
          <w:sz w:val="24"/>
          <w:szCs w:val="24"/>
          <w:highlight w:val="none"/>
        </w:rPr>
        <w:t>期限</w:t>
      </w:r>
      <w:r>
        <w:rPr>
          <w:rFonts w:hint="eastAsia" w:ascii="宋体" w:hAnsi="宋体" w:cs="宋体"/>
          <w:color w:val="auto"/>
          <w:sz w:val="24"/>
          <w:szCs w:val="24"/>
          <w:highlight w:val="none"/>
          <w:lang w:val="zh-CN"/>
        </w:rPr>
        <w:t>：</w:t>
      </w:r>
      <w:r>
        <w:rPr>
          <w:rFonts w:hint="eastAsia" w:ascii="宋体" w:hAnsi="宋体" w:cs="微软雅黑"/>
          <w:color w:val="auto"/>
          <w:sz w:val="24"/>
          <w:szCs w:val="24"/>
          <w:highlight w:val="none"/>
          <w:shd w:val="clear" w:color="auto" w:fill="FFFFFF"/>
        </w:rPr>
        <w:t>自合同签订之日起1年</w:t>
      </w:r>
    </w:p>
    <w:p w14:paraId="03BCF44D">
      <w:pPr>
        <w:pStyle w:val="5"/>
        <w:shd w:val="clear"/>
        <w:spacing w:after="0"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服务地点：</w:t>
      </w:r>
      <w:r>
        <w:rPr>
          <w:rFonts w:hint="eastAsia" w:ascii="宋体" w:hAnsi="宋体" w:cs="宋体"/>
          <w:color w:val="auto"/>
          <w:sz w:val="24"/>
          <w:szCs w:val="24"/>
          <w:highlight w:val="none"/>
        </w:rPr>
        <w:t>采购人指定地点</w:t>
      </w:r>
      <w:r>
        <w:rPr>
          <w:rFonts w:hint="eastAsia" w:ascii="宋体" w:hAnsi="宋体" w:cs="宋体"/>
          <w:color w:val="auto"/>
          <w:sz w:val="24"/>
          <w:szCs w:val="24"/>
          <w:highlight w:val="none"/>
          <w:lang w:val="zh-CN"/>
        </w:rPr>
        <w:t xml:space="preserve"> </w:t>
      </w:r>
    </w:p>
    <w:p w14:paraId="60F610E1">
      <w:pPr>
        <w:pStyle w:val="5"/>
        <w:shd w:val="clear"/>
        <w:spacing w:after="0" w:line="360" w:lineRule="auto"/>
        <w:ind w:firstLine="480" w:firstLineChars="200"/>
        <w:rPr>
          <w:rFonts w:hint="eastAsia"/>
          <w:color w:val="auto"/>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zh-CN"/>
        </w:rPr>
        <w:t>付款方式：</w:t>
      </w:r>
    </w:p>
    <w:p w14:paraId="484E3A01">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1）项目评审费用分为评审咨询费和评审专家费。每个项目安排3—5位评审专家，评审专家费由乙方垫支，由甲方向乙方统一结算。项目评审费用包括乙方为完成项目要求的所有费用，甲方不再另行支付项目评审费用以外的其他任何费用。具体根据项目开展情况据实结算，最终结算金额不得超过预算总金额。</w:t>
      </w:r>
    </w:p>
    <w:p w14:paraId="49D25BE3">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服务期每满六个月，根据下述结算规定甲乙双方办理结算。项目评审的完成以出具项目评审报告并经甲方验收通过为准。项目评审报告需写明邀请专家人数及实际完成次数等与该项目有关的全部内容。</w:t>
      </w:r>
    </w:p>
    <w:p w14:paraId="6CD608A7">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结算方式按照“结算费用=评审咨询费成交综合单价×实际完成次数＋评审专家费成交综合单价×每次拟邀请专家人数×实际完成次数”结算规定，据实结算。</w:t>
      </w:r>
    </w:p>
    <w:p w14:paraId="4CFB15FB">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支付方式：甲乙双方每满六个月结算一次费用，据实结算。双方结算后30日内甲方根据结算费用一次性向乙方支付项目评审费用。每次付款前，乙方应根据甲方要求开具陕西增值税普通发票。付款前，乙方必须保证发票票面信息全部真实，如乙方开具的发票有误，需重新提供，如因乙方未及时提供等额合规发票，导致甲方迟延付款，由此产生的法律后果乙方自行承担。合同后附中小企业声明函（服务）的证明资料。</w:t>
      </w:r>
    </w:p>
    <w:p w14:paraId="209CE72C">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甲方以电子转账的形式将项目评审费用转入乙方指定账户，乙方指定收款账户信息如下：</w:t>
      </w:r>
    </w:p>
    <w:p w14:paraId="241EF0E7">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u w:val="single"/>
          <w:lang w:val="en-US" w:eastAsia="zh-CN"/>
        </w:rPr>
      </w:pPr>
      <w:r>
        <w:rPr>
          <w:rFonts w:hint="eastAsia" w:ascii="宋体" w:hAnsi="宋体" w:cs="宋体"/>
          <w:color w:val="auto"/>
          <w:sz w:val="24"/>
          <w:highlight w:val="none"/>
        </w:rPr>
        <w:t>户名：</w:t>
      </w:r>
      <w:r>
        <w:rPr>
          <w:rFonts w:hint="eastAsia" w:ascii="宋体" w:hAnsi="宋体" w:cs="宋体"/>
          <w:color w:val="auto"/>
          <w:sz w:val="24"/>
          <w:highlight w:val="none"/>
          <w:u w:val="single"/>
          <w:lang w:val="en-US" w:eastAsia="zh-CN"/>
        </w:rPr>
        <w:t xml:space="preserve">                      </w:t>
      </w:r>
    </w:p>
    <w:p w14:paraId="591A3291">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账号：</w:t>
      </w:r>
      <w:r>
        <w:rPr>
          <w:rFonts w:hint="eastAsia" w:ascii="宋体" w:hAnsi="宋体" w:cs="宋体"/>
          <w:color w:val="auto"/>
          <w:sz w:val="24"/>
          <w:highlight w:val="none"/>
          <w:u w:val="single"/>
          <w:lang w:val="en-US" w:eastAsia="zh-CN"/>
        </w:rPr>
        <w:t xml:space="preserve">                      </w:t>
      </w:r>
    </w:p>
    <w:p w14:paraId="39667594">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开户行：</w:t>
      </w:r>
      <w:r>
        <w:rPr>
          <w:rFonts w:hint="eastAsia" w:ascii="宋体" w:hAnsi="宋体" w:cs="宋体"/>
          <w:color w:val="auto"/>
          <w:sz w:val="24"/>
          <w:highlight w:val="none"/>
          <w:u w:val="single"/>
          <w:lang w:val="en-US" w:eastAsia="zh-CN"/>
        </w:rPr>
        <w:t xml:space="preserve">                     </w:t>
      </w:r>
    </w:p>
    <w:p w14:paraId="43C54C14">
      <w:pPr>
        <w:widowControl/>
        <w:shd w:val="clear"/>
        <w:overflowPunct w:val="0"/>
        <w:autoSpaceDE w:val="0"/>
        <w:autoSpaceDN w:val="0"/>
        <w:adjustRightInd w:val="0"/>
        <w:snapToGrid w:val="0"/>
        <w:spacing w:line="360" w:lineRule="auto"/>
        <w:ind w:firstLine="480" w:firstLineChars="200"/>
        <w:textAlignment w:val="baseline"/>
        <w:rPr>
          <w:rFonts w:hint="eastAsia"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）支付方式：银行转账</w:t>
      </w:r>
    </w:p>
    <w:p w14:paraId="5630DB93">
      <w:pPr>
        <w:widowControl/>
        <w:shd w:val="clea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发票提供：乙方必须保证发票票面信息全部真实，如乙方开具的发票有误，需重新提供，如因乙方未及时提供等额合规发票，导致甲方迟延付款，由此产生的法律后果乙方自行承担。</w:t>
      </w:r>
    </w:p>
    <w:p w14:paraId="17AE8199">
      <w:pPr>
        <w:shd w:val="clear"/>
        <w:rPr>
          <w:color w:val="auto"/>
          <w:highlight w:val="none"/>
        </w:rPr>
      </w:pPr>
    </w:p>
    <w:p w14:paraId="2396BD10">
      <w:pPr>
        <w:shd w:val="clear"/>
        <w:rPr>
          <w:rFonts w:hint="eastAsia" w:ascii="宋体" w:hAnsi="宋体"/>
          <w:b/>
          <w:color w:val="auto"/>
          <w:sz w:val="30"/>
          <w:szCs w:val="32"/>
          <w:highlight w:val="none"/>
        </w:rPr>
      </w:pPr>
    </w:p>
    <w:p w14:paraId="220404C7">
      <w:pPr>
        <w:shd w:val="clear"/>
        <w:rPr>
          <w:color w:val="auto"/>
          <w:highlight w:val="none"/>
        </w:rPr>
      </w:pP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upperLetter"/>
      <w:pStyle w:val="3"/>
      <w:lvlText w:val="%1、"/>
      <w:lvlJc w:val="left"/>
      <w:pPr>
        <w:tabs>
          <w:tab w:val="left" w:pos="960"/>
        </w:tabs>
        <w:ind w:left="960" w:hanging="324"/>
      </w:pPr>
      <w:rPr>
        <w:rFonts w:hint="eastAsia" w:cs="Times New Roman"/>
      </w:rPr>
    </w:lvl>
  </w:abstractNum>
  <w:abstractNum w:abstractNumId="1">
    <w:nsid w:val="7A94B015"/>
    <w:multiLevelType w:val="singleLevel"/>
    <w:tmpl w:val="7A94B015"/>
    <w:lvl w:ilvl="0" w:tentative="0">
      <w:start w:val="5"/>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112ED"/>
    <w:rsid w:val="253432D4"/>
    <w:rsid w:val="35784935"/>
    <w:rsid w:val="3A5F3BDA"/>
    <w:rsid w:val="3AC74DF5"/>
    <w:rsid w:val="62FD47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4"/>
    <w:basedOn w:val="1"/>
    <w:next w:val="1"/>
    <w:qFormat/>
    <w:uiPriority w:val="9"/>
    <w:pPr>
      <w:keepNext/>
      <w:numPr>
        <w:ilvl w:val="0"/>
        <w:numId w:val="1"/>
      </w:numPr>
      <w:tabs>
        <w:tab w:val="left" w:pos="2715"/>
      </w:tabs>
      <w:autoSpaceDE w:val="0"/>
      <w:autoSpaceDN w:val="0"/>
      <w:adjustRightInd w:val="0"/>
      <w:jc w:val="center"/>
      <w:outlineLvl w:val="3"/>
    </w:pPr>
    <w:rPr>
      <w:rFonts w:ascii="方正姚体" w:hAnsi="Times New Roman" w:eastAsia="方正姚体"/>
      <w:sz w:val="36"/>
      <w:szCs w:val="32"/>
    </w:rPr>
  </w:style>
  <w:style w:type="paragraph" w:styleId="4">
    <w:name w:val="heading 6"/>
    <w:basedOn w:val="1"/>
    <w:next w:val="1"/>
    <w:qFormat/>
    <w:uiPriority w:val="9"/>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5">
    <w:name w:val="Body Text"/>
    <w:basedOn w:val="1"/>
    <w:unhideWhenUsed/>
    <w:qFormat/>
    <w:uiPriority w:val="99"/>
    <w:pPr>
      <w:spacing w:after="120"/>
    </w:pPr>
  </w:style>
  <w:style w:type="paragraph" w:styleId="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9">
    <w:name w:val="Strong"/>
    <w:qFormat/>
    <w:uiPriority w:val="22"/>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2202</Words>
  <Characters>2224</Characters>
  <Lines>0</Lines>
  <Paragraphs>0</Paragraphs>
  <TotalTime>0</TotalTime>
  <ScaleCrop>false</ScaleCrop>
  <LinksUpToDate>false</LinksUpToDate>
  <CharactersWithSpaces>2300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2026-06-01T03:02:00Z</dcterms:created>
  <dc:creator>youfu</dc:creator>
  <cp:lastModifiedBy>Throb°</cp:lastModifiedBy>
  <dcterms:modified xsi:type="dcterms:W3CDTF">2026-06-01T03:07:37Z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eyJoZGlkIjoiMzkzMjE0NTk1ZmNlZTUyNTJiYjI1ZWJiM2RjNDVhZTAiLCJ1c2VySWQiOiI5NDQ5NDY1NDEifQ==</vt:lpwstr>
  </property>
  <property fmtid="{D5CDD505-2E9C-101B-9397-08002B2CF9AE}" pid="4" name="ICV">
    <vt:lpwstr>BC60800120424FB58F70DE4AED5A42A9_12</vt:lpwstr>
  </property>
</Properties>
</file>