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版本号：DRZB2026-ZC-18220260810001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2026年西安市路网运行监测设施维修更换项目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DRZB2026-ZC-182</w:t>
      </w:r>
      <w:r>
        <w:br/>
      </w:r>
      <w:r>
        <w:br/>
      </w:r>
      <w:r>
        <w:br/>
      </w:r>
    </w:p>
    <w:p>
      <w:pPr>
        <w:pStyle w:val="null3"/>
        <w:jc w:val="center"/>
        <w:outlineLvl w:val="2"/>
      </w:pPr>
      <w:r>
        <w:rPr>
          <w:rFonts w:ascii="仿宋_GB2312" w:hAnsi="仿宋_GB2312" w:cs="仿宋_GB2312" w:eastAsia="仿宋_GB2312"/>
          <w:sz w:val="28"/>
          <w:b/>
        </w:rPr>
        <w:t>西安市公路局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西安市公路局</w:t>
      </w:r>
      <w:r>
        <w:rPr>
          <w:rFonts w:ascii="仿宋_GB2312" w:hAnsi="仿宋_GB2312" w:cs="仿宋_GB2312" w:eastAsia="仿宋_GB2312"/>
        </w:rPr>
        <w:t>委托，拟对</w:t>
      </w:r>
      <w:r>
        <w:rPr>
          <w:rFonts w:ascii="仿宋_GB2312" w:hAnsi="仿宋_GB2312" w:cs="仿宋_GB2312" w:eastAsia="仿宋_GB2312"/>
        </w:rPr>
        <w:t>2026年西安市路网运行监测设施维修更换项目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DRZB2026-ZC-182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2026年西安市路网运行监测设施维修更换项目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2026年西安市路网运行监测设施维修更换项目，具体内容详见磋商文件。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采购包1（2026年西安市路网运行监测设施维修更换项目）：属于专门面向中小企业采购。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5、专业技术能力的声明：提供具有履行本合同所必需的专业技术能力的声明；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 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胡欣怡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029-87343664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马静茹、张海燕、赵璐、曹静、张昕玥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说明：合同签订后10个工作日内，中标人须向采购人缴纳合同金额5%的履约保证金，履约保证金以金融机构、担保机构出具的保函形式提交，服务期结束后保函10个工作日内退回供应商。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按照“服务类”项目的取费标准收取。以中标金额为计费基数，由中标人在领取中标通知书前一次性支付，具体费率如下：100万元以下，按照1.5%计取。如本项目各采购包代理服务费不足陆仟元则按陆仟元收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西安市公路局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联系人：马静茹、赵璐、曹静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2026年西安市路网运行监测设施维修更换项目，具体内容详见磋商文件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2026年西安市公路局路网运行监测设施维修更换项目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标的名称：2026年西安市公路局路网运行监测设施维修更换项目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一、服务内容</w:t>
            </w:r>
          </w:p>
          <w:p>
            <w:pPr>
              <w:pStyle w:val="null3"/>
            </w:pPr>
            <w:r>
              <w:rPr>
                <w:rFonts w:ascii="仿宋_GB2312" w:hAnsi="仿宋_GB2312" w:cs="仿宋_GB2312" w:eastAsia="仿宋_GB2312"/>
              </w:rPr>
              <w:t>1.熟悉陕西省公路网运行监测平台，公路局管理方和平台运营维护方，能够进行良好有效沟通，解决维护过程中出现的各种问题。</w:t>
            </w:r>
          </w:p>
          <w:p>
            <w:pPr>
              <w:pStyle w:val="null3"/>
            </w:pPr>
            <w:r>
              <w:rPr>
                <w:rFonts w:ascii="仿宋_GB2312" w:hAnsi="仿宋_GB2312" w:cs="仿宋_GB2312" w:eastAsia="仿宋_GB2312"/>
              </w:rPr>
              <w:t>2.对维修更换的路网运行监测设施，建立详细的设施档案资料和维护资料台账。</w:t>
            </w:r>
          </w:p>
          <w:p>
            <w:pPr>
              <w:pStyle w:val="null3"/>
            </w:pPr>
            <w:r>
              <w:rPr>
                <w:rFonts w:ascii="仿宋_GB2312" w:hAnsi="仿宋_GB2312" w:cs="仿宋_GB2312" w:eastAsia="仿宋_GB2312"/>
              </w:rPr>
              <w:t>3.对本次更换设备进行后续日常运维工作，包含以下内容：</w:t>
            </w:r>
          </w:p>
          <w:p>
            <w:pPr>
              <w:pStyle w:val="null3"/>
            </w:pPr>
            <w:r>
              <w:rPr>
                <w:rFonts w:ascii="仿宋_GB2312" w:hAnsi="仿宋_GB2312" w:cs="仿宋_GB2312" w:eastAsia="仿宋_GB2312"/>
              </w:rPr>
              <w:t>（1）通过监测或甲方报障发现外场设施问题后，乙方技术工程师30分钟内响应，在无外力影响下，在48小时内处理完成故障，处理完成后将处理结果汇报至甲方，并附现场处理照片。</w:t>
            </w:r>
          </w:p>
          <w:p>
            <w:pPr>
              <w:pStyle w:val="null3"/>
            </w:pPr>
            <w:r>
              <w:rPr>
                <w:rFonts w:ascii="仿宋_GB2312" w:hAnsi="仿宋_GB2312" w:cs="仿宋_GB2312" w:eastAsia="仿宋_GB2312"/>
              </w:rPr>
              <w:t>（2）每日通过外场设施对应的管理系统监测设备运行状态，详细记录设备运行状态，对发现的问题或故障立即处理，所有问题解决过程要有文字图片记录。</w:t>
            </w:r>
          </w:p>
          <w:p>
            <w:pPr>
              <w:pStyle w:val="null3"/>
            </w:pPr>
            <w:r>
              <w:rPr>
                <w:rFonts w:ascii="仿宋_GB2312" w:hAnsi="仿宋_GB2312" w:cs="仿宋_GB2312" w:eastAsia="仿宋_GB2312"/>
              </w:rPr>
              <w:t>（3）确保设备与省、市平台日常数据传输连接正常，设备在线率、正常运转率及数据完整率均达到90％以上。</w:t>
            </w:r>
          </w:p>
          <w:p>
            <w:pPr>
              <w:pStyle w:val="null3"/>
            </w:pPr>
            <w:r>
              <w:rPr>
                <w:rFonts w:ascii="仿宋_GB2312" w:hAnsi="仿宋_GB2312" w:cs="仿宋_GB2312" w:eastAsia="仿宋_GB2312"/>
              </w:rPr>
              <w:t>（4）对维护服务过程中发现的严重的不合理因素，潜在的安全隐患、设计缺陷等方面的问题，应以提升方案的形式提交甲方，甲方审核同意后方可实施。</w:t>
            </w:r>
          </w:p>
          <w:p>
            <w:pPr>
              <w:pStyle w:val="null3"/>
            </w:pPr>
            <w:r>
              <w:rPr>
                <w:rFonts w:ascii="仿宋_GB2312" w:hAnsi="仿宋_GB2312" w:cs="仿宋_GB2312" w:eastAsia="仿宋_GB2312"/>
              </w:rPr>
              <w:t>（5）按年度以书面形式向甲方提交已经更换设备的运行整体状况、存在的问题以及问题的解决情况简报。</w:t>
            </w:r>
          </w:p>
          <w:p>
            <w:pPr>
              <w:pStyle w:val="null3"/>
            </w:pPr>
            <w:r>
              <w:rPr>
                <w:rFonts w:ascii="仿宋_GB2312" w:hAnsi="仿宋_GB2312" w:cs="仿宋_GB2312" w:eastAsia="仿宋_GB2312"/>
              </w:rPr>
              <w:t>二、服务期限及其他要求</w:t>
            </w:r>
          </w:p>
          <w:p>
            <w:pPr>
              <w:pStyle w:val="null3"/>
            </w:pPr>
            <w:r>
              <w:rPr>
                <w:rFonts w:ascii="仿宋_GB2312" w:hAnsi="仿宋_GB2312" w:cs="仿宋_GB2312" w:eastAsia="仿宋_GB2312"/>
              </w:rPr>
              <w:t>1.服务期：自合同签订之日起2年。</w:t>
            </w:r>
          </w:p>
          <w:p>
            <w:pPr>
              <w:pStyle w:val="null3"/>
            </w:pPr>
            <w:r>
              <w:rPr>
                <w:rFonts w:ascii="仿宋_GB2312" w:hAnsi="仿宋_GB2312" w:cs="仿宋_GB2312" w:eastAsia="仿宋_GB2312"/>
              </w:rPr>
              <w:t>2.服务人员要求：配备不少于2名的维护人员。</w:t>
            </w:r>
          </w:p>
          <w:p>
            <w:pPr>
              <w:pStyle w:val="null3"/>
            </w:pPr>
            <w:r>
              <w:rPr>
                <w:rFonts w:ascii="仿宋_GB2312" w:hAnsi="仿宋_GB2312" w:cs="仿宋_GB2312" w:eastAsia="仿宋_GB2312"/>
              </w:rPr>
              <w:t>三、路网运行监测站点设备更换要求</w:t>
            </w:r>
          </w:p>
          <w:p>
            <w:pPr>
              <w:pStyle w:val="null3"/>
            </w:pPr>
            <w:r>
              <w:rPr>
                <w:rFonts w:ascii="仿宋_GB2312" w:hAnsi="仿宋_GB2312" w:cs="仿宋_GB2312" w:eastAsia="仿宋_GB2312"/>
              </w:rPr>
              <w:t>1.拟对108国道、210国道等高海拔山区路段13处视频监测点位，2处交调点位设备进行维修更换服务，数量均为暂估，具体更换数量以现场实际情况为准。</w:t>
            </w:r>
          </w:p>
          <w:p>
            <w:pPr>
              <w:pStyle w:val="null3"/>
            </w:pPr>
            <w:r>
              <w:rPr>
                <w:rFonts w:ascii="仿宋_GB2312" w:hAnsi="仿宋_GB2312" w:cs="仿宋_GB2312" w:eastAsia="仿宋_GB2312"/>
              </w:rPr>
              <w:t>2.更换设备须经采购人确认后，方可进行。供应商应充分考虑高空及带电作业的安全风险，委派专业人员进行，更换过程中的一切施工及人员安全风险由供应商承担。</w:t>
            </w:r>
          </w:p>
          <w:p>
            <w:pPr>
              <w:pStyle w:val="null3"/>
            </w:pPr>
            <w:r>
              <w:rPr>
                <w:rFonts w:ascii="仿宋_GB2312" w:hAnsi="仿宋_GB2312" w:cs="仿宋_GB2312" w:eastAsia="仿宋_GB2312"/>
              </w:rPr>
              <w:t>3.更换设备技术参数严格执行下列要求，不允许负偏离（响应文件提供技术参数响应承诺书）。</w:t>
            </w:r>
          </w:p>
          <w:tbl>
            <w:tblPr>
              <w:tblBorders>
                <w:top w:val="single"/>
                <w:left w:val="single"/>
                <w:bottom w:val="single"/>
                <w:right w:val="single"/>
                <w:insideH w:val="single"/>
                <w:insideV w:val="single"/>
              </w:tblBorders>
            </w:tblPr>
            <w:tblGrid>
              <w:gridCol w:w="638"/>
              <w:gridCol w:w="638"/>
              <w:gridCol w:w="638"/>
              <w:gridCol w:w="638"/>
            </w:tblGrid>
            <w:tr>
              <w:tc>
                <w:tcPr>
                  <w:tcW w:type="dxa" w:w="638"/>
                  <w:vMerge w:val="restart"/>
                </w:tcPr>
                <w:p>
                  <w:pPr>
                    <w:pStyle w:val="null3"/>
                  </w:pPr>
                  <w:r>
                    <w:rPr>
                      <w:rFonts w:ascii="仿宋_GB2312" w:hAnsi="仿宋_GB2312" w:cs="仿宋_GB2312" w:eastAsia="仿宋_GB2312"/>
                    </w:rPr>
                    <w:t>序号</w:t>
                  </w:r>
                </w:p>
              </w:tc>
              <w:tc>
                <w:tcPr>
                  <w:tcW w:type="dxa" w:w="638"/>
                  <w:vMerge w:val="restart"/>
                </w:tcPr>
                <w:p>
                  <w:pPr>
                    <w:pStyle w:val="null3"/>
                  </w:pPr>
                  <w:r>
                    <w:rPr>
                      <w:rFonts w:ascii="仿宋_GB2312" w:hAnsi="仿宋_GB2312" w:cs="仿宋_GB2312" w:eastAsia="仿宋_GB2312"/>
                    </w:rPr>
                    <w:t>设备、材料名称</w:t>
                  </w:r>
                </w:p>
              </w:tc>
              <w:tc>
                <w:tcPr>
                  <w:tcW w:type="dxa" w:w="638"/>
                  <w:vMerge w:val="restart"/>
                </w:tcPr>
                <w:p>
                  <w:pPr>
                    <w:pStyle w:val="null3"/>
                  </w:pPr>
                  <w:r>
                    <w:rPr>
                      <w:rFonts w:ascii="仿宋_GB2312" w:hAnsi="仿宋_GB2312" w:cs="仿宋_GB2312" w:eastAsia="仿宋_GB2312"/>
                    </w:rPr>
                    <w:t>规格型号</w:t>
                  </w:r>
                </w:p>
              </w:tc>
              <w:tc>
                <w:tcPr>
                  <w:tcW w:type="dxa" w:w="638"/>
                  <w:vMerge w:val="restart"/>
                </w:tcPr>
                <w:p>
                  <w:pPr>
                    <w:pStyle w:val="null3"/>
                  </w:pPr>
                  <w:r>
                    <w:rPr>
                      <w:rFonts w:ascii="仿宋_GB2312" w:hAnsi="仿宋_GB2312" w:cs="仿宋_GB2312" w:eastAsia="仿宋_GB2312"/>
                    </w:rPr>
                    <w:t>备注</w:t>
                  </w:r>
                </w:p>
              </w:tc>
            </w:tr>
            <w:tr>
              <w:tc>
                <w:tcPr>
                  <w:tcW w:type="dxa" w:w="638"/>
                  <w:vMerge/>
                </w:tcPr>
                <w:p/>
              </w:tc>
              <w:tc>
                <w:tcPr>
                  <w:tcW w:type="dxa" w:w="638"/>
                  <w:vMerge/>
                </w:tcPr>
                <w:p/>
              </w:tc>
              <w:tc>
                <w:tcPr>
                  <w:tcW w:type="dxa" w:w="638"/>
                  <w:vMerge/>
                </w:tcPr>
                <w:p/>
              </w:tc>
              <w:tc>
                <w:tcPr>
                  <w:tcW w:type="dxa" w:w="638"/>
                  <w:vMerge/>
                </w:tcP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枪球一体化视频事件检测摄像机</w:t>
                  </w:r>
                </w:p>
              </w:tc>
              <w:tc>
                <w:tcPr>
                  <w:tcW w:type="dxa" w:w="638"/>
                </w:tcPr>
                <w:p>
                  <w:pPr>
                    <w:pStyle w:val="null3"/>
                  </w:pPr>
                  <w:r>
                    <w:rPr>
                      <w:rFonts w:ascii="仿宋_GB2312" w:hAnsi="仿宋_GB2312" w:cs="仿宋_GB2312" w:eastAsia="仿宋_GB2312"/>
                    </w:rPr>
                    <w:t>支持多种智能资源切换：全结构化，混合目标比对，智能交通，人员布控，400万全彩枪球一体机；</w:t>
                  </w:r>
                  <w:r>
                    <w:br/>
                  </w:r>
                  <w:r>
                    <w:rPr>
                      <w:rFonts w:ascii="仿宋_GB2312" w:hAnsi="仿宋_GB2312" w:cs="仿宋_GB2312" w:eastAsia="仿宋_GB2312"/>
                    </w:rPr>
                    <w:t xml:space="preserve"> Ø支持AR功能，且可实现标签与标签联动的功能；</w:t>
                  </w:r>
                  <w:r>
                    <w:br/>
                  </w:r>
                  <w:r>
                    <w:rPr>
                      <w:rFonts w:ascii="仿宋_GB2312" w:hAnsi="仿宋_GB2312" w:cs="仿宋_GB2312" w:eastAsia="仿宋_GB2312"/>
                    </w:rPr>
                    <w:t xml:space="preserve"> Ø最低照度：彩色：0.0005Lux@(F1.4，AGCON）；黑白：0.0001Lux@(F1.4，AGCON),0LuxwithIR；</w:t>
                  </w:r>
                  <w:r>
                    <w:br/>
                  </w:r>
                  <w:r>
                    <w:rPr>
                      <w:rFonts w:ascii="仿宋_GB2312" w:hAnsi="仿宋_GB2312" w:cs="仿宋_GB2312" w:eastAsia="仿宋_GB2312"/>
                    </w:rPr>
                    <w:t xml:space="preserve"> Ø宽动态：支持；</w:t>
                  </w:r>
                  <w:r>
                    <w:br/>
                  </w:r>
                  <w:r>
                    <w:rPr>
                      <w:rFonts w:ascii="仿宋_GB2312" w:hAnsi="仿宋_GB2312" w:cs="仿宋_GB2312" w:eastAsia="仿宋_GB2312"/>
                    </w:rPr>
                    <w:t xml:space="preserve"> Ø光学变倍：≥35倍；</w:t>
                  </w:r>
                  <w:r>
                    <w:br/>
                  </w:r>
                  <w:r>
                    <w:rPr>
                      <w:rFonts w:ascii="仿宋_GB2312" w:hAnsi="仿宋_GB2312" w:cs="仿宋_GB2312" w:eastAsia="仿宋_GB2312"/>
                    </w:rPr>
                    <w:t xml:space="preserve"> Ø水平范围：360°；</w:t>
                  </w:r>
                  <w:r>
                    <w:br/>
                  </w:r>
                  <w:r>
                    <w:rPr>
                      <w:rFonts w:ascii="仿宋_GB2312" w:hAnsi="仿宋_GB2312" w:cs="仿宋_GB2312" w:eastAsia="仿宋_GB2312"/>
                    </w:rPr>
                    <w:t xml:space="preserve"> Ø垂直范围：-20°～90°（自动翻转）；</w:t>
                  </w:r>
                  <w:r>
                    <w:br/>
                  </w:r>
                  <w:r>
                    <w:rPr>
                      <w:rFonts w:ascii="仿宋_GB2312" w:hAnsi="仿宋_GB2312" w:cs="仿宋_GB2312" w:eastAsia="仿宋_GB2312"/>
                    </w:rPr>
                    <w:t xml:space="preserve"> Ø主码流帧率分辨率：≥25fps（2560×1440），50Hz；30fps（2560×1440），60Hz；</w:t>
                  </w:r>
                  <w:r>
                    <w:br/>
                  </w:r>
                  <w:r>
                    <w:rPr>
                      <w:rFonts w:ascii="仿宋_GB2312" w:hAnsi="仿宋_GB2312" w:cs="仿宋_GB2312" w:eastAsia="仿宋_GB2312"/>
                    </w:rPr>
                    <w:t xml:space="preserve"> Ø视频压缩标准：H.265,H.264,MJPEG；</w:t>
                  </w:r>
                  <w:r>
                    <w:br/>
                  </w:r>
                  <w:r>
                    <w:rPr>
                      <w:rFonts w:ascii="仿宋_GB2312" w:hAnsi="仿宋_GB2312" w:cs="仿宋_GB2312" w:eastAsia="仿宋_GB2312"/>
                    </w:rPr>
                    <w:t xml:space="preserve"> Ø网络存储：NAS(NFS,SMB/CIFS）；</w:t>
                  </w:r>
                  <w:r>
                    <w:br/>
                  </w:r>
                  <w:r>
                    <w:rPr>
                      <w:rFonts w:ascii="仿宋_GB2312" w:hAnsi="仿宋_GB2312" w:cs="仿宋_GB2312" w:eastAsia="仿宋_GB2312"/>
                    </w:rPr>
                    <w:t xml:space="preserve"> Ø外部接口：RJ45网口，自适应10M/100M网络数据，含RS485接口；</w:t>
                  </w:r>
                  <w:r>
                    <w:br/>
                  </w:r>
                  <w:r>
                    <w:rPr>
                      <w:rFonts w:ascii="仿宋_GB2312" w:hAnsi="仿宋_GB2312" w:cs="仿宋_GB2312" w:eastAsia="仿宋_GB2312"/>
                    </w:rPr>
                    <w:t xml:space="preserve"> ØØSD卡扩展：支持MicroSD（即TF卡）/MicroSDHC/MicroSDXC卡，最大支持256G；</w:t>
                  </w:r>
                  <w:r>
                    <w:br/>
                  </w:r>
                  <w:r>
                    <w:rPr>
                      <w:rFonts w:ascii="仿宋_GB2312" w:hAnsi="仿宋_GB2312" w:cs="仿宋_GB2312" w:eastAsia="仿宋_GB2312"/>
                    </w:rPr>
                    <w:t xml:space="preserve"> ØGPS：内置GPS、北斗卫星定位模块和电子罗盘，支持将视场角、镜头指向、安装位置经纬度等信息上传中心管理平台；</w:t>
                  </w:r>
                  <w:r>
                    <w:br/>
                  </w:r>
                  <w:r>
                    <w:rPr>
                      <w:rFonts w:ascii="仿宋_GB2312" w:hAnsi="仿宋_GB2312" w:cs="仿宋_GB2312" w:eastAsia="仿宋_GB2312"/>
                    </w:rPr>
                    <w:t xml:space="preserve"> Ø红外照射距离：≥250m；</w:t>
                  </w:r>
                  <w:r>
                    <w:br/>
                  </w:r>
                  <w:r>
                    <w:rPr>
                      <w:rFonts w:ascii="仿宋_GB2312" w:hAnsi="仿宋_GB2312" w:cs="仿宋_GB2312" w:eastAsia="仿宋_GB2312"/>
                    </w:rPr>
                    <w:t xml:space="preserve"> Ø防补光过曝：支持；</w:t>
                  </w:r>
                  <w:r>
                    <w:br/>
                  </w:r>
                  <w:r>
                    <w:rPr>
                      <w:rFonts w:ascii="仿宋_GB2312" w:hAnsi="仿宋_GB2312" w:cs="仿宋_GB2312" w:eastAsia="仿宋_GB2312"/>
                    </w:rPr>
                    <w:t xml:space="preserve"> Ø供电方式：AC36V；</w:t>
                  </w:r>
                  <w:r>
                    <w:br/>
                  </w:r>
                  <w:r>
                    <w:rPr>
                      <w:rFonts w:ascii="仿宋_GB2312" w:hAnsi="仿宋_GB2312" w:cs="仿宋_GB2312" w:eastAsia="仿宋_GB2312"/>
                    </w:rPr>
                    <w:t xml:space="preserve"> Ø电流及功耗：90Wmax；含雨刷；</w:t>
                  </w:r>
                </w:p>
              </w:tc>
              <w:tc>
                <w:tcPr>
                  <w:tcW w:type="dxa" w:w="638"/>
                  <w:vMerge w:val="restart"/>
                </w:tcPr>
                <w:p>
                  <w:pPr>
                    <w:pStyle w:val="null3"/>
                  </w:pPr>
                  <w:r>
                    <w:rPr>
                      <w:rFonts w:ascii="仿宋_GB2312" w:hAnsi="仿宋_GB2312" w:cs="仿宋_GB2312" w:eastAsia="仿宋_GB2312"/>
                    </w:rPr>
                    <w:t xml:space="preserve"> 应符合 ONVIF、PSIA、RTSP 标准及众多主流厂商的摄像机，支持国标 28181 协议，支持H.265、H.264 编码前端自适应接入，支持即时回放等功能。并与陕西省公路网管理与应急指挥系统无缝对接，实现全省公路视频统一管理与调看。</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一体化网络云台摄像机（高寒）</w:t>
                  </w:r>
                </w:p>
              </w:tc>
              <w:tc>
                <w:tcPr>
                  <w:tcW w:type="dxa" w:w="638"/>
                </w:tcPr>
                <w:p>
                  <w:pPr>
                    <w:pStyle w:val="null3"/>
                  </w:pPr>
                  <w:r>
                    <w:rPr>
                      <w:rFonts w:ascii="仿宋_GB2312" w:hAnsi="仿宋_GB2312" w:cs="仿宋_GB2312" w:eastAsia="仿宋_GB2312"/>
                    </w:rPr>
                    <w:t>智能耐低温防起雾400万冰雪球，40倍变焦镜头350米激光补光；</w:t>
                  </w:r>
                  <w:r>
                    <w:br/>
                  </w:r>
                  <w:r>
                    <w:rPr>
                      <w:rFonts w:ascii="仿宋_GB2312" w:hAnsi="仿宋_GB2312" w:cs="仿宋_GB2312" w:eastAsia="仿宋_GB2312"/>
                    </w:rPr>
                    <w:t xml:space="preserve"> Ø可在-15°低温环境中可有效除雾、除霜、除冰雪，防止球机视窗玻璃起雾结霜；适用于山区野外、滑雪场、冷链、冷库等低温高湿环境；</w:t>
                  </w:r>
                  <w:r>
                    <w:br/>
                  </w:r>
                  <w:r>
                    <w:rPr>
                      <w:rFonts w:ascii="仿宋_GB2312" w:hAnsi="仿宋_GB2312" w:cs="仿宋_GB2312" w:eastAsia="仿宋_GB2312"/>
                    </w:rPr>
                    <w:t xml:space="preserve"> Ø支持人脸抓拍、非机动车识别、车牌识别等全结构化功能，更好地助力平安城市人车管理；</w:t>
                  </w:r>
                  <w:r>
                    <w:br/>
                  </w:r>
                  <w:r>
                    <w:rPr>
                      <w:rFonts w:ascii="仿宋_GB2312" w:hAnsi="仿宋_GB2312" w:cs="仿宋_GB2312" w:eastAsia="仿宋_GB2312"/>
                    </w:rPr>
                    <w:t xml:space="preserve"> Ø支持GB35114安全加密；</w:t>
                  </w:r>
                  <w:r>
                    <w:br/>
                  </w:r>
                  <w:r>
                    <w:rPr>
                      <w:rFonts w:ascii="仿宋_GB2312" w:hAnsi="仿宋_GB2312" w:cs="仿宋_GB2312" w:eastAsia="仿宋_GB2312"/>
                    </w:rPr>
                    <w:t xml:space="preserve"> Ø工作温湿度：-40℃-70℃；</w:t>
                  </w:r>
                  <w:r>
                    <w:br/>
                  </w:r>
                  <w:r>
                    <w:rPr>
                      <w:rFonts w:ascii="仿宋_GB2312" w:hAnsi="仿宋_GB2312" w:cs="仿宋_GB2312" w:eastAsia="仿宋_GB2312"/>
                    </w:rPr>
                    <w:t xml:space="preserve"> Ø焦距6.0—240mm，40倍光学变倍；</w:t>
                  </w:r>
                  <w:r>
                    <w:br/>
                  </w:r>
                  <w:r>
                    <w:rPr>
                      <w:rFonts w:ascii="仿宋_GB2312" w:hAnsi="仿宋_GB2312" w:cs="仿宋_GB2312" w:eastAsia="仿宋_GB2312"/>
                    </w:rPr>
                    <w:t xml:space="preserve"> Ø光学变倍速度：大约5.4；</w:t>
                  </w:r>
                  <w:r>
                    <w:br/>
                  </w:r>
                  <w:r>
                    <w:rPr>
                      <w:rFonts w:ascii="仿宋_GB2312" w:hAnsi="仿宋_GB2312" w:cs="仿宋_GB2312" w:eastAsia="仿宋_GB2312"/>
                    </w:rPr>
                    <w:t xml:space="preserve"> Ø视场角：水平视场角59.0-2.0度（广角-望远）；</w:t>
                  </w:r>
                  <w:r>
                    <w:br/>
                  </w:r>
                  <w:r>
                    <w:rPr>
                      <w:rFonts w:ascii="仿宋_GB2312" w:hAnsi="仿宋_GB2312" w:cs="仿宋_GB2312" w:eastAsia="仿宋_GB2312"/>
                    </w:rPr>
                    <w:t xml:space="preserve"> Ø最大光圈数：F1.4；</w:t>
                  </w:r>
                  <w:r>
                    <w:br/>
                  </w:r>
                  <w:r>
                    <w:rPr>
                      <w:rFonts w:ascii="仿宋_GB2312" w:hAnsi="仿宋_GB2312" w:cs="仿宋_GB2312" w:eastAsia="仿宋_GB2312"/>
                    </w:rPr>
                    <w:t xml:space="preserve"> Ø激光照射距离：≥350m；</w:t>
                  </w:r>
                  <w:r>
                    <w:br/>
                  </w:r>
                  <w:r>
                    <w:rPr>
                      <w:rFonts w:ascii="仿宋_GB2312" w:hAnsi="仿宋_GB2312" w:cs="仿宋_GB2312" w:eastAsia="仿宋_GB2312"/>
                    </w:rPr>
                    <w:t xml:space="preserve"> Ø防补光过曝：支持；</w:t>
                  </w:r>
                  <w:r>
                    <w:br/>
                  </w:r>
                  <w:r>
                    <w:rPr>
                      <w:rFonts w:ascii="仿宋_GB2312" w:hAnsi="仿宋_GB2312" w:cs="仿宋_GB2312" w:eastAsia="仿宋_GB2312"/>
                    </w:rPr>
                    <w:t xml:space="preserve"> Ø水平范围：360°；</w:t>
                  </w:r>
                  <w:r>
                    <w:br/>
                  </w:r>
                  <w:r>
                    <w:rPr>
                      <w:rFonts w:ascii="仿宋_GB2312" w:hAnsi="仿宋_GB2312" w:cs="仿宋_GB2312" w:eastAsia="仿宋_GB2312"/>
                    </w:rPr>
                    <w:t xml:space="preserve"> Ø垂直范围：-20°-90°（自动翻转）；</w:t>
                  </w:r>
                  <w:r>
                    <w:br/>
                  </w:r>
                  <w:r>
                    <w:rPr>
                      <w:rFonts w:ascii="仿宋_GB2312" w:hAnsi="仿宋_GB2312" w:cs="仿宋_GB2312" w:eastAsia="仿宋_GB2312"/>
                    </w:rPr>
                    <w:t xml:space="preserve"> Ø比例变倍：支持；</w:t>
                  </w:r>
                  <w:r>
                    <w:br/>
                  </w:r>
                  <w:r>
                    <w:rPr>
                      <w:rFonts w:ascii="仿宋_GB2312" w:hAnsi="仿宋_GB2312" w:cs="仿宋_GB2312" w:eastAsia="仿宋_GB2312"/>
                    </w:rPr>
                    <w:t xml:space="preserve"> Ø预置点个数：≥300个；</w:t>
                  </w:r>
                  <w:r>
                    <w:br/>
                  </w:r>
                  <w:r>
                    <w:rPr>
                      <w:rFonts w:ascii="仿宋_GB2312" w:hAnsi="仿宋_GB2312" w:cs="仿宋_GB2312" w:eastAsia="仿宋_GB2312"/>
                    </w:rPr>
                    <w:t xml:space="preserve"> Ø巡航扫描：≥8条，每条可添加32个预置点；</w:t>
                  </w:r>
                  <w:r>
                    <w:br/>
                  </w:r>
                  <w:r>
                    <w:rPr>
                      <w:rFonts w:ascii="仿宋_GB2312" w:hAnsi="仿宋_GB2312" w:cs="仿宋_GB2312" w:eastAsia="仿宋_GB2312"/>
                    </w:rPr>
                    <w:t xml:space="preserve"> Ø花样扫描：≥4条，每条路径记录时间大于10分钟；</w:t>
                  </w:r>
                  <w:r>
                    <w:br/>
                  </w:r>
                  <w:r>
                    <w:rPr>
                      <w:rFonts w:ascii="仿宋_GB2312" w:hAnsi="仿宋_GB2312" w:cs="仿宋_GB2312" w:eastAsia="仿宋_GB2312"/>
                    </w:rPr>
                    <w:t xml:space="preserve"> Ø断电记忆：支持；</w:t>
                  </w:r>
                  <w:r>
                    <w:br/>
                  </w:r>
                  <w:r>
                    <w:rPr>
                      <w:rFonts w:ascii="仿宋_GB2312" w:hAnsi="仿宋_GB2312" w:cs="仿宋_GB2312" w:eastAsia="仿宋_GB2312"/>
                    </w:rPr>
                    <w:t xml:space="preserve"> Ø守望功能预置点/花样扫描/巡航扫描/自动扫描/垂直扫描/随机扫描/帧扫描/全景扫描；</w:t>
                  </w:r>
                  <w:r>
                    <w:br/>
                  </w:r>
                  <w:r>
                    <w:rPr>
                      <w:rFonts w:ascii="仿宋_GB2312" w:hAnsi="仿宋_GB2312" w:cs="仿宋_GB2312" w:eastAsia="仿宋_GB2312"/>
                    </w:rPr>
                    <w:t xml:space="preserve"> Ø3D定位支持；</w:t>
                  </w:r>
                  <w:r>
                    <w:br/>
                  </w:r>
                  <w:r>
                    <w:rPr>
                      <w:rFonts w:ascii="仿宋_GB2312" w:hAnsi="仿宋_GB2312" w:cs="仿宋_GB2312" w:eastAsia="仿宋_GB2312"/>
                    </w:rPr>
                    <w:t xml:space="preserve"> Ø方位角信息显示支持；</w:t>
                  </w:r>
                  <w:r>
                    <w:br/>
                  </w:r>
                  <w:r>
                    <w:rPr>
                      <w:rFonts w:ascii="仿宋_GB2312" w:hAnsi="仿宋_GB2312" w:cs="仿宋_GB2312" w:eastAsia="仿宋_GB2312"/>
                    </w:rPr>
                    <w:t xml:space="preserve"> Ø预置点视频冻结支持；</w:t>
                  </w:r>
                  <w:r>
                    <w:br/>
                  </w:r>
                  <w:r>
                    <w:rPr>
                      <w:rFonts w:ascii="仿宋_GB2312" w:hAnsi="仿宋_GB2312" w:cs="仿宋_GB2312" w:eastAsia="仿宋_GB2312"/>
                    </w:rPr>
                    <w:t xml:space="preserve"> Ø跟踪：手动跟踪，事件跟踪，支持多场景巡航跟踪</w:t>
                  </w:r>
                  <w:r>
                    <w:br/>
                  </w:r>
                  <w:r>
                    <w:rPr>
                      <w:rFonts w:ascii="仿宋_GB2312" w:hAnsi="仿宋_GB2312" w:cs="仿宋_GB2312" w:eastAsia="仿宋_GB2312"/>
                    </w:rPr>
                    <w:t xml:space="preserve"> Ø录像：断网续传，智能后检索报警联动：预置点，巡航扫描，花样扫描，SD卡录像，报警输出，邮件，上传中心，上传FTP，声音报警，NAS录像</w:t>
                  </w:r>
                </w:p>
              </w:tc>
              <w:tc>
                <w:tcPr>
                  <w:tcW w:type="dxa" w:w="638"/>
                  <w:vMerge/>
                </w:tcP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激光交调设备</w:t>
                  </w:r>
                </w:p>
              </w:tc>
              <w:tc>
                <w:tcPr>
                  <w:tcW w:type="dxa" w:w="638"/>
                </w:tcPr>
                <w:p>
                  <w:pPr>
                    <w:pStyle w:val="null3"/>
                  </w:pPr>
                  <w:r>
                    <w:rPr>
                      <w:rFonts w:ascii="仿宋_GB2312" w:hAnsi="仿宋_GB2312" w:cs="仿宋_GB2312" w:eastAsia="仿宋_GB2312"/>
                    </w:rPr>
                    <w:t>满足《“固定式交调设备技术条件”和“固定式交调设备与数据服务中心通讯协议”》</w:t>
                  </w:r>
                </w:p>
                <w:p>
                  <w:pPr>
                    <w:pStyle w:val="null3"/>
                  </w:pPr>
                  <w:r>
                    <w:rPr>
                      <w:rFonts w:ascii="仿宋_GB2312" w:hAnsi="仿宋_GB2312" w:cs="仿宋_GB2312" w:eastAsia="仿宋_GB2312"/>
                    </w:rPr>
                    <w:t>具备I级及ABC三个类别设备标准及通信协议；满足交通运输部《普通多功能交通流量调查站技术指南》和《陕西省普通国省干线公路路网运行监测站点建设要求》；</w:t>
                  </w:r>
                  <w:r>
                    <w:br/>
                  </w:r>
                  <w:r>
                    <w:rPr>
                      <w:rFonts w:ascii="仿宋_GB2312" w:hAnsi="仿宋_GB2312" w:cs="仿宋_GB2312" w:eastAsia="仿宋_GB2312"/>
                    </w:rPr>
                    <w:t xml:space="preserve"> Ø流量检测精度≥98%；</w:t>
                  </w:r>
                  <w:r>
                    <w:br/>
                  </w:r>
                  <w:r>
                    <w:rPr>
                      <w:rFonts w:ascii="仿宋_GB2312" w:hAnsi="仿宋_GB2312" w:cs="仿宋_GB2312" w:eastAsia="仿宋_GB2312"/>
                    </w:rPr>
                    <w:t xml:space="preserve"> Ø车型检测精度≥95%；</w:t>
                  </w:r>
                  <w:r>
                    <w:br/>
                  </w:r>
                  <w:r>
                    <w:rPr>
                      <w:rFonts w:ascii="仿宋_GB2312" w:hAnsi="仿宋_GB2312" w:cs="仿宋_GB2312" w:eastAsia="仿宋_GB2312"/>
                    </w:rPr>
                    <w:t xml:space="preserve"> Ø车速检测精度≥92%；</w:t>
                  </w:r>
                  <w:r>
                    <w:br/>
                  </w:r>
                  <w:r>
                    <w:rPr>
                      <w:rFonts w:ascii="仿宋_GB2312" w:hAnsi="仿宋_GB2312" w:cs="仿宋_GB2312" w:eastAsia="仿宋_GB2312"/>
                    </w:rPr>
                    <w:t xml:space="preserve"> Ø检测参数：车行、车速、流量等交通参数；</w:t>
                  </w:r>
                  <w:r>
                    <w:br/>
                  </w:r>
                  <w:r>
                    <w:rPr>
                      <w:rFonts w:ascii="仿宋_GB2312" w:hAnsi="仿宋_GB2312" w:cs="仿宋_GB2312" w:eastAsia="仿宋_GB2312"/>
                    </w:rPr>
                    <w:t xml:space="preserve"> Ø数据接口：RS232/485、RJ45、USB；</w:t>
                  </w:r>
                  <w:r>
                    <w:br/>
                  </w:r>
                  <w:r>
                    <w:rPr>
                      <w:rFonts w:ascii="仿宋_GB2312" w:hAnsi="仿宋_GB2312" w:cs="仿宋_GB2312" w:eastAsia="仿宋_GB2312"/>
                    </w:rPr>
                    <w:t xml:space="preserve"> Ø传输方式：宽带或4G无线网络；</w:t>
                  </w:r>
                  <w:r>
                    <w:br/>
                  </w:r>
                  <w:r>
                    <w:rPr>
                      <w:rFonts w:ascii="仿宋_GB2312" w:hAnsi="仿宋_GB2312" w:cs="仿宋_GB2312" w:eastAsia="仿宋_GB2312"/>
                    </w:rPr>
                    <w:t xml:space="preserve"> Ø数据格式：采用交通运输部交调数据标准格式；</w:t>
                  </w:r>
                  <w:r>
                    <w:br/>
                  </w:r>
                  <w:r>
                    <w:rPr>
                      <w:rFonts w:ascii="仿宋_GB2312" w:hAnsi="仿宋_GB2312" w:cs="仿宋_GB2312" w:eastAsia="仿宋_GB2312"/>
                    </w:rPr>
                    <w:t xml:space="preserve"> Ø检测范围：≥正装6车道；</w:t>
                  </w:r>
                  <w:r>
                    <w:br/>
                  </w:r>
                  <w:r>
                    <w:rPr>
                      <w:rFonts w:ascii="仿宋_GB2312" w:hAnsi="仿宋_GB2312" w:cs="仿宋_GB2312" w:eastAsia="仿宋_GB2312"/>
                    </w:rPr>
                    <w:t xml:space="preserve"> Ø数据存储时间：≥5年；</w:t>
                  </w:r>
                  <w:r>
                    <w:br/>
                  </w:r>
                  <w:r>
                    <w:rPr>
                      <w:rFonts w:ascii="仿宋_GB2312" w:hAnsi="仿宋_GB2312" w:cs="仿宋_GB2312" w:eastAsia="仿宋_GB2312"/>
                    </w:rPr>
                    <w:t xml:space="preserve"> Ø远程管理：B/S架构，IE浏览器管理；</w:t>
                  </w:r>
                  <w:r>
                    <w:br/>
                  </w:r>
                  <w:r>
                    <w:rPr>
                      <w:rFonts w:ascii="仿宋_GB2312" w:hAnsi="仿宋_GB2312" w:cs="仿宋_GB2312" w:eastAsia="仿宋_GB2312"/>
                    </w:rPr>
                    <w:t xml:space="preserve"> Ø通信中断，恢复通信后数据自动上传；</w:t>
                  </w:r>
                  <w:r>
                    <w:br/>
                  </w:r>
                  <w:r>
                    <w:rPr>
                      <w:rFonts w:ascii="仿宋_GB2312" w:hAnsi="仿宋_GB2312" w:cs="仿宋_GB2312" w:eastAsia="仿宋_GB2312"/>
                    </w:rPr>
                    <w:t xml:space="preserve"> Ø支持本地或远程设备状态监测；</w:t>
                  </w:r>
                  <w:r>
                    <w:br/>
                  </w:r>
                  <w:r>
                    <w:rPr>
                      <w:rFonts w:ascii="仿宋_GB2312" w:hAnsi="仿宋_GB2312" w:cs="仿宋_GB2312" w:eastAsia="仿宋_GB2312"/>
                    </w:rPr>
                    <w:t xml:space="preserve"> Ø工作电源：AC220V±15%，50HZ±4%；或直流DC24V；</w:t>
                  </w:r>
                  <w:r>
                    <w:br/>
                  </w:r>
                  <w:r>
                    <w:rPr>
                      <w:rFonts w:ascii="仿宋_GB2312" w:hAnsi="仿宋_GB2312" w:cs="仿宋_GB2312" w:eastAsia="仿宋_GB2312"/>
                    </w:rPr>
                    <w:t xml:space="preserve"> Ø最大功率：≤30W，加热时≤90W（-10℃以下启动加热）</w:t>
                  </w:r>
                  <w:r>
                    <w:br/>
                  </w:r>
                  <w:r>
                    <w:rPr>
                      <w:rFonts w:ascii="仿宋_GB2312" w:hAnsi="仿宋_GB2312" w:cs="仿宋_GB2312" w:eastAsia="仿宋_GB2312"/>
                    </w:rPr>
                    <w:t xml:space="preserve"> Ø大气压力：50Kpa～106Kpa；</w:t>
                  </w:r>
                  <w:r>
                    <w:br/>
                  </w:r>
                  <w:r>
                    <w:rPr>
                      <w:rFonts w:ascii="仿宋_GB2312" w:hAnsi="仿宋_GB2312" w:cs="仿宋_GB2312" w:eastAsia="仿宋_GB2312"/>
                    </w:rPr>
                    <w:t xml:space="preserve"> Ø相对湿度：≤98％；</w:t>
                  </w:r>
                  <w:r>
                    <w:br/>
                  </w:r>
                  <w:r>
                    <w:rPr>
                      <w:rFonts w:ascii="仿宋_GB2312" w:hAnsi="仿宋_GB2312" w:cs="仿宋_GB2312" w:eastAsia="仿宋_GB2312"/>
                    </w:rPr>
                    <w:t xml:space="preserve"> Ø工作温度：J级（-55℃～85℃）；</w:t>
                  </w:r>
                  <w:r>
                    <w:br/>
                  </w:r>
                  <w:r>
                    <w:rPr>
                      <w:rFonts w:ascii="仿宋_GB2312" w:hAnsi="仿宋_GB2312" w:cs="仿宋_GB2312" w:eastAsia="仿宋_GB2312"/>
                    </w:rPr>
                    <w:t xml:space="preserve"> Ø平均无故障时间：≥30000h</w:t>
                  </w:r>
                </w:p>
                <w:p>
                  <w:pPr>
                    <w:pStyle w:val="null3"/>
                  </w:pPr>
                  <w:r>
                    <w:rPr>
                      <w:rFonts w:ascii="仿宋_GB2312" w:hAnsi="仿宋_GB2312" w:cs="仿宋_GB2312" w:eastAsia="仿宋_GB2312"/>
                    </w:rPr>
                    <w:t>含卡口补光灯及融合主机</w:t>
                  </w:r>
                </w:p>
              </w:tc>
              <w:tc>
                <w:tcPr>
                  <w:tcW w:type="dxa" w:w="638"/>
                </w:tcPr>
                <w:p>
                  <w:pPr>
                    <w:pStyle w:val="null3"/>
                  </w:pPr>
                  <w:r>
                    <w:rPr>
                      <w:rFonts w:ascii="仿宋_GB2312" w:hAnsi="仿宋_GB2312" w:cs="仿宋_GB2312" w:eastAsia="仿宋_GB2312"/>
                    </w:rPr>
                    <w:t xml:space="preserve"> 激光交调设备用于对道路交通量情况进行检测，应具备 I 类交调站功能，满足交通运输部《普通多功能交通流量调查站技术指南》和《陕西省普通国省干线公路路网运行监测站点建设要求》，并实现与公路交通情况调查系统数据传输。</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10个工作日内，供应商须向采购人缴纳合同总金额5%的履约保证金，履约保证金以保函形式提交，同时经现场核查后向采购人提供更换设备清单，清单经采购人确认且设备安装完成并正常运行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投标文件递交截止时间同开标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 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完整无缺项，无选择性报价，且未超过最高限价</w:t>
            </w:r>
          </w:p>
        </w:tc>
        <w:tc>
          <w:tcPr>
            <w:tcW w:type="dxa" w:w="1661"/>
          </w:tcPr>
          <w:p>
            <w:pPr>
              <w:pStyle w:val="null3"/>
            </w:pPr>
            <w:r>
              <w:rPr>
                <w:rFonts w:ascii="仿宋_GB2312" w:hAnsi="仿宋_GB2312" w:cs="仿宋_GB2312" w:eastAsia="仿宋_GB2312"/>
              </w:rPr>
              <w:t>报价一览表.docx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供应商认为有必要说明的其他资料.docx 中小企业声明函 服务偏离表.docx 资格证明文件.docx 项目实施保障服务方案.docx 项目总体实施方案.docx 服务团队.docx 服务时效承诺.docx 响应文件封面 分项报价表.docx 残疾人福利性单位声明函 标的清单 响应函 商务偏离表.docx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无不符合法律法规或磋商文件规定的其他无效条款</w:t>
            </w:r>
          </w:p>
        </w:tc>
        <w:tc>
          <w:tcPr>
            <w:tcW w:type="dxa" w:w="1661"/>
          </w:tcPr>
          <w:p>
            <w:pPr>
              <w:pStyle w:val="null3"/>
            </w:pPr>
            <w:r>
              <w:rPr>
                <w:rFonts w:ascii="仿宋_GB2312" w:hAnsi="仿宋_GB2312" w:cs="仿宋_GB2312" w:eastAsia="仿宋_GB2312"/>
              </w:rPr>
              <w:t>报价一览表.docx 供应商认为有必要说明的其他资料.docx 中小企业声明函 资格证明文件.docx 服务偏离表.docx 项目实施保障服务方案.docx 项目总体实施方案.docx 服务团队.docx 服务时效承诺.docx 响应文件封面 分项报价表.docx 残疾人福利性单位声明函 标的清单 响应函 商务偏离表.docx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针对本项目有具体可行的项目技术及实施方案，包括但不限于：①对项目整体内容的理解与需求分析；②系统对接与联调实施方案 ；③档案资料记录及管理方案；④监测运行及故障处理方案；⑤现场巡检和保养维护方案；⑥运维问题处置及汇报沟通方案；⑦实施进度及计划安排方案；⑧项目重难点分析及解决方案； 评审标准：方案各部分内容全面详细、阐述条理清晰详尽、符合本项目采购需求，能保障本项目实施20分；评审内容每缺一项扣2.5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项目总体实施方案.docx</w:t>
            </w:r>
          </w:p>
        </w:tc>
      </w:tr>
      <w:tr>
        <w:tc>
          <w:tcPr>
            <w:tcW w:type="dxa" w:w="831"/>
            <w:vMerge/>
          </w:tcPr>
          <w:p/>
        </w:tc>
        <w:tc>
          <w:tcPr>
            <w:tcW w:type="dxa" w:w="1661"/>
          </w:tcPr>
          <w:p>
            <w:pPr>
              <w:pStyle w:val="null3"/>
            </w:pPr>
            <w:r>
              <w:rPr>
                <w:rFonts w:ascii="仿宋_GB2312" w:hAnsi="仿宋_GB2312" w:cs="仿宋_GB2312" w:eastAsia="仿宋_GB2312"/>
              </w:rPr>
              <w:t>项目实施保障服务方案</w:t>
            </w:r>
          </w:p>
        </w:tc>
        <w:tc>
          <w:tcPr>
            <w:tcW w:type="dxa" w:w="2492"/>
          </w:tcPr>
          <w:p>
            <w:pPr>
              <w:pStyle w:val="null3"/>
            </w:pPr>
            <w:r>
              <w:rPr>
                <w:rFonts w:ascii="仿宋_GB2312" w:hAnsi="仿宋_GB2312" w:cs="仿宋_GB2312" w:eastAsia="仿宋_GB2312"/>
              </w:rPr>
              <w:t>针对本项目提供完善项目服务方案，包括但不限于：①项目实施过程中的质量保障方案；②项目整体安全保障方案；③备品备件保障方案；④设备专项运维保障方案；⑤售后服务方案；⑥应急处理方案；⑦风险管控方案；⑧合理化建议。 评审标准：方案各部分内容全面详细、阐述条理清晰详尽、符合本项目采购需求，能保障本项目实施得20分；评审内容每缺一项扣2.5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项目实施保障服务方案.docx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服务团队：供应商针对本项目拟派的服务团队在满足采购需求2人的基础上，每增加1人得2分，最高得10分。服务团队中每有1名具有特种作业操作证书（低压电工作业或高处安装、维护、拆除作业证）的加2分，最高得8分。 注：供应商需提供以上人员有效的身份证、在职证明（劳动合同或投标截止日前6个月内至少1个月的在本单位的社会保险缴纳证明）、相关证书等，不提供证明材料或证明材料不齐全的不得分。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1.故障响应时效承诺：供应商承诺接到故障（乙方监测发现/甲方报障）后，承诺响应时间30 分钟以内，得5分； 承诺响应时间30-60分钟，得3分；承诺响应时间超过60分钟，或未作出本项承诺，不得分。 2.故障处置完成时效：供应商承诺故障24 小时内处理完成，得 5分；承诺故障24-48小时内处理完成，得3分，承诺故障超过48小时或未作出本项承诺，不得分。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服务时效承诺.docx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提供2023年1月1日至今（以合同签订日期或中标（成交）通知书为准）完成的类似业绩证明材料，每提供一份得2分，最高得12分。 评审依据：业绩证明材料以以合同或中标（成交）通知书的复印件或扫描件加盖公章为准，否则不计为有效业绩。</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详见附件：项目总体实施方案.docx</w:t>
      </w:r>
    </w:p>
    <w:p>
      <w:pPr>
        <w:pStyle w:val="null3"/>
        <w:ind w:firstLine="960"/>
      </w:pPr>
      <w:r>
        <w:rPr>
          <w:rFonts w:ascii="仿宋_GB2312" w:hAnsi="仿宋_GB2312" w:cs="仿宋_GB2312" w:eastAsia="仿宋_GB2312"/>
        </w:rPr>
        <w:t>详见附件：项目实施保障服务方案.docx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详见附件：服务时效承诺.docx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