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版本号：中昕CG招字SL(2026)00920260810003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镇安县达仁镇初级中学操场提升改造项目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中昕CG招字SL(2026)009</w:t>
      </w:r>
      <w:r>
        <w:br/>
      </w:r>
      <w:r>
        <w:br/>
      </w:r>
      <w:r>
        <w:br/>
      </w:r>
    </w:p>
    <w:p>
      <w:pPr>
        <w:pStyle w:val="null3"/>
        <w:jc w:val="center"/>
        <w:outlineLvl w:val="2"/>
      </w:pPr>
      <w:r>
        <w:rPr>
          <w:rFonts w:ascii="仿宋_GB2312" w:hAnsi="仿宋_GB2312" w:cs="仿宋_GB2312" w:eastAsia="仿宋_GB2312"/>
          <w:sz w:val="28"/>
          <w:b/>
        </w:rPr>
        <w:t>镇安县达仁初级中学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镇安县达仁初级中学</w:t>
      </w:r>
      <w:r>
        <w:rPr>
          <w:rFonts w:ascii="仿宋_GB2312" w:hAnsi="仿宋_GB2312" w:cs="仿宋_GB2312" w:eastAsia="仿宋_GB2312"/>
        </w:rPr>
        <w:t>委托，拟对</w:t>
      </w:r>
      <w:r>
        <w:rPr>
          <w:rFonts w:ascii="仿宋_GB2312" w:hAnsi="仿宋_GB2312" w:cs="仿宋_GB2312" w:eastAsia="仿宋_GB2312"/>
        </w:rPr>
        <w:t>镇安县达仁镇初级中学操场提升改造项目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中昕CG招字SL(2026)009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镇安县达仁镇初级中学操场提升改造项目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达仁镇初级中学操场提升改造项目，工程地点位于陕西省商洛市镇安县达仁镇初级中学。工程内容包括 操场软化、移动篮球架、乒乓球台、羽毛球网及柱、值班休息室、智慧体育室、操场舞台、院墙修复等。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采购包1（镇安县达仁镇初级中学操场提升改造项目）：属于专门面向中小企业采购。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1、建筑业企业资质：市政公用工程施工总承包二级及以上资质 + 有效安全生产许可证；建筑装修装饰工程专业承包二级及以上资质 + 有效安全生产许可证；</w:t>
      </w:r>
    </w:p>
    <w:p>
      <w:pPr>
        <w:pStyle w:val="null3"/>
      </w:pPr>
      <w:r>
        <w:rPr>
          <w:rFonts w:ascii="仿宋_GB2312" w:hAnsi="仿宋_GB2312" w:cs="仿宋_GB2312" w:eastAsia="仿宋_GB2312"/>
        </w:rPr>
        <w:t>2、项目经理：市政公用工程二级及以上注册建造师；建筑工程专业二级及以上注册建造师。证书必须注册在投标单位，注册状态正常、无锁定、无暂扣、已完成延续注册。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镇安县达仁初级中学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达仁镇栗茶家园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镇安县达仁初级中学经办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13992472693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王梦雨，张工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18829841798，18329983350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采购包1：1,877,589.80元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的产品中没有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的产品中没有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的产品中没有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开户银行：平安银行西安经济技术开发区支行</w:t>
            </w:r>
          </w:p>
          <w:p>
            <w:pPr>
              <w:pStyle w:val="null3"/>
            </w:pPr>
            <w:r>
              <w:rPr>
                <w:rFonts w:ascii="仿宋_GB2312" w:hAnsi="仿宋_GB2312" w:cs="仿宋_GB2312" w:eastAsia="仿宋_GB2312"/>
              </w:rPr>
              <w:t>银行账号：30201687008605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招标代理业务收费管理暂⾏办法》的通知计价格[2002]1980号和国家发改委办公厅颁发的《关于招标代理服务收费有关问题的通知》(发改办价格[2003]857号)⽂件规定标准收取，及发改价格[011]534号⽂件规定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镇安县达仁初级中学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镇安县达仁初级中学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镇安县达仁初级中学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（一）验收合格 依据：GB 36246-2018 强制国标、现行建筑地基、排水、市政施工规范、校园安全管理相关规定，原材料合规达标、施工工艺规范、基层稳固无沉降、面层无质量缺陷、场地排水通畅、环保及物理性能检测全部合格、竣工资料完整齐全、安全文明施工到位、质保承诺落实，完全满足校园安全使用及归档要求，无遗留质量问题。 （二）一般不合格 存在资料轻微缺漏、局部细微瑕疵、场地少量杂物清理不彻底等轻微问题，无结构性、安全性、环保性缺陷，供应商须在3-5个工作日内完成整改闭环，复验合格后方可通过验收。 （三）重大不合格（一票否决） 出现材料偷换降级、环保指标超标、基层松软沉降、大面积起鼓开裂、场地严重积水、尺寸偏差超标、第三方检测不合格、资料造假、偷工减料等问题，直接判定验收不合格，采购人有权要求全额返工整改、扣除履约保证金、追究违约责任，逾期未整改可终止合同另行采购。</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联系电话：18329983350</w:t>
      </w:r>
    </w:p>
    <w:p>
      <w:pPr>
        <w:pStyle w:val="null3"/>
      </w:pPr>
      <w:r>
        <w:rPr>
          <w:rFonts w:ascii="仿宋_GB2312" w:hAnsi="仿宋_GB2312" w:cs="仿宋_GB2312" w:eastAsia="仿宋_GB2312"/>
        </w:rPr>
        <w:t>地址：镇安县盛邦华悦四单元2701</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1,877,589.80</w:t>
      </w:r>
    </w:p>
    <w:p>
      <w:pPr>
        <w:pStyle w:val="null3"/>
      </w:pPr>
      <w:r>
        <w:rPr>
          <w:rFonts w:ascii="仿宋_GB2312" w:hAnsi="仿宋_GB2312" w:cs="仿宋_GB2312" w:eastAsia="仿宋_GB2312"/>
        </w:rPr>
        <w:t>采购包最高限价（元）: 1,877,589.80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达仁镇初级中学操场提升改造项目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1,877,589.80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标的名称：达仁镇初级中学操场提升改造项目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详见工程量清单（在附件里）的项目特征描述</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 50300）、GB 36246-2018《中小学合成材料面层运动场地》强制性国标及现行市政、土建工程相关规范标准。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 xml:space="preserve"> 一、施工前期技术服务 1. 现场勘测、图纸与工程量清单复核服务； 2. 全套专项施工方案编制（施工部署、校园隔离、塑胶/草坪工艺、基层沉降、排水、雨季、降噪扬尘、重难点处置）； 3. 开工前甲乙双方技术交底，留存记录与影像； 4. 施工变更、现场工程量偏差出具技术说明及详图。 二、施工全过程现场技术管控服务 1. 专职技术负责人全程驻场，关键工序旁站管控； 2. 隐蔽工程提前24小时通知甲方核验，留存影像、施工台账； 3. 每日现场技术自检巡查、填写施工日志； 4. 塑胶面层环保管控，控制VOC、异味、重金属污染。 三、原材料及第三方检测专项技术服务 1. 所有主材进场提供合格证、出厂报告、现场封样； 2. 送检具备CMA资质第三方机构，执行先检测、后施工，满足GB36246-2018国标； 3. 不合格材料无条件退场，全部返工、复检费用乙方承担； 4. 完工整体场地环保、物理性能第三方检测，检测费含在合同总价； 5. 甲方随机抽检材料，偷换材料视为重大违约。 四、校园安全文明施工技术服务 1. 施工区与教学区硬质隔离、人行分流、围挡警示方案； 2. 错峰施工，上下学停止高噪音、扬尘作业，喷淋降尘、裸土覆盖； 3. 原有校舍、院墙、管网、绿化勘测保护，损坏无偿修复； 4. 专职安全员驻场，临时用电、机械、吊装专项安全方案、安全培训、巡查台账。 五、各分项工程配套专项技术服务 覆盖全部施工内容： 1. 操场软化（塑胶、硅PU、人造草坪全套施工技术保障）； 2. 体育器材（移动篮球架、乒乓球台、羽毛球网柱）安装校准、固定调试； 3. 值班休息室、智慧体育室土建装修、防潮、管线布设技术管控； 4. 操场舞台施工工艺质量管控； 5. 院墙修复砌筑、抹灰、防渗、抗裂专项技术措施。 六、工期保障技术服务 1. 30日历天总工期分段进度计划，适配校园错峰施工； 2. 人员、机械设备投入保障方案； 3. 雨季施工防雨、排水应急技术方案； 4. 现场突发技术难题24小时出具补救方案，配合办理工期签证。 七、竣工、履约验收、资料整编技术服务 1. 全套竣工资料编制、装订（施工方案、交底记录、材料报告、CMA检测报告、隐蔽影像、施工日志、签证、竣工图、质保承诺、工资台账、自检报告等）； 2. 竣工图纸按现场实际绘制，标注坡度、面层厚度、设施点位； 3. 提交竣工自检报告，配合校方、验收专家、第三方检测现场核验； 4. 验收问题限期出具整改技术方案并闭环复验； 5. 全程配合政府采购线上归档、财政审计，提供工程量技术佐证材料。 八、质保期运维技术服务（整体质保24个月） 1. 质保范围内所有施工质量缺陷免费维修、翻新、更换材料； 2. 报修24小时响应，48小时人员到场维修； 3. 每季度上门场地专项巡检，出具巡检记录； 4. 交付时开展校方后勤人员养护培训，发放养护手册、长期免费技术咨询。 九、本地化应急售后技术服务 乙方具备镇安/商洛本地快速服务能力，场地破损、积水、器材故障等突发问题快速到场应急抢修。 十、项目管理团队与用工配套技术管理服务 1. 配备合规注册建造师、质量员、安全员，人员持证在岗，不得擅自脱岗更换； 2. 农民工工资专户管理、用工台账、欠薪维稳全套管理方案。 十一、通用约束条款（技术服务兜底约定） 1. 本附件所有技术服务相关费用全部包含在合同总价1877589.80元，甲方不另行付费； 2. 技术服务不达标视为工程违约，乙方无偿整改并承担合同约定违约金； 3. 质量、环保出现技术争议，以CMA第三方检测报告为判定依据，检测费由责任方承担。 十二、履约验收配套技术核查内容 1. 原材料进场验收标准； 2. 基层工程压实、排水、无沉降开裂验收要求； 3. 塑胶、草坪、标线面层质量验收标准； 4. 排水沟、边角、场地清理配套验收； 5. 资料完整性验收硬性要求； 6. 三类验收判定标准（合格/一般不合格/重大一票否决不合格）及处置措施。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报价函 技术服务合同条款及其他商务要求应答表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关于财务会计制度的证明材料｛按企业成立年限对应提供以下有效证明材料： （1）成立满1年及以上企业：提供上一年度会计师事务所出具的完整财务审计报告（含审计正文、资产负债表、利润表、现金流量表、报表附注、事务所资质及备案信息）； （2）成立未满1年、无年度审计报告企业：提供企业自行编制的当期完整财务报表（资产负债表、利润表）+ 基本开户银行出具的有效资信证明（投标有效期内开具）； （3）新设立暂无财务报表企业：仅提供银行正规资信证明即可。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建筑业企业资质</w:t>
            </w:r>
          </w:p>
        </w:tc>
        <w:tc>
          <w:tcPr>
            <w:tcW w:type="dxa" w:w="3322"/>
          </w:tcPr>
          <w:p>
            <w:pPr>
              <w:pStyle w:val="null3"/>
            </w:pPr>
            <w:r>
              <w:rPr>
                <w:rFonts w:ascii="仿宋_GB2312" w:hAnsi="仿宋_GB2312" w:cs="仿宋_GB2312" w:eastAsia="仿宋_GB2312"/>
              </w:rPr>
              <w:t>市政公用工程施工总承包二级及以上资质 + 有效安全生产许可证；建筑装修装饰工程专业承包二级及以上资质 + 有效安全生产许可证；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市政公用工程二级及以上注册建造师；建筑工程专业二级及以上注册建造师。证书必须注册在投标单位，注册状态正常、无锁定、无暂扣、已完成延续注册。</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价格部分</w:t>
            </w:r>
          </w:p>
        </w:tc>
        <w:tc>
          <w:tcPr>
            <w:tcW w:type="dxa" w:w="2492"/>
          </w:tcPr>
          <w:p>
            <w:pPr>
              <w:pStyle w:val="null3"/>
            </w:pPr>
            <w:r>
              <w:rPr>
                <w:rFonts w:ascii="仿宋_GB2312" w:hAnsi="仿宋_GB2312" w:cs="仿宋_GB2312" w:eastAsia="仿宋_GB2312"/>
              </w:rPr>
              <w:t>1、评审规则：满足竞争性磋商文件全部实质性要求的有效响应报价中，最低报价为评审基准价，得满分30分。 2、得分公式：响应报价得分=（评审基准价÷响应报价）×30（保留两位小数）。 3、本项目为专门面向中小企业预留项目，不重复适用小微企业价格扣除政策。 4、恶意低价、明显低于成本价且无法提供合理成本说明的，作无效响应处理。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项目整体理解与施工总体部署</w:t>
            </w:r>
          </w:p>
        </w:tc>
        <w:tc>
          <w:tcPr>
            <w:tcW w:type="dxa" w:w="2492"/>
          </w:tcPr>
          <w:p>
            <w:pPr>
              <w:pStyle w:val="null3"/>
            </w:pPr>
            <w:r>
              <w:rPr>
                <w:rFonts w:ascii="仿宋_GB2312" w:hAnsi="仿宋_GB2312" w:cs="仿宋_GB2312" w:eastAsia="仿宋_GB2312"/>
              </w:rPr>
              <w:t>1.充分结合本中学老旧操场现状、校园教学环境、场地受限特点，施工总体部署科学、场地分区合理、人流隔离、施工动线清晰、贴合校园实际，得4-6分； 2.部署基本合理，内容完整但针对性一般，得2-3分； 3.方案简单、通用模板、无本项目针对性，得1分；未提供不得分。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关键施工工艺方案（塑胶跑道/硅PU球场/人造草坪）</w:t>
            </w:r>
          </w:p>
        </w:tc>
        <w:tc>
          <w:tcPr>
            <w:tcW w:type="dxa" w:w="2492"/>
          </w:tcPr>
          <w:p>
            <w:pPr>
              <w:pStyle w:val="null3"/>
            </w:pPr>
            <w:r>
              <w:rPr>
                <w:rFonts w:ascii="仿宋_GB2312" w:hAnsi="仿宋_GB2312" w:cs="仿宋_GB2312" w:eastAsia="仿宋_GB2312"/>
              </w:rPr>
              <w:t>1.严格依据GB36246-2018国标，对基础破除、路基碾压、基层找平、分层铺装、面层施工、接缝处理、标线施工全套工艺详细、规范、可落地，含质量控制点、温控施工、雨季施工措施，得9-12分； 2.工艺完整、符合规范但细节一般，得5-8分； 3.工艺简单、缺关键工序，得1-4分；未提供不得分。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质量控制、环保管控及检测保障方案</w:t>
            </w:r>
          </w:p>
        </w:tc>
        <w:tc>
          <w:tcPr>
            <w:tcW w:type="dxa" w:w="2492"/>
          </w:tcPr>
          <w:p>
            <w:pPr>
              <w:pStyle w:val="null3"/>
            </w:pPr>
            <w:r>
              <w:rPr>
                <w:rFonts w:ascii="仿宋_GB2312" w:hAnsi="仿宋_GB2312" w:cs="仿宋_GB2312" w:eastAsia="仿宋_GB2312"/>
              </w:rPr>
              <w:t>1.具有完整的原材料进场验收、封样送检、批次核验、施工过程质检、完工自检、第三方CMA检测配合方案；明确杜绝异味、VOC、重金属超标管控措施，贴合校园环保要求，质量闭环完整，得8-10分； 2.质量、环保措施基本齐全，逻辑清晰，得4-7分； 3.措施简略、无针对性，得1-3分；未提供不得分。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工期进度计划及工期保障措施</w:t>
            </w:r>
          </w:p>
        </w:tc>
        <w:tc>
          <w:tcPr>
            <w:tcW w:type="dxa" w:w="2492"/>
          </w:tcPr>
          <w:p>
            <w:pPr>
              <w:pStyle w:val="null3"/>
            </w:pPr>
            <w:r>
              <w:rPr>
                <w:rFonts w:ascii="仿宋_GB2312" w:hAnsi="仿宋_GB2312" w:cs="仿宋_GB2312" w:eastAsia="仿宋_GB2312"/>
              </w:rPr>
              <w:t>1.工期排布紧凑合理，适配学校假期施工、错峰施工、不影响教学，节点清晰、进度管控、人员设备保障、雨季应急工期调整措施完善，得5-6分； 2.进度计划完整、措施可行，得3-4分； 3.计划简单、无节点管控，得1-2分；未提供不得分。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校园安全、文明施工、扬尘降噪方案</w:t>
            </w:r>
          </w:p>
        </w:tc>
        <w:tc>
          <w:tcPr>
            <w:tcW w:type="dxa" w:w="2492"/>
          </w:tcPr>
          <w:p>
            <w:pPr>
              <w:pStyle w:val="null3"/>
            </w:pPr>
            <w:r>
              <w:rPr>
                <w:rFonts w:ascii="仿宋_GB2312" w:hAnsi="仿宋_GB2312" w:cs="仿宋_GB2312" w:eastAsia="仿宋_GB2312"/>
              </w:rPr>
              <w:t>1.针对中小学封闭管理、学生安全、降噪抑尘、裸土覆盖、喷淋保洁、施工围挡、上下学禁作业、原有设施保护、文明施工专项方案完善到位，得5-6分； 2.措施齐全、基本满足校园施工要求，得3-4分； 3.内容简略、针对性弱，得1-2分；未提供不得分。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重难点分析及专项应对方案</w:t>
            </w:r>
          </w:p>
        </w:tc>
        <w:tc>
          <w:tcPr>
            <w:tcW w:type="dxa" w:w="2492"/>
          </w:tcPr>
          <w:p>
            <w:pPr>
              <w:pStyle w:val="null3"/>
            </w:pPr>
            <w:r>
              <w:rPr>
                <w:rFonts w:ascii="仿宋_GB2312" w:hAnsi="仿宋_GB2312" w:cs="仿宋_GB2312" w:eastAsia="仿宋_GB2312"/>
              </w:rPr>
              <w:t>1.针对老旧场地翻新、基层沉降处理、排水找坡、积水治理、新旧面层衔接、校园狭小场地施工重难点分析透彻，专项解决方案可行，得3-4分； 2.有分析、有措施，得1-2分；无内容不得分。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资源配置、人员设备投入计划</w:t>
            </w:r>
          </w:p>
        </w:tc>
        <w:tc>
          <w:tcPr>
            <w:tcW w:type="dxa" w:w="2492"/>
          </w:tcPr>
          <w:p>
            <w:pPr>
              <w:pStyle w:val="null3"/>
            </w:pPr>
            <w:r>
              <w:rPr>
                <w:rFonts w:ascii="仿宋_GB2312" w:hAnsi="仿宋_GB2312" w:cs="仿宋_GB2312" w:eastAsia="仿宋_GB2312"/>
              </w:rPr>
              <w:t>项目班组、施工人员、机械设备、材料进场计划配置齐全、贴合本项目体量，保障充足，得3分；基本齐全得2分；简单描述得1分；未提供不得分。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资料归档、竣工验收配合方案</w:t>
            </w:r>
          </w:p>
        </w:tc>
        <w:tc>
          <w:tcPr>
            <w:tcW w:type="dxa" w:w="2492"/>
          </w:tcPr>
          <w:p>
            <w:pPr>
              <w:pStyle w:val="null3"/>
            </w:pPr>
            <w:r>
              <w:rPr>
                <w:rFonts w:ascii="仿宋_GB2312" w:hAnsi="仿宋_GB2312" w:cs="仿宋_GB2312" w:eastAsia="仿宋_GB2312"/>
              </w:rPr>
              <w:t>含全过程资料整理、隐蔽工程影像、竣工图编制、送检台账、政采线上验收归档、验收整改闭环方案，完善规范得3分；基本完整得2分；简略得1分。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近3年内中小学操场提升改造、塑胶运动场、校园场地翻新完工业绩，每提供1项有效合同+验收证明得2分，最高6分。 注：无效业绩（无验收、无校园项目、资料不全）不计分。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项目管理团队配置</w:t>
            </w:r>
          </w:p>
        </w:tc>
        <w:tc>
          <w:tcPr>
            <w:tcW w:type="dxa" w:w="2492"/>
          </w:tcPr>
          <w:p>
            <w:pPr>
              <w:pStyle w:val="null3"/>
            </w:pPr>
            <w:r>
              <w:rPr>
                <w:rFonts w:ascii="仿宋_GB2312" w:hAnsi="仿宋_GB2312" w:cs="仿宋_GB2312" w:eastAsia="仿宋_GB2312"/>
              </w:rPr>
              <w:t>配备市政/建筑专业建造师、现场管理人员、质量员、安全员，人员齐全、持证有效、在岗承诺完善，得3分；人员基本齐全得2分；人员单薄得1分。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农民工工资保障及合规施工措施</w:t>
            </w:r>
          </w:p>
        </w:tc>
        <w:tc>
          <w:tcPr>
            <w:tcW w:type="dxa" w:w="2492"/>
          </w:tcPr>
          <w:p>
            <w:pPr>
              <w:pStyle w:val="null3"/>
            </w:pPr>
            <w:r>
              <w:rPr>
                <w:rFonts w:ascii="仿宋_GB2312" w:hAnsi="仿宋_GB2312" w:cs="仿宋_GB2312" w:eastAsia="仿宋_GB2312"/>
              </w:rPr>
              <w:t>提供完善的农民工工资专户、发放制度、维稳保障、用工管理、杜绝欠薪措施，方案详实可行得3分；基本完整得2分；简略得1分；未提供不得分。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质保服务承诺</w:t>
            </w:r>
          </w:p>
        </w:tc>
        <w:tc>
          <w:tcPr>
            <w:tcW w:type="dxa" w:w="2492"/>
          </w:tcPr>
          <w:p>
            <w:pPr>
              <w:pStyle w:val="null3"/>
            </w:pPr>
            <w:r>
              <w:rPr>
                <w:rFonts w:ascii="仿宋_GB2312" w:hAnsi="仿宋_GB2312" w:cs="仿宋_GB2312" w:eastAsia="仿宋_GB2312"/>
              </w:rPr>
              <w:t>满足招标文件基础质保要求基础上，质保期延长、免费巡检、面层质保、草坪质保、整体维保承诺完善，得3-4分；达标无延长得1-2分；承诺不全不得分。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售后响应及本地化服务能力</w:t>
            </w:r>
          </w:p>
        </w:tc>
        <w:tc>
          <w:tcPr>
            <w:tcW w:type="dxa" w:w="2492"/>
          </w:tcPr>
          <w:p>
            <w:pPr>
              <w:pStyle w:val="null3"/>
            </w:pPr>
            <w:r>
              <w:rPr>
                <w:rFonts w:ascii="仿宋_GB2312" w:hAnsi="仿宋_GB2312" w:cs="仿宋_GB2312" w:eastAsia="仿宋_GB2312"/>
              </w:rPr>
              <w:t>提供镇安县/商洛市域快速响应、24小时到场维修、常态化巡检、校园应急抢修保障，措施完善得2分；基本响应方案得1分。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后期运维、养护培训方案</w:t>
            </w:r>
          </w:p>
        </w:tc>
        <w:tc>
          <w:tcPr>
            <w:tcW w:type="dxa" w:w="2492"/>
          </w:tcPr>
          <w:p>
            <w:pPr>
              <w:pStyle w:val="null3"/>
            </w:pPr>
            <w:r>
              <w:rPr>
                <w:rFonts w:ascii="仿宋_GB2312" w:hAnsi="仿宋_GB2312" w:cs="仿宋_GB2312" w:eastAsia="仿宋_GB2312"/>
              </w:rPr>
              <w:t>提供完整场地养护手册、校方人员培训、日常维护指导、故障预判、季节性养护方案，完善可行得2分；简单说明得1分。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详见附件：镇安县达仁镇初级中学操场提升改造项目施工合同.docx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