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版本号：HCZB-2026-SC-13220260818002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培育残疾人文化艺术项目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HCZB-2026-SC-132</w:t>
      </w:r>
      <w:r>
        <w:br/>
      </w:r>
      <w:r>
        <w:br/>
      </w:r>
      <w:r>
        <w:br/>
      </w:r>
    </w:p>
    <w:p>
      <w:pPr>
        <w:pStyle w:val="null3"/>
        <w:jc w:val="center"/>
        <w:outlineLvl w:val="2"/>
      </w:pPr>
      <w:r>
        <w:rPr>
          <w:rFonts w:ascii="仿宋_GB2312" w:hAnsi="仿宋_GB2312" w:cs="仿宋_GB2312" w:eastAsia="仿宋_GB2312"/>
          <w:sz w:val="28"/>
          <w:b/>
        </w:rPr>
        <w:t>陕西省残疾人联合会机关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陕西省残疾人联合会机关</w:t>
      </w:r>
      <w:r>
        <w:rPr>
          <w:rFonts w:ascii="仿宋_GB2312" w:hAnsi="仿宋_GB2312" w:cs="仿宋_GB2312" w:eastAsia="仿宋_GB2312"/>
        </w:rPr>
        <w:t>委托，拟对</w:t>
      </w:r>
      <w:r>
        <w:rPr>
          <w:rFonts w:ascii="仿宋_GB2312" w:hAnsi="仿宋_GB2312" w:cs="仿宋_GB2312" w:eastAsia="仿宋_GB2312"/>
        </w:rPr>
        <w:t>培育残疾人文化艺术项目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HCZB-2026-SC-132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培育残疾人文化艺术项目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培育残疾人文化艺术项目，具体内容详见竞争性磋商文件。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财务状况报告：提供2025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银行出具的资信证明；</w:t>
      </w:r>
    </w:p>
    <w:p>
      <w:pPr>
        <w:pStyle w:val="null3"/>
      </w:pPr>
      <w:r>
        <w:rPr>
          <w:rFonts w:ascii="仿宋_GB2312" w:hAnsi="仿宋_GB2312" w:cs="仿宋_GB2312" w:eastAsia="仿宋_GB2312"/>
        </w:rPr>
        <w:t>4、税收缴纳证明：提供投标截止日前一年内任意一个月纳税证明或完税证明，依法免税或无须缴纳税收的供应商，应提供相应证明文件；</w:t>
      </w:r>
    </w:p>
    <w:p>
      <w:pPr>
        <w:pStyle w:val="null3"/>
      </w:pPr>
      <w:r>
        <w:rPr>
          <w:rFonts w:ascii="仿宋_GB2312" w:hAnsi="仿宋_GB2312" w:cs="仿宋_GB2312" w:eastAsia="仿宋_GB2312"/>
        </w:rPr>
        <w:t>5、社会保障资金缴纳证明：提供投标截止日前一年内任意一个月的社会保障资金缴存单据或社保机构开具的社会保险参保缴费情况证明，依法不需要缴纳社会保障资金的单位应提供相关证明材料；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需提供网页截图、未提供的以现场查询为准）；</w:t>
      </w:r>
    </w:p>
    <w:p>
      <w:pPr>
        <w:pStyle w:val="null3"/>
      </w:pPr>
      <w:r>
        <w:rPr>
          <w:rFonts w:ascii="仿宋_GB2312" w:hAnsi="仿宋_GB2312" w:cs="仿宋_GB2312" w:eastAsia="仿宋_GB2312"/>
        </w:rPr>
        <w:t>8、无重大违法记录：参加政府采购活动前3年内，在经营活动中没有重大违法记录的书面声明；</w:t>
      </w:r>
    </w:p>
    <w:p>
      <w:pPr>
        <w:pStyle w:val="null3"/>
      </w:pPr>
      <w:r>
        <w:rPr>
          <w:rFonts w:ascii="仿宋_GB2312" w:hAnsi="仿宋_GB2312" w:cs="仿宋_GB2312" w:eastAsia="仿宋_GB2312"/>
        </w:rPr>
        <w:t>9、控股管理关系：单位负责人为同一人或者存在直接控股、管理关系的不同供应商，不得参加同一合同项下的政府采购活动；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10、非联合体承诺：本项目不接受联合体磋商。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陕西省残疾人联合会机关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西安市新城广场省政府大院内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029-63917933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孙军超、郭彩云、冯建正、程琤、王杨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17791690198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采购代理服务费按伍仟元整（￥5000.00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陕西省残疾人联合会机关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陕西省残疾人联合会机关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陕西省残疾人联合会机关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培育残疾人文化艺术项目采购内容包括：依托有影响力的专业艺术团队或企业单位，开展残疾人特殊艺术人才和师资培养，打造舞蹈、声乐、器乐、戏曲四个类别的原创残疾人精品艺术节目，推动我省特殊艺术高质量发展。目标：一、贯彻落实总书记文化思想，培育和践行社会主义核心价值观，推动残疾人文化事业繁荣发展。依托省级专业艺术团队，打造残疾人精品艺术节目，加强残疾人特殊艺术人才和师资培养。二、发掘和培养特殊艺术人才，传承和弘扬中华优秀传统文化，进一步推进特殊艺术的繁荣和发展。打造舞蹈、声乐、器乐、戏曲四个类别的残疾人文艺作品，每个类别不少于1个作品，一共不少于6个作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培育残疾人文化艺术项目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标的名称：培育残疾人文化艺术项目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1.作品数量</w:t>
            </w:r>
          </w:p>
          <w:p>
            <w:pPr>
              <w:pStyle w:val="null3"/>
              <w:jc w:val="both"/>
            </w:pPr>
            <w:r>
              <w:rPr>
                <w:rFonts w:ascii="仿宋_GB2312" w:hAnsi="仿宋_GB2312" w:cs="仿宋_GB2312" w:eastAsia="仿宋_GB2312"/>
                <w:sz w:val="24"/>
              </w:rPr>
              <w:t>围绕舞蹈、声乐、器乐、戏曲四个门类，各完成至少</w:t>
            </w:r>
            <w:r>
              <w:rPr>
                <w:rFonts w:ascii="仿宋_GB2312" w:hAnsi="仿宋_GB2312" w:cs="仿宋_GB2312" w:eastAsia="仿宋_GB2312"/>
                <w:sz w:val="24"/>
              </w:rPr>
              <w:t>1部原创残疾人文艺作品，累计总数不少于6部，舞蹈类演员人数≥8人，声乐器乐戏曲类≥1，每部作品创作完成后录制完整影像资料，并交付作品对应的原创剧本、音乐、视频、曲谱等艺术材料。</w:t>
            </w:r>
          </w:p>
          <w:p>
            <w:pPr>
              <w:pStyle w:val="null3"/>
              <w:jc w:val="both"/>
            </w:pPr>
            <w:r>
              <w:rPr>
                <w:rFonts w:ascii="仿宋_GB2312" w:hAnsi="仿宋_GB2312" w:cs="仿宋_GB2312" w:eastAsia="仿宋_GB2312"/>
                <w:sz w:val="24"/>
              </w:rPr>
              <w:t>鼓励结合残疾人身体特点进行编创（如轮椅舞蹈、盲人器乐合奏、手语声乐等），每部作品详细标明节目时长、参演人数、舞台呈现形式需具备完整性与可巡演性。</w:t>
            </w:r>
          </w:p>
          <w:p>
            <w:pPr>
              <w:pStyle w:val="null3"/>
              <w:jc w:val="both"/>
            </w:pPr>
            <w:r>
              <w:rPr>
                <w:rFonts w:ascii="仿宋_GB2312" w:hAnsi="仿宋_GB2312" w:cs="仿宋_GB2312" w:eastAsia="仿宋_GB2312"/>
                <w:sz w:val="24"/>
              </w:rPr>
              <w:t>２．人才培养</w:t>
            </w:r>
          </w:p>
          <w:p>
            <w:pPr>
              <w:pStyle w:val="null3"/>
              <w:jc w:val="both"/>
            </w:pPr>
            <w:r>
              <w:rPr>
                <w:rFonts w:ascii="仿宋_GB2312" w:hAnsi="仿宋_GB2312" w:cs="仿宋_GB2312" w:eastAsia="仿宋_GB2312"/>
                <w:sz w:val="24"/>
              </w:rPr>
              <w:t>通过项目培训、工作坊、导师跟排等方式，发掘并系统培养不少于</w:t>
            </w:r>
            <w:r>
              <w:rPr>
                <w:rFonts w:ascii="仿宋_GB2312" w:hAnsi="仿宋_GB2312" w:cs="仿宋_GB2312" w:eastAsia="仿宋_GB2312"/>
                <w:sz w:val="24"/>
              </w:rPr>
              <w:t>30名基层残疾人特殊艺术骨干（其中每个门类不少于5人）。</w:t>
            </w:r>
          </w:p>
          <w:p>
            <w:pPr>
              <w:pStyle w:val="null3"/>
              <w:jc w:val="both"/>
            </w:pPr>
            <w:r>
              <w:rPr>
                <w:rFonts w:ascii="仿宋_GB2312" w:hAnsi="仿宋_GB2312" w:cs="仿宋_GB2312" w:eastAsia="仿宋_GB2312"/>
                <w:sz w:val="24"/>
              </w:rPr>
              <w:t>组织至少</w:t>
            </w:r>
            <w:r>
              <w:rPr>
                <w:rFonts w:ascii="仿宋_GB2312" w:hAnsi="仿宋_GB2312" w:cs="仿宋_GB2312" w:eastAsia="仿宋_GB2312"/>
                <w:sz w:val="24"/>
              </w:rPr>
              <w:t>2期“基层特殊艺术教学与创作提升”专题培训，参训教师、辅导员及文化志愿者累计不少于100人次。</w:t>
            </w:r>
          </w:p>
          <w:p>
            <w:pPr>
              <w:pStyle w:val="null3"/>
              <w:jc w:val="both"/>
            </w:pPr>
            <w:r>
              <w:rPr>
                <w:rFonts w:ascii="仿宋_GB2312" w:hAnsi="仿宋_GB2312" w:cs="仿宋_GB2312" w:eastAsia="仿宋_GB2312"/>
                <w:sz w:val="24"/>
              </w:rPr>
              <w:t>3.文化传承</w:t>
            </w:r>
          </w:p>
          <w:p>
            <w:pPr>
              <w:pStyle w:val="null3"/>
              <w:jc w:val="both"/>
            </w:pPr>
            <w:r>
              <w:rPr>
                <w:rFonts w:ascii="仿宋_GB2312" w:hAnsi="仿宋_GB2312" w:cs="仿宋_GB2312" w:eastAsia="仿宋_GB2312"/>
                <w:sz w:val="24"/>
              </w:rPr>
              <w:t>作品须融入陕西代表性文化元素（如秦腔唱腔与身段、陕北民歌元素、陕南茶歌、关中民俗、安塞腰鼓节奏型、西安鼓乐等），每个类别至少明确一项地域符号。</w:t>
            </w:r>
          </w:p>
          <w:p>
            <w:pPr>
              <w:pStyle w:val="null3"/>
              <w:jc w:val="both"/>
            </w:pPr>
            <w:r>
              <w:rPr>
                <w:rFonts w:ascii="仿宋_GB2312" w:hAnsi="仿宋_GB2312" w:cs="仿宋_GB2312" w:eastAsia="仿宋_GB2312"/>
                <w:sz w:val="24"/>
              </w:rPr>
              <w:t>每部作品需附</w:t>
            </w:r>
            <w:r>
              <w:rPr>
                <w:rFonts w:ascii="仿宋_GB2312" w:hAnsi="仿宋_GB2312" w:cs="仿宋_GB2312" w:eastAsia="仿宋_GB2312"/>
                <w:sz w:val="24"/>
              </w:rPr>
              <w:t>“文化元素说明卡”，注明所借鉴的非遗项目或传统艺术形式及其与残疾人表演的融合方式。</w:t>
            </w:r>
          </w:p>
          <w:p>
            <w:pPr>
              <w:pStyle w:val="null3"/>
              <w:jc w:val="both"/>
            </w:pPr>
            <w:r>
              <w:rPr>
                <w:rFonts w:ascii="仿宋_GB2312" w:hAnsi="仿宋_GB2312" w:cs="仿宋_GB2312" w:eastAsia="仿宋_GB2312"/>
                <w:sz w:val="24"/>
              </w:rPr>
              <w:t>鼓励采用陕西传统服饰、方言唱词、地方曲牌，并兼顾残疾人表演的可适应性改编。</w:t>
            </w:r>
          </w:p>
          <w:p>
            <w:pPr>
              <w:pStyle w:val="null3"/>
              <w:jc w:val="both"/>
            </w:pPr>
            <w:r>
              <w:rPr>
                <w:rFonts w:ascii="仿宋_GB2312" w:hAnsi="仿宋_GB2312" w:cs="仿宋_GB2312" w:eastAsia="仿宋_GB2312"/>
                <w:sz w:val="24"/>
              </w:rPr>
              <w:t>4.节目验收</w:t>
            </w:r>
          </w:p>
          <w:p>
            <w:pPr>
              <w:pStyle w:val="null3"/>
              <w:jc w:val="both"/>
            </w:pPr>
            <w:r>
              <w:rPr>
                <w:rFonts w:ascii="仿宋_GB2312" w:hAnsi="仿宋_GB2312" w:cs="仿宋_GB2312" w:eastAsia="仿宋_GB2312"/>
                <w:sz w:val="24"/>
              </w:rPr>
              <w:t>作品创作完成后，专业排练厅现场节目验收，所有演员带妆完整呈现节目内容，节目演出要全面落实创作方案。作品推荐参加全国残疾人艺术节、省市大型文艺活动演出及残疾人节日进行社会公演或参加相关演出活动展演。</w:t>
            </w:r>
          </w:p>
          <w:p>
            <w:pPr>
              <w:pStyle w:val="null3"/>
              <w:jc w:val="both"/>
            </w:pPr>
            <w:r>
              <w:rPr>
                <w:rFonts w:ascii="仿宋_GB2312" w:hAnsi="仿宋_GB2312" w:cs="仿宋_GB2312" w:eastAsia="仿宋_GB2312"/>
                <w:sz w:val="24"/>
              </w:rPr>
              <w:t>５．社会效益</w:t>
            </w:r>
          </w:p>
          <w:p>
            <w:pPr>
              <w:pStyle w:val="null3"/>
            </w:pPr>
            <w:r>
              <w:rPr>
                <w:rFonts w:ascii="仿宋_GB2312" w:hAnsi="仿宋_GB2312" w:cs="仿宋_GB2312" w:eastAsia="仿宋_GB2312"/>
                <w:sz w:val="24"/>
              </w:rPr>
              <w:t>记录每部作品创作历程与台前幕后的排演花絮，推动作品面向社会公开展示与传播，加强与社区、特教学校及公共文化场馆的合作联动，促进残疾人文化融入公共文化生活。通过展演、交流、媒体宣传等多种形式，提升社会对残疾人艺术才华与文化贡献的认知与认同，形成正向社会影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采购人指定服务地点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进度款，待项目完成且经甲方验收所有资料符合甲方要求，达到付款条件起10个工作日内，支付合同总金额的20.0%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1、供应商需要在线提交所有通过电子化交易平台实施的政府采购项目的响应文件，同时，线下提交纸质响应文件正本壹份、副本贰份、电子版贰份（U盘贰份）。 2、纸质响应文件正副本分别胶装，标明供应商名称密封递交。 3、线下纸质文件递交截止时间：同在线递交电子响应文件截止时间一致；线下纸质文件递交地点：陕西省西安市碑林区南二环西段21号华融国际商务大厦A座21楼会议室。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供应商应提交的相关资格证明材料.pdf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银行出具的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提供投标截止日前一年内任意一个月纳税证明或完税证明，依法免税或无须缴纳税收的供应商，应提供相应证明文件；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需提供网页截图、未提供的以现场查询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服务方案.pdf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服务方案.pdf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响应文件上签字、盖章齐全</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服务方案.pdf 商务应答表 供应商应提交的相关资格证明材料.pdf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响应文件完整性及响应性</w:t>
            </w:r>
          </w:p>
        </w:tc>
        <w:tc>
          <w:tcPr>
            <w:tcW w:type="dxa" w:w="3322"/>
          </w:tcPr>
          <w:p>
            <w:pPr>
              <w:pStyle w:val="null3"/>
            </w:pPr>
            <w:r>
              <w:rPr>
                <w:rFonts w:ascii="仿宋_GB2312" w:hAnsi="仿宋_GB2312" w:cs="仿宋_GB2312" w:eastAsia="仿宋_GB2312"/>
              </w:rPr>
              <w:t>响应文件构成无缺项且响应磋商文件</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服务方案.pdf 商务应答表 供应商应提交的相关资格证明材料.pdf 服务内容及服务要求应答表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供应商满足所有技术要求得10分，每负偏离一项扣2分，扣完为止，不计负分。 评审依据：以《服务内容及服务要求应答表》及承诺书为准。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针对性服务方案。评审标准细化包括但不限于：①四个艺术门类的创作思路与初步构想②人才培养的具体措施与预期成果③节目效果（演出内容搭配合理，编排制作精良，舞台设计效果突出)④视频制作、拍摄方案(现场/后期制作)等。 评审标准量化内容： （1）各部分内容全面详细、阐述条理清晰详尽、符合本项目采购需求得16分； （2）评审标准细化内容每缺少一项扣4分；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供应商根据本项目特点，对项目进度计划及进度保证措施进行阐述，评审标准细化内容：包含但不限于①进度计划安排②进度计划保证措施。 评审标准量化内容： （1）各部分内容全面详细、阐述条理清晰详尽、符合本项目采购需求得6分；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质量安全保证及应急方案</w:t>
            </w:r>
          </w:p>
        </w:tc>
        <w:tc>
          <w:tcPr>
            <w:tcW w:type="dxa" w:w="2492"/>
          </w:tcPr>
          <w:p>
            <w:pPr>
              <w:pStyle w:val="null3"/>
            </w:pPr>
            <w:r>
              <w:rPr>
                <w:rFonts w:ascii="仿宋_GB2312" w:hAnsi="仿宋_GB2312" w:cs="仿宋_GB2312" w:eastAsia="仿宋_GB2312"/>
              </w:rPr>
              <w:t>供应商根据本项目特点，对项目质量及应急方案进行阐述，评审标准细化内容：包含但不限于①项目全过程的质量保证与质量控制措施②安全保障措施③应急保障方案(突发故障等)等。 （1）各部分内容全面详细、阐述条理清晰详尽、符合本项目采购需求得9分；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供应商根据本项目特点，对项目进行合理化建议，评审标准细化内容：包含但不限于①整体策划优化建议②现场执行细化建议③后勤服务与细节优化建议等。 （1）各部分内容全面详细、阐述条理清晰详尽、符合本项目采购需求得9分； （2）评审标准细化内容每缺少一项扣3分； （3）评审标准细化内容每有一处存在缺陷或不足的扣1分，该项分值扣完为止。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供应商获得国家级文旅行政主管部门颁发的奖项，每提供1个得2分，供应商获得省、市级文旅行政主管部门颁发的奖项，每提供1个得1分，本项最高得10分，不提供不得分。 注：响应文件中需提供加盖供应商公章的奖项复印件。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拟派团队人员</w:t>
            </w:r>
          </w:p>
        </w:tc>
        <w:tc>
          <w:tcPr>
            <w:tcW w:type="dxa" w:w="2492"/>
          </w:tcPr>
          <w:p>
            <w:pPr>
              <w:pStyle w:val="null3"/>
            </w:pPr>
            <w:r>
              <w:rPr>
                <w:rFonts w:ascii="仿宋_GB2312" w:hAnsi="仿宋_GB2312" w:cs="仿宋_GB2312" w:eastAsia="仿宋_GB2312"/>
              </w:rPr>
              <w:t>1、拟派项目负责人具有本项目相关专业中级及以上职称或相关职业证书或其他证书的得4分；以项目负责人身份承担过类似项目业绩（业绩中须体现文化演出艺术类）每提供一份得2分，最多得4分。 2、拟派人员数量及专业能力要求满足采购需求得3分； 在此基础上每增加一名具有相关专业技术职称或资格证书的团队人员加0.5分，最多加4分。 （相关证书包括但不限于：编导（舞蹈、戏曲类）、编剧、作曲/音乐指导（声乐、器乐类）、摄像师、舞美设计师、艺术创意设计师、美术师、演出监督、舞台技术、剪辑师等与本项目相关的职称证书或资格证书） 说明：拟派人员均需提供身份证、学历证、职称证或资格证及递交响应文件截止之日前连续6个月的社会保险缴纳证明，项目负责人还需提供加盖公章的类似项目业绩合同复印件、演出节目单、活动照片等证明材料（合同或演出节目单中能体现项目负责人姓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供应商应提供2023年1月1日以来类似项目业绩（业绩中须体现文化演出艺术类），每提供一份得3分，最高得15分。注：以合同复印件、演出节目单、活动照片等相关资料并加盖公章为准。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业绩一览表.pdf</w:t>
            </w:r>
          </w:p>
          <w:p>
            <w:pPr>
              <w:pStyle w:val="null3"/>
            </w:pPr>
            <w:r>
              <w:rPr>
                <w:rFonts w:ascii="仿宋_GB2312" w:hAnsi="仿宋_GB2312" w:cs="仿宋_GB2312" w:eastAsia="仿宋_GB2312"/>
              </w:rPr>
              <w:t>服务方案.pdf</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小组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评审小组应当将其作为无效投标处理。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