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版本号：ZBZB-2026-295120260626001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操场游戏场地改造项目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ZBZB-2026-2951</w:t>
      </w:r>
      <w:r>
        <w:br/>
      </w:r>
      <w:r>
        <w:br/>
      </w:r>
      <w:r>
        <w:br/>
      </w:r>
    </w:p>
    <w:p>
      <w:pPr>
        <w:pStyle w:val="null3"/>
        <w:jc w:val="center"/>
        <w:outlineLvl w:val="2"/>
      </w:pPr>
      <w:r>
        <w:rPr>
          <w:rFonts w:ascii="仿宋_GB2312" w:hAnsi="仿宋_GB2312" w:cs="仿宋_GB2312" w:eastAsia="仿宋_GB2312"/>
          <w:sz w:val="28"/>
          <w:b/>
        </w:rPr>
        <w:t>西安市雁塔区第九幼儿园</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西安市雁塔区第九幼儿园</w:t>
      </w:r>
      <w:r>
        <w:rPr>
          <w:rFonts w:ascii="仿宋_GB2312" w:hAnsi="仿宋_GB2312" w:cs="仿宋_GB2312" w:eastAsia="仿宋_GB2312"/>
        </w:rPr>
        <w:t>委托，拟对</w:t>
      </w:r>
      <w:r>
        <w:rPr>
          <w:rFonts w:ascii="仿宋_GB2312" w:hAnsi="仿宋_GB2312" w:cs="仿宋_GB2312" w:eastAsia="仿宋_GB2312"/>
        </w:rPr>
        <w:t>操场游戏场地改造项目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ZBZB-2026-2951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操场游戏场地改造项目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西安市雁塔区第九幼儿园操场游戏场地改造项目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采购包1（西安市雁塔区第九幼儿园操场游戏场地改造项目）：属于专门面向小微企业采购。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主体证明：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2、授权书：法定代表人授权书（附法定代表人身份证复印件）及被授权人身份证（法定代表人直接参加磋商只须提供法定代表人身份证）；并进行电子签章。</w:t>
      </w:r>
    </w:p>
    <w:p>
      <w:pPr>
        <w:pStyle w:val="null3"/>
      </w:pPr>
      <w:r>
        <w:rPr>
          <w:rFonts w:ascii="仿宋_GB2312" w:hAnsi="仿宋_GB2312" w:cs="仿宋_GB2312" w:eastAsia="仿宋_GB2312"/>
        </w:rPr>
        <w:t>3、财务状况：提供2024年度或2025年度经审计的财务审计报告（成立时间至提交磋商响应文件截止时间不足一年的可提供成立后任意时段的资产负债表），或其开标前六个月内基本存款账户开户银行出具的资信证明；并进行电子签章。</w:t>
      </w:r>
    </w:p>
    <w:p>
      <w:pPr>
        <w:pStyle w:val="null3"/>
      </w:pPr>
      <w:r>
        <w:rPr>
          <w:rFonts w:ascii="仿宋_GB2312" w:hAnsi="仿宋_GB2312" w:cs="仿宋_GB2312" w:eastAsia="仿宋_GB2312"/>
        </w:rPr>
        <w:t>4、完税证明：提供2025年6月至今已缴纳的至少三个月的纳税证明或完税证明，依法免税的单位应提供相关证明材料；并进行电子签章。</w:t>
      </w:r>
    </w:p>
    <w:p>
      <w:pPr>
        <w:pStyle w:val="null3"/>
      </w:pPr>
      <w:r>
        <w:rPr>
          <w:rFonts w:ascii="仿宋_GB2312" w:hAnsi="仿宋_GB2312" w:cs="仿宋_GB2312" w:eastAsia="仿宋_GB2312"/>
        </w:rPr>
        <w:t>5、社保缴纳情况：提供2025年6月至今已缴纳的至少三个月的社会保障资金缴存单据或社保机构开具的社会保险参保缴费情况证明，依法不需要缴纳社会保障资金的单位应提供相关证明材料；并进行电子签章。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6、没有重大违法记录声明：参加本次政府采购活动前三年内，在经营活动中没有重大违法记录声明；并进行电子签章。</w:t>
      </w:r>
    </w:p>
    <w:p>
      <w:pPr>
        <w:pStyle w:val="null3"/>
      </w:pPr>
      <w:r>
        <w:rPr>
          <w:rFonts w:ascii="仿宋_GB2312" w:hAnsi="仿宋_GB2312" w:cs="仿宋_GB2312" w:eastAsia="仿宋_GB2312"/>
        </w:rPr>
        <w:t>7、所必需的设备和专业技术能力的承诺函：提供具有履行合同所必需的设备和专业技术能力的承诺函（格式自拟）；并进行电子签章。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9、资质：供应商须具备建设行政主管部门核发的建筑装修装饰工程专业承包二级及以上(含二级)资质或建筑工程施工总承包三级（含三级）及以上资质，并且具备有效的安全生产许可证。并进行电子签章。</w:t>
      </w:r>
    </w:p>
    <w:p>
      <w:pPr>
        <w:pStyle w:val="null3"/>
      </w:pPr>
      <w:r>
        <w:rPr>
          <w:rFonts w:ascii="仿宋_GB2312" w:hAnsi="仿宋_GB2312" w:cs="仿宋_GB2312" w:eastAsia="仿宋_GB2312"/>
        </w:rPr>
        <w:t>10、拟派项目经理：拟派项目经理须具备建筑工程专业注册二级（含二级）及以上注册建造师执业资格证，提供有效的安全生产考核B证，在本单位注册且无在建证明（提供无在建项目承诺书）。并进行电子签章。</w:t>
      </w:r>
    </w:p>
    <w:p>
      <w:pPr>
        <w:pStyle w:val="null3"/>
      </w:pPr>
      <w:r>
        <w:rPr>
          <w:rFonts w:ascii="仿宋_GB2312" w:hAnsi="仿宋_GB2312" w:cs="仿宋_GB2312" w:eastAsia="仿宋_GB2312"/>
        </w:rPr>
        <w:t>11、控股关系：供应商负责人为同一人或者存在直接控股、管理关系的不同供应商，不得同时参加本项目磋商，提供承诺书；并进行电子签章。</w:t>
      </w:r>
    </w:p>
    <w:p>
      <w:pPr>
        <w:pStyle w:val="null3"/>
      </w:pPr>
      <w:r>
        <w:rPr>
          <w:rFonts w:ascii="仿宋_GB2312" w:hAnsi="仿宋_GB2312" w:cs="仿宋_GB2312" w:eastAsia="仿宋_GB2312"/>
        </w:rPr>
        <w:t>12、中⼩企业声明函：本项⽬专⻔⾯向小微企业采购，提供小微企业声明函。并进行电子签章。</w:t>
      </w:r>
    </w:p>
    <w:p>
      <w:pPr>
        <w:pStyle w:val="null3"/>
      </w:pPr>
      <w:r>
        <w:rPr>
          <w:rFonts w:ascii="仿宋_GB2312" w:hAnsi="仿宋_GB2312" w:cs="仿宋_GB2312" w:eastAsia="仿宋_GB2312"/>
        </w:rPr>
        <w:t>13、不允许联合体投标：本项目不允许联合体投标。并进行电子签章。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西安市雁塔区第九幼儿园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西安市雁塔区大寨路19号西北方向140米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15829299533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 69 号长丰园三区 5 号楼 9 层 9006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代理服务费收费标准：参照国家发展和改⾰委员会办公厅发改办价格【2003】857号⽂的规定 ，经协商由中标⼈按国家发展和改⾰委员发改价格【2011】534号⽂规定取费标准向采购代理 机构⽀付招标代理服务费（包含“招标代理费、会务费（如有）”），如本项⽬各包服务费不⾜伍仟元则供应商按伍仟元⽀付服务费。 缴费渠道名称：陕西正邦招标有限责任公司 开⼾⾏： 平安银⾏股西安分⾏营业部/平安银⾏西安分⾏ 账 号：30205380002113 备注：请注明费⽤ 信息“ZBZB-2026-2951服务费”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西安市雁塔区第九幼儿园</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西安市雁塔区第九幼儿园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西安市雁塔区第九幼儿园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一、符合国家现行有关施工质量验收规范“合格”要求。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联系电话：029-85578186-831</w:t>
      </w:r>
    </w:p>
    <w:p>
      <w:pPr>
        <w:pStyle w:val="null3"/>
      </w:pPr>
      <w:r>
        <w:rPr>
          <w:rFonts w:ascii="仿宋_GB2312" w:hAnsi="仿宋_GB2312" w:cs="仿宋_GB2312" w:eastAsia="仿宋_GB2312"/>
        </w:rPr>
        <w:t>地址：西安市雁塔区朱雀大街南段 69 号长丰园三区 5 号楼 9 层 9006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527,500.00</w:t>
      </w:r>
    </w:p>
    <w:p>
      <w:pPr>
        <w:pStyle w:val="null3"/>
      </w:pPr>
      <w:r>
        <w:rPr>
          <w:rFonts w:ascii="仿宋_GB2312" w:hAnsi="仿宋_GB2312" w:cs="仿宋_GB2312" w:eastAsia="仿宋_GB2312"/>
        </w:rPr>
        <w:t>采购包最高限价（元）: 527,437.76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优化园区户外游戏环境，通过地形堆坡、绿化种植及沙水池升级，完善户外保教功能。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527,500.00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标的名称：优化园区户外游戏环境，通过地形堆坡、绿化种植及沙水池升级，完善户外保教功能。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1.工期：</w:t>
            </w:r>
            <w:r>
              <w:rPr>
                <w:rFonts w:ascii="仿宋_GB2312" w:hAnsi="仿宋_GB2312" w:cs="仿宋_GB2312" w:eastAsia="仿宋_GB2312"/>
                <w:sz w:val="21"/>
              </w:rPr>
              <w:t>30</w:t>
            </w:r>
            <w:r>
              <w:rPr>
                <w:rFonts w:ascii="仿宋_GB2312" w:hAnsi="仿宋_GB2312" w:cs="仿宋_GB2312" w:eastAsia="仿宋_GB2312"/>
                <w:sz w:val="21"/>
              </w:rPr>
              <w:t>日历天</w:t>
            </w:r>
          </w:p>
          <w:p>
            <w:pPr>
              <w:pStyle w:val="null3"/>
            </w:pPr>
            <w:r>
              <w:rPr>
                <w:rFonts w:ascii="仿宋_GB2312" w:hAnsi="仿宋_GB2312" w:cs="仿宋_GB2312" w:eastAsia="仿宋_GB2312"/>
              </w:rPr>
              <w:t>2.工程质量、</w:t>
            </w:r>
            <w:r>
              <w:rPr>
                <w:rFonts w:ascii="仿宋_GB2312" w:hAnsi="仿宋_GB2312" w:cs="仿宋_GB2312" w:eastAsia="仿宋_GB2312"/>
                <w:sz w:val="21"/>
              </w:rPr>
              <w:t>质保期：</w:t>
            </w:r>
            <w:r>
              <w:rPr>
                <w:rFonts w:ascii="仿宋_GB2312" w:hAnsi="仿宋_GB2312" w:cs="仿宋_GB2312" w:eastAsia="仿宋_GB2312"/>
                <w:sz w:val="21"/>
              </w:rPr>
              <w:t>本工程质量等级为符合国家验收相关标准，并达到合格标准，质保期两年</w:t>
            </w:r>
          </w:p>
          <w:p>
            <w:pPr>
              <w:pStyle w:val="null3"/>
            </w:pPr>
            <w:r>
              <w:rPr>
                <w:rFonts w:ascii="仿宋_GB2312" w:hAnsi="仿宋_GB2312" w:cs="仿宋_GB2312" w:eastAsia="仿宋_GB2312"/>
              </w:rPr>
              <w:t>3.工</w:t>
            </w:r>
            <w:r>
              <w:rPr>
                <w:rFonts w:ascii="仿宋_GB2312" w:hAnsi="仿宋_GB2312" w:cs="仿宋_GB2312" w:eastAsia="仿宋_GB2312"/>
              </w:rPr>
              <w:t>程量清单：详见附件</w:t>
            </w:r>
          </w:p>
          <w:p>
            <w:pPr>
              <w:pStyle w:val="null3"/>
            </w:pPr>
            <w:r>
              <w:rPr>
                <w:rFonts w:ascii="仿宋_GB2312" w:hAnsi="仿宋_GB2312" w:cs="仿宋_GB2312" w:eastAsia="仿宋_GB2312"/>
              </w:rPr>
              <w:t>4.</w:t>
            </w:r>
            <w:r>
              <w:rPr>
                <w:rFonts w:ascii="仿宋_GB2312" w:hAnsi="仿宋_GB2312" w:cs="仿宋_GB2312" w:eastAsia="仿宋_GB2312"/>
                <w:sz w:val="21"/>
              </w:rPr>
              <w:t>施工要求</w:t>
            </w:r>
          </w:p>
          <w:p>
            <w:pPr>
              <w:pStyle w:val="null3"/>
            </w:pPr>
            <w:r>
              <w:rPr>
                <w:rFonts w:ascii="仿宋_GB2312" w:hAnsi="仿宋_GB2312" w:cs="仿宋_GB2312" w:eastAsia="仿宋_GB2312"/>
                <w:sz w:val="21"/>
              </w:rPr>
              <w:t>在施工期间，中标供应商必须注意院内人</w:t>
            </w:r>
            <w:r>
              <w:rPr>
                <w:rFonts w:ascii="仿宋_GB2312" w:hAnsi="仿宋_GB2312" w:cs="仿宋_GB2312" w:eastAsia="仿宋_GB2312"/>
                <w:sz w:val="21"/>
              </w:rPr>
              <w:t>员安全，加强安全措施，并对施工人员进行安全教育。施工人员必须持证上岗。因采购人工作的特殊性，要求中标供应商在施工中做到封闭性施工。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2133632860@qq.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法定代表人授权书（附法定代表人身份证复印件）及被授权人身份证（法定代表人直接参加磋商只须提供法定代表人身份证）；并进行电子签章。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审计报告（成立时间至提交磋商响应文件截止时间不足一年的可提供成立后任意时段的资产负债表），或其开标前六个月内基本存款账户开户银行出具的资信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提供2025年6月至今已缴纳的至少三个月的纳税证明或完税证明，依法免税的单位应提供相关证明材料；并进行电子签章。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提供2025年6月至今已缴纳的至少三个月的社会保障资金缴存单据或社保机构开具的社会保险参保缴费情况证明，依法不需要缴纳社会保障资金的单位应提供相关证明材料；并进行电子签章。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参加本次政府采购活动前三年内，在经营活动中没有重大违法记录声明；并进行电子签章。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提供具有履行合同所必需的设备和专业技术能力的承诺函（格式自拟）；并进行电子签章。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供应商须具备建设行政主管部门核发的建筑装修装饰工程专业承包二级及以上(含二级)资质或建筑工程施工总承包三级（含三级）及以上资质，并且具备有效的安全生产许可证。并进行电子签章。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拟派项目经理须具备建筑工程专业注册二级（含二级）及以上注册建造师执业资格证，提供有效的安全生产考核B证，在本单位注册且无在建证明（提供无在建项目承诺书）。并进行电子签章。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供应商负责人为同一人或者存在直接控股、管理关系的不同供应商，不得同时参加本项目磋商，提供承诺书；并进行电子签章。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本项⽬专⻔⾯向小微企业采购，提供小微企业声明函。并进行电子签章。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不允许联合体投标</w:t>
            </w:r>
          </w:p>
        </w:tc>
        <w:tc>
          <w:tcPr>
            <w:tcW w:type="dxa" w:w="3322"/>
          </w:tcPr>
          <w:p>
            <w:pPr>
              <w:pStyle w:val="null3"/>
            </w:pPr>
            <w:r>
              <w:rPr>
                <w:rFonts w:ascii="仿宋_GB2312" w:hAnsi="仿宋_GB2312" w:cs="仿宋_GB2312" w:eastAsia="仿宋_GB2312"/>
              </w:rPr>
              <w:t>本项目不允许联合体投标。并进行电子签章。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 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方案缺漏项或只有标题没有实质性内容的扣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评审内容：①确保安全生产的技术组织措施②应急预案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8分；评审内容任意一项缺项扣4分；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评审标准：以上内容切合本项目实际情况及实施要求，内容与要点相符、每个要点均有展开详细的阐述且能够适用于本项目的得5分；评审内容任意一项缺项扣2.5分； 评审内容有缺陷（缺陷是指：劳动力计划安排不合理、主要材料供应计划不满足项目需求、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未提供施工机械设备配备计划不得分。评审内容有缺陷（缺陷是指：施工机械设备配备不合理、施工机械配备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4分；未提供措施方案不得分。评审内容有缺陷（缺陷是指：措施内容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评审标准：以上内容切合本项目实际情况及实施要求，内容与要点相符、每个要点均有展开详细的阐述且能够适用于本项目的得6分；评审内容任意一项缺项扣3分； 评审内容有缺陷（缺陷是指：进度计划安排不合理、措施内容简单、与项目特点不匹配、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4分；未提供措施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4分；未提供方案不得分。评审内容有缺陷（缺陷是指：方案粗略、逻辑混乱、描述过于简单、与项目特点不匹配、凭空编造、逻辑漏洞、出现常识性错误、套用其他项目方案、存在不可能实现的夸大情形、存在不适用项目实际情况的情形或只有标题没有实质性内容）评审内容出现以上任一情形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评审标准：以上内容与要点相符、每个要点均有展开详细的阐述且能够适用于本项目的得5分； 评审内容任意一项缺项扣2.5分；评审内容有缺陷（缺陷是指：内容简单、与项目特点不匹配、套用其他项目相关内容或存在不适用项目实际情况的情形）评审内容出现以上任一情形扣0.5分，扣完为止。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供应商2023年6月以来类似项目业绩；每提供1份计2分，最高得6分。业绩证明（以合同或中标/成交通知书为准，须在磋商响应文件中附以上证明材料的扫描件加盖单位公章）。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