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版本号：ZCSP-渭南市-2026-0015220260527001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陕西省第十八届运动会2026年车辆保障租赁项目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ZCSP-渭南市-2026-00152</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陕西省第十八届运动会2026年车辆保障租赁项目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陕西省第十八届运动会2026年车辆保障租赁项目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力做好陕西省第十八届运动会渭南市主城区交通运输保障工作，省十八届运动会市筹委会拟对赛事交通运输保障车辆运输企业开展采购工作，负责运动会期间运动员、裁判员、工作人员运输任务，保障运输服务的可靠性、高效性与安全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采购包1（陕西省第十八届运动会2026年车辆保障租赁项目）：属于专门面向中小企业采购。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1、营业执照：供应商应具有独立承担民事责任的能力且具备向采购人提供相关服务的企业法人或者自然人,企业法人应提供统一社会信用代码的营业执照；自然人提供身份证明文件；</w:t>
      </w:r>
    </w:p>
    <w:p>
      <w:pPr>
        <w:pStyle w:val="null3"/>
      </w:pPr>
      <w:r>
        <w:rPr>
          <w:rFonts w:ascii="仿宋_GB2312" w:hAnsi="仿宋_GB2312" w:cs="仿宋_GB2312" w:eastAsia="仿宋_GB2312"/>
        </w:rPr>
        <w:t>2、法人授权：供应商应授权合法的人员参加竞争性磋商全过程，其中法定代表人直接参加竞争性磋商的，须出具法人身份证，并与营业执照上信息一致。法定代表人授权代表参加竞争性磋商的，须出具法定代表人授权书、授权代表身份证及一年内在本单位连续三个月的社保缴纳证明；</w:t>
      </w:r>
    </w:p>
    <w:p>
      <w:pPr>
        <w:pStyle w:val="null3"/>
      </w:pPr>
      <w:r>
        <w:rPr>
          <w:rFonts w:ascii="仿宋_GB2312" w:hAnsi="仿宋_GB2312" w:cs="仿宋_GB2312" w:eastAsia="仿宋_GB2312"/>
        </w:rPr>
        <w:t>3、具有良好的商业信誉和健全的财务会计制度以及有依法缴纳税收和社会保障资金的良好记录：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5、具有履行合同所必须的设备和专业技术能力的承诺书：提供具有履行合同所必须的设备和专业技术能力的承诺书；</w:t>
      </w:r>
    </w:p>
    <w:p>
      <w:pPr>
        <w:pStyle w:val="null3"/>
      </w:pPr>
      <w:r>
        <w:rPr>
          <w:rFonts w:ascii="仿宋_GB2312" w:hAnsi="仿宋_GB2312" w:cs="仿宋_GB2312" w:eastAsia="仿宋_GB2312"/>
        </w:rPr>
        <w:t>6、资格要求：具备有效的道路运输经营许可证及交通运输企业安全生产标准化等级二级及以上；</w:t>
      </w:r>
    </w:p>
    <w:p>
      <w:pPr>
        <w:pStyle w:val="null3"/>
      </w:pPr>
      <w:r>
        <w:rPr>
          <w:rFonts w:ascii="仿宋_GB2312" w:hAnsi="仿宋_GB2312" w:cs="仿宋_GB2312" w:eastAsia="仿宋_GB2312"/>
        </w:rPr>
        <w:t>7、供应商控股关系：单位负责人为同一人或者存在直接控股、管理关系的不同供应商，不得参加同一合同项下的政府采购活动；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企业信誉：供应商不得为“信用中国”网站(http://www.creditchina.gov.cn)列入“失信被执行人（页面跳转至“中国执行信息公开网”http://zxgk.court.gov.cn/shixin/）、重大税收违法失信主体、政府采购严重违法失信行为记录名单”的的供应商；不得为中国政府采购网(http://www.ccgp.gov.cn)“政府采购严重违法失信行为记录名单”中的供应商；</w:t>
      </w:r>
    </w:p>
    <w:p>
      <w:pPr>
        <w:pStyle w:val="null3"/>
      </w:pPr>
      <w:r>
        <w:rPr>
          <w:rFonts w:ascii="仿宋_GB2312" w:hAnsi="仿宋_GB2312" w:cs="仿宋_GB2312" w:eastAsia="仿宋_GB2312"/>
        </w:rPr>
        <w:t>9、磋商保证金：磋商保证金按要求缴纳；</w:t>
      </w:r>
    </w:p>
    <w:p>
      <w:pPr>
        <w:pStyle w:val="null3"/>
      </w:pPr>
      <w:r>
        <w:rPr>
          <w:rFonts w:ascii="仿宋_GB2312" w:hAnsi="仿宋_GB2312" w:cs="仿宋_GB2312" w:eastAsia="仿宋_GB2312"/>
        </w:rPr>
        <w:t>10、联合体磋商：本项目不接受联合体磋商；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尚建辉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13609132600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满足赛事要求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力做好陕西省第十八届运动会渭南市主城区交通运输保障工作，省十八届运动会市筹委会拟对赛事交通运输保障车辆运输企业开展采购工作，负责运动会期间运动员、裁判员、工作人员运输任务，保障运输服务的可靠性、高效性与安全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陕西省第十八届运动会2026年车辆保障租赁项目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交通运输业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标的名称：陕西省第十八届运动会2026年车辆保障租赁项目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66"/>
              <w:jc w:val="left"/>
            </w:pPr>
            <w:r>
              <w:rPr>
                <w:rFonts w:ascii="仿宋_GB2312" w:hAnsi="仿宋_GB2312" w:cs="仿宋_GB2312" w:eastAsia="仿宋_GB2312"/>
                <w:sz w:val="16"/>
                <w:b/>
                <w:color w:val="000000"/>
              </w:rPr>
              <w:t>一、项目简介</w:t>
            </w:r>
          </w:p>
          <w:p>
            <w:pPr>
              <w:pStyle w:val="null3"/>
              <w:ind w:firstLine="480"/>
              <w:jc w:val="left"/>
            </w:pPr>
            <w:r>
              <w:rPr>
                <w:rFonts w:ascii="仿宋_GB2312" w:hAnsi="仿宋_GB2312" w:cs="仿宋_GB2312" w:eastAsia="仿宋_GB2312"/>
                <w:sz w:val="16"/>
                <w:color w:val="000000"/>
              </w:rPr>
              <w:t>为全力做好陕西省第十八届运动会渭南市主城区交通运输保障工作，省十八运会市筹委会拟对赛事交通运输保障车辆运输企业开展</w:t>
            </w:r>
            <w:r>
              <w:rPr>
                <w:rFonts w:ascii="仿宋_GB2312" w:hAnsi="仿宋_GB2312" w:cs="仿宋_GB2312" w:eastAsia="仿宋_GB2312"/>
                <w:sz w:val="16"/>
                <w:color w:val="000000"/>
              </w:rPr>
              <w:t>采购</w:t>
            </w:r>
            <w:r>
              <w:rPr>
                <w:rFonts w:ascii="仿宋_GB2312" w:hAnsi="仿宋_GB2312" w:cs="仿宋_GB2312" w:eastAsia="仿宋_GB2312"/>
                <w:sz w:val="16"/>
                <w:color w:val="000000"/>
              </w:rPr>
              <w:t>工作，负责运动会期间运动员、裁判员、工作人员运输任务，保障运输服务的可靠性、高效性与安全性</w:t>
            </w:r>
            <w:r>
              <w:rPr>
                <w:rFonts w:ascii="仿宋_GB2312" w:hAnsi="仿宋_GB2312" w:cs="仿宋_GB2312" w:eastAsia="仿宋_GB2312"/>
                <w:sz w:val="16"/>
                <w:color w:val="000000"/>
              </w:rPr>
              <w:t>。</w:t>
            </w:r>
          </w:p>
          <w:p>
            <w:pPr>
              <w:pStyle w:val="null3"/>
              <w:ind w:firstLine="480"/>
              <w:jc w:val="left"/>
            </w:pPr>
            <w:r>
              <w:rPr>
                <w:rFonts w:ascii="仿宋_GB2312" w:hAnsi="仿宋_GB2312" w:cs="仿宋_GB2312" w:eastAsia="仿宋_GB2312"/>
                <w:sz w:val="16"/>
                <w:b/>
                <w:color w:val="000000"/>
              </w:rPr>
              <w:t>二、车辆技术要求及配置</w:t>
            </w:r>
          </w:p>
          <w:p>
            <w:pPr>
              <w:pStyle w:val="null3"/>
              <w:ind w:firstLine="462"/>
              <w:jc w:val="left"/>
            </w:pPr>
            <w:r>
              <w:rPr>
                <w:rFonts w:ascii="仿宋_GB2312" w:hAnsi="仿宋_GB2312" w:cs="仿宋_GB2312" w:eastAsia="仿宋_GB2312"/>
                <w:sz w:val="16"/>
                <w:b/>
                <w:color w:val="000000"/>
              </w:rPr>
              <w:t>（一）车辆技术要求</w:t>
            </w:r>
          </w:p>
          <w:p>
            <w:pPr>
              <w:pStyle w:val="null3"/>
              <w:ind w:firstLine="466"/>
              <w:jc w:val="left"/>
            </w:pPr>
            <w:r>
              <w:rPr>
                <w:rFonts w:ascii="仿宋_GB2312" w:hAnsi="仿宋_GB2312" w:cs="仿宋_GB2312" w:eastAsia="仿宋_GB2312"/>
                <w:sz w:val="16"/>
                <w:b/>
                <w:color w:val="000000"/>
              </w:rPr>
              <w:t>1.运营资质：</w:t>
            </w:r>
            <w:r>
              <w:rPr>
                <w:rFonts w:ascii="仿宋_GB2312" w:hAnsi="仿宋_GB2312" w:cs="仿宋_GB2312" w:eastAsia="仿宋_GB2312"/>
                <w:sz w:val="16"/>
                <w:color w:val="000000"/>
              </w:rPr>
              <w:t>参与保障车辆需持有效且审验正常的《道路运输</w:t>
            </w:r>
            <w:r>
              <w:rPr>
                <w:rFonts w:ascii="仿宋_GB2312" w:hAnsi="仿宋_GB2312" w:cs="仿宋_GB2312" w:eastAsia="仿宋_GB2312"/>
                <w:sz w:val="16"/>
                <w:color w:val="000000"/>
              </w:rPr>
              <w:t>证》</w:t>
            </w:r>
            <w:r>
              <w:rPr>
                <w:rFonts w:ascii="仿宋_GB2312" w:hAnsi="仿宋_GB2312" w:cs="仿宋_GB2312" w:eastAsia="仿宋_GB2312"/>
                <w:sz w:val="16"/>
                <w:color w:val="000000"/>
              </w:rPr>
              <w:t>。</w:t>
            </w:r>
          </w:p>
          <w:p>
            <w:pPr>
              <w:pStyle w:val="null3"/>
              <w:ind w:firstLine="478"/>
              <w:jc w:val="left"/>
            </w:pPr>
            <w:r>
              <w:rPr>
                <w:rFonts w:ascii="仿宋_GB2312" w:hAnsi="仿宋_GB2312" w:cs="仿宋_GB2312" w:eastAsia="仿宋_GB2312"/>
                <w:sz w:val="16"/>
                <w:b/>
                <w:color w:val="000000"/>
              </w:rPr>
              <w:t>2</w:t>
            </w:r>
            <w:r>
              <w:rPr>
                <w:rFonts w:ascii="仿宋_GB2312" w:hAnsi="仿宋_GB2312" w:cs="仿宋_GB2312" w:eastAsia="仿宋_GB2312"/>
                <w:sz w:val="16"/>
                <w:b/>
                <w:color w:val="000000"/>
              </w:rPr>
              <w:t>.动态监控：</w:t>
            </w:r>
            <w:r>
              <w:rPr>
                <w:rFonts w:ascii="仿宋_GB2312" w:hAnsi="仿宋_GB2312" w:cs="仿宋_GB2312" w:eastAsia="仿宋_GB2312"/>
                <w:sz w:val="16"/>
                <w:color w:val="000000"/>
              </w:rPr>
              <w:t>安装符合</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JT/T 794</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标准的卫星定位装置，设备数据需实时接</w:t>
            </w:r>
            <w:r>
              <w:rPr>
                <w:rFonts w:ascii="仿宋_GB2312" w:hAnsi="仿宋_GB2312" w:cs="仿宋_GB2312" w:eastAsia="仿宋_GB2312"/>
                <w:sz w:val="16"/>
                <w:color w:val="000000"/>
              </w:rPr>
              <w:t>入《道路运输车辆公共服务平台》，支持轨迹查</w:t>
            </w:r>
            <w:r>
              <w:rPr>
                <w:rFonts w:ascii="仿宋_GB2312" w:hAnsi="仿宋_GB2312" w:cs="仿宋_GB2312" w:eastAsia="仿宋_GB2312"/>
                <w:sz w:val="16"/>
                <w:color w:val="000000"/>
              </w:rPr>
              <w:t>询、超速报警等功能。</w:t>
            </w:r>
          </w:p>
          <w:p>
            <w:pPr>
              <w:pStyle w:val="null3"/>
              <w:ind w:firstLine="476"/>
              <w:jc w:val="left"/>
            </w:pPr>
            <w:r>
              <w:rPr>
                <w:rFonts w:ascii="仿宋_GB2312" w:hAnsi="仿宋_GB2312" w:cs="仿宋_GB2312" w:eastAsia="仿宋_GB2312"/>
                <w:sz w:val="16"/>
                <w:color w:val="000000"/>
              </w:rPr>
              <w:t>3、车辆要求：企业自有车辆总数300台以上，其中大、中型以上车辆200台以上。</w:t>
            </w:r>
          </w:p>
          <w:p>
            <w:pPr>
              <w:pStyle w:val="null3"/>
              <w:ind w:firstLine="462"/>
              <w:jc w:val="left"/>
            </w:pPr>
            <w:r>
              <w:rPr>
                <w:rFonts w:ascii="仿宋_GB2312" w:hAnsi="仿宋_GB2312" w:cs="仿宋_GB2312" w:eastAsia="仿宋_GB2312"/>
                <w:sz w:val="16"/>
                <w:b/>
                <w:color w:val="000000"/>
              </w:rPr>
              <w:t>（二）车辆配置标准</w:t>
            </w:r>
          </w:p>
          <w:p>
            <w:pPr>
              <w:pStyle w:val="null3"/>
              <w:ind w:firstLine="480"/>
              <w:jc w:val="left"/>
            </w:pPr>
            <w:r>
              <w:rPr>
                <w:rFonts w:ascii="仿宋_GB2312" w:hAnsi="仿宋_GB2312" w:cs="仿宋_GB2312" w:eastAsia="仿宋_GB2312"/>
                <w:sz w:val="16"/>
                <w:color w:val="000000"/>
              </w:rPr>
              <w:t>大型客车（</w:t>
            </w:r>
            <w:r>
              <w:rPr>
                <w:rFonts w:ascii="仿宋_GB2312" w:hAnsi="仿宋_GB2312" w:cs="仿宋_GB2312" w:eastAsia="仿宋_GB2312"/>
                <w:sz w:val="16"/>
                <w:color w:val="000000"/>
              </w:rPr>
              <w:t>车身长度大于9米，且小于等于12米），</w:t>
            </w:r>
            <w:r>
              <w:rPr>
                <w:rFonts w:ascii="仿宋_GB2312" w:hAnsi="仿宋_GB2312" w:cs="仿宋_GB2312" w:eastAsia="仿宋_GB2312"/>
                <w:sz w:val="16"/>
                <w:color w:val="000000"/>
              </w:rPr>
              <w:t>不少于200辆；单车单日租赁费用最高不超过2000元</w:t>
            </w:r>
            <w:r>
              <w:rPr>
                <w:rFonts w:ascii="仿宋_GB2312" w:hAnsi="仿宋_GB2312" w:cs="仿宋_GB2312" w:eastAsia="仿宋_GB2312"/>
                <w:sz w:val="16"/>
                <w:color w:val="000000"/>
              </w:rPr>
              <w:t>。</w:t>
            </w:r>
          </w:p>
          <w:p>
            <w:pPr>
              <w:pStyle w:val="null3"/>
              <w:ind w:firstLine="480"/>
              <w:jc w:val="left"/>
            </w:pPr>
            <w:r>
              <w:rPr>
                <w:rFonts w:ascii="仿宋_GB2312" w:hAnsi="仿宋_GB2312" w:cs="仿宋_GB2312" w:eastAsia="仿宋_GB2312"/>
                <w:sz w:val="16"/>
                <w:color w:val="000000"/>
              </w:rPr>
              <w:t>中型客车（</w:t>
            </w:r>
            <w:r>
              <w:rPr>
                <w:rFonts w:ascii="仿宋_GB2312" w:hAnsi="仿宋_GB2312" w:cs="仿宋_GB2312" w:eastAsia="仿宋_GB2312"/>
                <w:sz w:val="16"/>
                <w:color w:val="000000"/>
              </w:rPr>
              <w:t>车身长度大于6米，且小于等于9米</w:t>
            </w:r>
            <w:r>
              <w:rPr>
                <w:rFonts w:ascii="仿宋_GB2312" w:hAnsi="仿宋_GB2312" w:cs="仿宋_GB2312" w:eastAsia="仿宋_GB2312"/>
                <w:sz w:val="16"/>
                <w:color w:val="000000"/>
              </w:rPr>
              <w:t>），</w:t>
            </w:r>
            <w:r>
              <w:rPr>
                <w:rFonts w:ascii="仿宋_GB2312" w:hAnsi="仿宋_GB2312" w:cs="仿宋_GB2312" w:eastAsia="仿宋_GB2312"/>
                <w:sz w:val="16"/>
                <w:color w:val="000000"/>
              </w:rPr>
              <w:t>不少于40辆；</w:t>
            </w:r>
            <w:r>
              <w:rPr>
                <w:rFonts w:ascii="仿宋_GB2312" w:hAnsi="仿宋_GB2312" w:cs="仿宋_GB2312" w:eastAsia="仿宋_GB2312"/>
                <w:sz w:val="16"/>
                <w:color w:val="000000"/>
              </w:rPr>
              <w:t>单车单日租赁费用最高不超过1500元。</w:t>
            </w:r>
          </w:p>
          <w:p>
            <w:pPr>
              <w:pStyle w:val="null3"/>
              <w:ind w:firstLine="480"/>
              <w:jc w:val="left"/>
            </w:pPr>
            <w:r>
              <w:rPr>
                <w:rFonts w:ascii="仿宋_GB2312" w:hAnsi="仿宋_GB2312" w:cs="仿宋_GB2312" w:eastAsia="仿宋_GB2312"/>
                <w:sz w:val="16"/>
                <w:color w:val="000000"/>
              </w:rPr>
              <w:t>小型客车（</w:t>
            </w:r>
            <w:r>
              <w:rPr>
                <w:rFonts w:ascii="仿宋_GB2312" w:hAnsi="仿宋_GB2312" w:cs="仿宋_GB2312" w:eastAsia="仿宋_GB2312"/>
                <w:sz w:val="16"/>
                <w:color w:val="000000"/>
              </w:rPr>
              <w:t>车身长度小于等于6米</w:t>
            </w:r>
            <w:r>
              <w:rPr>
                <w:rFonts w:ascii="仿宋_GB2312" w:hAnsi="仿宋_GB2312" w:cs="仿宋_GB2312" w:eastAsia="仿宋_GB2312"/>
                <w:sz w:val="16"/>
                <w:color w:val="000000"/>
              </w:rPr>
              <w:t>），</w:t>
            </w:r>
            <w:r>
              <w:rPr>
                <w:rFonts w:ascii="仿宋_GB2312" w:hAnsi="仿宋_GB2312" w:cs="仿宋_GB2312" w:eastAsia="仿宋_GB2312"/>
                <w:sz w:val="16"/>
                <w:color w:val="000000"/>
              </w:rPr>
              <w:t>不少于40辆；</w:t>
            </w:r>
            <w:r>
              <w:rPr>
                <w:rFonts w:ascii="仿宋_GB2312" w:hAnsi="仿宋_GB2312" w:cs="仿宋_GB2312" w:eastAsia="仿宋_GB2312"/>
                <w:sz w:val="16"/>
                <w:color w:val="000000"/>
              </w:rPr>
              <w:t>单车单日租赁费用最高不超过1000元。</w:t>
            </w:r>
          </w:p>
          <w:p>
            <w:pPr>
              <w:pStyle w:val="null3"/>
              <w:ind w:firstLine="480"/>
              <w:jc w:val="left"/>
            </w:pPr>
            <w:r>
              <w:rPr>
                <w:rFonts w:ascii="仿宋_GB2312" w:hAnsi="仿宋_GB2312" w:cs="仿宋_GB2312" w:eastAsia="仿宋_GB2312"/>
              </w:rPr>
              <w:t>结算方式：本项目最终结算费用按照车辆实际使用数量、对应车型单日单价及实际使用天数核算，计算公式为：最终结算费用=实际使用车辆数量×对应车型单日单价×实际使用天数。</w:t>
            </w:r>
          </w:p>
          <w:p>
            <w:pPr>
              <w:pStyle w:val="null3"/>
              <w:ind w:firstLine="480"/>
              <w:jc w:val="left"/>
            </w:pPr>
            <w:r>
              <w:rPr>
                <w:rFonts w:ascii="仿宋_GB2312" w:hAnsi="仿宋_GB2312" w:cs="仿宋_GB2312" w:eastAsia="仿宋_GB2312"/>
                <w:sz w:val="16"/>
                <w:b/>
                <w:color w:val="000000"/>
              </w:rPr>
              <w:t>三、服务标准</w:t>
            </w:r>
          </w:p>
          <w:p>
            <w:pPr>
              <w:pStyle w:val="null3"/>
              <w:ind w:firstLine="462"/>
              <w:jc w:val="left"/>
            </w:pPr>
            <w:r>
              <w:rPr>
                <w:rFonts w:ascii="仿宋_GB2312" w:hAnsi="仿宋_GB2312" w:cs="仿宋_GB2312" w:eastAsia="仿宋_GB2312"/>
                <w:sz w:val="16"/>
                <w:b/>
                <w:color w:val="000000"/>
              </w:rPr>
              <w:t>（一）驾驶员要求</w:t>
            </w:r>
          </w:p>
          <w:p>
            <w:pPr>
              <w:pStyle w:val="null3"/>
              <w:ind w:firstLine="466"/>
              <w:jc w:val="left"/>
            </w:pPr>
            <w:r>
              <w:rPr>
                <w:rFonts w:ascii="仿宋_GB2312" w:hAnsi="仿宋_GB2312" w:cs="仿宋_GB2312" w:eastAsia="仿宋_GB2312"/>
                <w:sz w:val="16"/>
                <w:b/>
                <w:color w:val="000000"/>
              </w:rPr>
              <w:t>1.资质要求：</w:t>
            </w:r>
            <w:r>
              <w:rPr>
                <w:rFonts w:ascii="仿宋_GB2312" w:hAnsi="仿宋_GB2312" w:cs="仿宋_GB2312" w:eastAsia="仿宋_GB2312"/>
                <w:sz w:val="16"/>
                <w:color w:val="000000"/>
              </w:rPr>
              <w:t>持所驾驶车辆对应的驾驶证、道路旅客运输从业资格</w:t>
            </w:r>
            <w:r>
              <w:rPr>
                <w:rFonts w:ascii="仿宋_GB2312" w:hAnsi="仿宋_GB2312" w:cs="仿宋_GB2312" w:eastAsia="仿宋_GB2312"/>
                <w:sz w:val="16"/>
                <w:color w:val="000000"/>
              </w:rPr>
              <w:t>证及所属</w:t>
            </w:r>
            <w:r>
              <w:rPr>
                <w:rFonts w:ascii="仿宋_GB2312" w:hAnsi="仿宋_GB2312" w:cs="仿宋_GB2312" w:eastAsia="仿宋_GB2312"/>
                <w:sz w:val="16"/>
                <w:color w:val="000000"/>
              </w:rPr>
              <w:t>企业配发的上岗证，近</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年无重大交通责任事故。</w:t>
            </w:r>
          </w:p>
          <w:p>
            <w:pPr>
              <w:pStyle w:val="null3"/>
              <w:ind w:firstLine="478"/>
              <w:jc w:val="left"/>
            </w:pPr>
            <w:r>
              <w:rPr>
                <w:rFonts w:ascii="仿宋_GB2312" w:hAnsi="仿宋_GB2312" w:cs="仿宋_GB2312" w:eastAsia="仿宋_GB2312"/>
                <w:sz w:val="16"/>
                <w:b/>
                <w:color w:val="000000"/>
              </w:rPr>
              <w:t>2.职业素养：</w:t>
            </w:r>
            <w:r>
              <w:rPr>
                <w:rFonts w:ascii="仿宋_GB2312" w:hAnsi="仿宋_GB2312" w:cs="仿宋_GB2312" w:eastAsia="仿宋_GB2312"/>
                <w:sz w:val="16"/>
                <w:color w:val="000000"/>
              </w:rPr>
              <w:t>具备良好沟通能力，接受过礼仪服务、应急救护专项培训。</w:t>
            </w:r>
          </w:p>
          <w:p>
            <w:pPr>
              <w:pStyle w:val="null3"/>
              <w:ind w:firstLine="466"/>
              <w:jc w:val="left"/>
            </w:pPr>
            <w:r>
              <w:rPr>
                <w:rFonts w:ascii="仿宋_GB2312" w:hAnsi="仿宋_GB2312" w:cs="仿宋_GB2312" w:eastAsia="仿宋_GB2312"/>
                <w:sz w:val="16"/>
                <w:b/>
                <w:color w:val="000000"/>
              </w:rPr>
              <w:t>3.服务要求：</w:t>
            </w:r>
            <w:r>
              <w:rPr>
                <w:rFonts w:ascii="仿宋_GB2312" w:hAnsi="仿宋_GB2312" w:cs="仿宋_GB2312" w:eastAsia="仿宋_GB2312"/>
                <w:sz w:val="16"/>
                <w:color w:val="000000"/>
              </w:rPr>
              <w:t>驾驶员上岗前必须经过统一培训且通过考核，在合同服务期内</w:t>
            </w:r>
            <w:r>
              <w:rPr>
                <w:rFonts w:ascii="仿宋_GB2312" w:hAnsi="仿宋_GB2312" w:cs="仿宋_GB2312" w:eastAsia="仿宋_GB2312"/>
                <w:sz w:val="16"/>
                <w:color w:val="000000"/>
              </w:rPr>
              <w:t>不可调换驾驶员，同时每辆车需配备一名随车安全引导员，负责乘客的引导及车</w:t>
            </w:r>
            <w:r>
              <w:rPr>
                <w:rFonts w:ascii="仿宋_GB2312" w:hAnsi="仿宋_GB2312" w:cs="仿宋_GB2312" w:eastAsia="仿宋_GB2312"/>
                <w:sz w:val="16"/>
                <w:color w:val="000000"/>
              </w:rPr>
              <w:t>辆安全防范</w:t>
            </w:r>
            <w:r>
              <w:rPr>
                <w:rFonts w:ascii="仿宋_GB2312" w:hAnsi="仿宋_GB2312" w:cs="仿宋_GB2312" w:eastAsia="仿宋_GB2312"/>
                <w:sz w:val="16"/>
                <w:color w:val="000000"/>
              </w:rPr>
              <w:t>。</w:t>
            </w:r>
          </w:p>
          <w:p>
            <w:pPr>
              <w:pStyle w:val="null3"/>
              <w:ind w:firstLine="462"/>
              <w:jc w:val="left"/>
            </w:pPr>
            <w:r>
              <w:rPr>
                <w:rFonts w:ascii="仿宋_GB2312" w:hAnsi="仿宋_GB2312" w:cs="仿宋_GB2312" w:eastAsia="仿宋_GB2312"/>
                <w:sz w:val="16"/>
                <w:b/>
                <w:color w:val="000000"/>
              </w:rPr>
              <w:t>（二）运行规范</w:t>
            </w:r>
          </w:p>
          <w:p>
            <w:pPr>
              <w:pStyle w:val="null3"/>
              <w:ind w:firstLine="478"/>
              <w:jc w:val="left"/>
            </w:pPr>
            <w:r>
              <w:rPr>
                <w:rFonts w:ascii="仿宋_GB2312" w:hAnsi="仿宋_GB2312" w:cs="仿宋_GB2312" w:eastAsia="仿宋_GB2312"/>
                <w:sz w:val="16"/>
                <w:b/>
                <w:color w:val="000000"/>
              </w:rPr>
              <w:t>1.时间管理：</w:t>
            </w:r>
            <w:r>
              <w:rPr>
                <w:rFonts w:ascii="仿宋_GB2312" w:hAnsi="仿宋_GB2312" w:cs="仿宋_GB2312" w:eastAsia="仿宋_GB2312"/>
                <w:sz w:val="16"/>
                <w:color w:val="000000"/>
              </w:rPr>
              <w:t>提前</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30</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分钟到达指定地点</w:t>
            </w:r>
            <w:r>
              <w:rPr>
                <w:rFonts w:ascii="仿宋_GB2312" w:hAnsi="仿宋_GB2312" w:cs="仿宋_GB2312" w:eastAsia="仿宋_GB2312"/>
                <w:sz w:val="16"/>
                <w:color w:val="000000"/>
              </w:rPr>
              <w:t>，完成车辆清洁、安全检查并提交</w:t>
            </w:r>
            <w:r>
              <w:rPr>
                <w:rFonts w:ascii="仿宋_GB2312" w:hAnsi="仿宋_GB2312" w:cs="仿宋_GB2312" w:eastAsia="仿宋_GB2312"/>
                <w:sz w:val="16"/>
                <w:color w:val="000000"/>
              </w:rPr>
              <w:t>签到记录。</w:t>
            </w:r>
          </w:p>
          <w:p>
            <w:pPr>
              <w:pStyle w:val="null3"/>
              <w:ind w:firstLine="466"/>
              <w:jc w:val="left"/>
            </w:pPr>
            <w:r>
              <w:rPr>
                <w:rFonts w:ascii="仿宋_GB2312" w:hAnsi="仿宋_GB2312" w:cs="仿宋_GB2312" w:eastAsia="仿宋_GB2312"/>
                <w:sz w:val="16"/>
                <w:b/>
                <w:color w:val="000000"/>
              </w:rPr>
              <w:t>2.行车安全：</w:t>
            </w:r>
            <w:r>
              <w:rPr>
                <w:rFonts w:ascii="仿宋_GB2312" w:hAnsi="仿宋_GB2312" w:cs="仿宋_GB2312" w:eastAsia="仿宋_GB2312"/>
                <w:sz w:val="16"/>
                <w:color w:val="000000"/>
              </w:rPr>
              <w:t>场馆区域限速</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20km/h，禁止鸣笛；市区路段按规定限速行驶，</w:t>
            </w:r>
            <w:r>
              <w:rPr>
                <w:rFonts w:ascii="仿宋_GB2312" w:hAnsi="仿宋_GB2312" w:cs="仿宋_GB2312" w:eastAsia="仿宋_GB2312"/>
                <w:sz w:val="16"/>
                <w:color w:val="000000"/>
              </w:rPr>
              <w:t>每</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4</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小时强制休息</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20</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分钟，全天连续驾驶不超过8</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小时。</w:t>
            </w:r>
          </w:p>
          <w:p>
            <w:pPr>
              <w:pStyle w:val="null3"/>
              <w:ind w:firstLine="438"/>
              <w:jc w:val="left"/>
            </w:pPr>
            <w:r>
              <w:rPr>
                <w:rFonts w:ascii="仿宋_GB2312" w:hAnsi="仿宋_GB2312" w:cs="仿宋_GB2312" w:eastAsia="仿宋_GB2312"/>
                <w:sz w:val="16"/>
                <w:b/>
                <w:color w:val="000000"/>
              </w:rPr>
              <w:t>3.车况记录：</w:t>
            </w:r>
            <w:r>
              <w:rPr>
                <w:rFonts w:ascii="仿宋_GB2312" w:hAnsi="仿宋_GB2312" w:cs="仿宋_GB2312" w:eastAsia="仿宋_GB2312"/>
                <w:sz w:val="16"/>
                <w:color w:val="000000"/>
              </w:rPr>
              <w:t>每日运营前、中、后进行车辆检查，填写《车辆运行日志》</w:t>
            </w:r>
            <w:r>
              <w:rPr>
                <w:rFonts w:ascii="仿宋_GB2312" w:hAnsi="仿宋_GB2312" w:cs="仿宋_GB2312" w:eastAsia="仿宋_GB2312"/>
                <w:sz w:val="16"/>
                <w:color w:val="000000"/>
              </w:rPr>
              <w:t>，</w:t>
            </w:r>
            <w:r>
              <w:rPr>
                <w:rFonts w:ascii="仿宋_GB2312" w:hAnsi="仿宋_GB2312" w:cs="仿宋_GB2312" w:eastAsia="仿宋_GB2312"/>
                <w:sz w:val="16"/>
                <w:color w:val="000000"/>
              </w:rPr>
              <w:t>实时上报调度中心。</w:t>
            </w:r>
          </w:p>
          <w:p>
            <w:pPr>
              <w:pStyle w:val="null3"/>
              <w:ind w:firstLine="480"/>
              <w:jc w:val="left"/>
            </w:pPr>
            <w:r>
              <w:rPr>
                <w:rFonts w:ascii="仿宋_GB2312" w:hAnsi="仿宋_GB2312" w:cs="仿宋_GB2312" w:eastAsia="仿宋_GB2312"/>
                <w:sz w:val="16"/>
                <w:b/>
                <w:color w:val="000000"/>
              </w:rPr>
              <w:t>（三）应急响应</w:t>
            </w:r>
          </w:p>
          <w:p>
            <w:pPr>
              <w:pStyle w:val="null3"/>
              <w:ind w:firstLine="474"/>
              <w:jc w:val="left"/>
            </w:pPr>
            <w:r>
              <w:rPr>
                <w:rFonts w:ascii="仿宋_GB2312" w:hAnsi="仿宋_GB2312" w:cs="仿宋_GB2312" w:eastAsia="仿宋_GB2312"/>
                <w:sz w:val="16"/>
                <w:b/>
                <w:color w:val="000000"/>
              </w:rPr>
              <w:t>1.车辆替补：</w:t>
            </w:r>
            <w:r>
              <w:rPr>
                <w:rFonts w:ascii="仿宋_GB2312" w:hAnsi="仿宋_GB2312" w:cs="仿宋_GB2312" w:eastAsia="仿宋_GB2312"/>
                <w:sz w:val="16"/>
                <w:color w:val="000000"/>
              </w:rPr>
              <w:t>故障车辆需在</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15</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分钟内调度替补车辆到位，替补车辆配置不得低于原车辆标准。</w:t>
            </w:r>
          </w:p>
          <w:p>
            <w:pPr>
              <w:pStyle w:val="null3"/>
              <w:ind w:firstLine="466"/>
              <w:jc w:val="left"/>
            </w:pPr>
            <w:r>
              <w:rPr>
                <w:rFonts w:ascii="仿宋_GB2312" w:hAnsi="仿宋_GB2312" w:cs="仿宋_GB2312" w:eastAsia="仿宋_GB2312"/>
                <w:sz w:val="16"/>
                <w:b/>
                <w:color w:val="000000"/>
              </w:rPr>
              <w:t>2.路线调整：</w:t>
            </w:r>
            <w:r>
              <w:rPr>
                <w:rFonts w:ascii="仿宋_GB2312" w:hAnsi="仿宋_GB2312" w:cs="仿宋_GB2312" w:eastAsia="仿宋_GB2312"/>
                <w:sz w:val="16"/>
                <w:color w:val="000000"/>
              </w:rPr>
              <w:t>遇交通管制等特殊情况，需</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分钟内通知调度中心，经审批后</w:t>
            </w:r>
            <w:r>
              <w:rPr>
                <w:rFonts w:ascii="仿宋_GB2312" w:hAnsi="仿宋_GB2312" w:cs="仿宋_GB2312" w:eastAsia="仿宋_GB2312"/>
                <w:sz w:val="16"/>
                <w:color w:val="000000"/>
              </w:rPr>
              <w:t>按新路线行驶，并同步告知乘车人员。</w:t>
            </w:r>
          </w:p>
          <w:p>
            <w:pPr>
              <w:pStyle w:val="null3"/>
              <w:ind w:firstLine="466"/>
              <w:jc w:val="left"/>
            </w:pPr>
            <w:r>
              <w:rPr>
                <w:rFonts w:ascii="仿宋_GB2312" w:hAnsi="仿宋_GB2312" w:cs="仿宋_GB2312" w:eastAsia="仿宋_GB2312"/>
                <w:sz w:val="16"/>
                <w:b/>
                <w:color w:val="000000"/>
              </w:rPr>
              <w:t>3.突发处置：</w:t>
            </w:r>
            <w:r>
              <w:rPr>
                <w:rFonts w:ascii="仿宋_GB2312" w:hAnsi="仿宋_GB2312" w:cs="仿宋_GB2312" w:eastAsia="仿宋_GB2312"/>
                <w:sz w:val="16"/>
                <w:color w:val="000000"/>
              </w:rPr>
              <w:t>驾驶员需掌握火灾、交通事故等应急处置流程，车辆应配备破</w:t>
            </w:r>
            <w:r>
              <w:rPr>
                <w:rFonts w:ascii="仿宋_GB2312" w:hAnsi="仿宋_GB2312" w:cs="仿宋_GB2312" w:eastAsia="仿宋_GB2312"/>
                <w:sz w:val="16"/>
                <w:color w:val="000000"/>
              </w:rPr>
              <w:t>窗器、急救箱（含止血包扎用品、常用药品）及灭</w:t>
            </w:r>
            <w:r>
              <w:rPr>
                <w:rFonts w:ascii="仿宋_GB2312" w:hAnsi="仿宋_GB2312" w:cs="仿宋_GB2312" w:eastAsia="仿宋_GB2312"/>
                <w:sz w:val="16"/>
                <w:color w:val="000000"/>
              </w:rPr>
              <w:t>火器、防滑链、铁锹、三角木、</w:t>
            </w:r>
            <w:r>
              <w:rPr>
                <w:rFonts w:ascii="仿宋_GB2312" w:hAnsi="仿宋_GB2312" w:cs="仿宋_GB2312" w:eastAsia="仿宋_GB2312"/>
                <w:sz w:val="16"/>
                <w:color w:val="000000"/>
              </w:rPr>
              <w:t>沙袋、扫把等应急设施。</w:t>
            </w:r>
          </w:p>
          <w:p>
            <w:pPr>
              <w:pStyle w:val="null3"/>
              <w:ind w:firstLine="480"/>
              <w:jc w:val="left"/>
            </w:pPr>
            <w:r>
              <w:rPr>
                <w:rFonts w:ascii="仿宋_GB2312" w:hAnsi="仿宋_GB2312" w:cs="仿宋_GB2312" w:eastAsia="仿宋_GB2312"/>
                <w:sz w:val="16"/>
                <w:b/>
                <w:color w:val="000000"/>
              </w:rPr>
              <w:t>四、管理要求</w:t>
            </w:r>
          </w:p>
          <w:p>
            <w:pPr>
              <w:pStyle w:val="null3"/>
              <w:ind w:firstLine="462"/>
              <w:jc w:val="left"/>
            </w:pPr>
            <w:r>
              <w:rPr>
                <w:rFonts w:ascii="仿宋_GB2312" w:hAnsi="仿宋_GB2312" w:cs="仿宋_GB2312" w:eastAsia="仿宋_GB2312"/>
                <w:sz w:val="16"/>
                <w:b/>
                <w:color w:val="000000"/>
              </w:rPr>
              <w:t>（一）调度指挥</w:t>
            </w:r>
          </w:p>
          <w:p>
            <w:pPr>
              <w:pStyle w:val="null3"/>
              <w:ind w:firstLine="446"/>
              <w:jc w:val="left"/>
            </w:pPr>
            <w:r>
              <w:rPr>
                <w:rFonts w:ascii="仿宋_GB2312" w:hAnsi="仿宋_GB2312" w:cs="仿宋_GB2312" w:eastAsia="仿宋_GB2312"/>
                <w:sz w:val="16"/>
                <w:b/>
                <w:color w:val="000000"/>
              </w:rPr>
              <w:t>1.响应机制：</w:t>
            </w:r>
            <w:r>
              <w:rPr>
                <w:rFonts w:ascii="仿宋_GB2312" w:hAnsi="仿宋_GB2312" w:cs="仿宋_GB2312" w:eastAsia="仿宋_GB2312"/>
                <w:sz w:val="16"/>
                <w:color w:val="000000"/>
              </w:rPr>
              <w:t>建立</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24</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小时专属服务群组（含企业负责人、调度员、驾驶员</w:t>
            </w:r>
            <w:r>
              <w:rPr>
                <w:rFonts w:ascii="仿宋_GB2312" w:hAnsi="仿宋_GB2312" w:cs="仿宋_GB2312" w:eastAsia="仿宋_GB2312"/>
                <w:sz w:val="16"/>
                <w:color w:val="000000"/>
              </w:rPr>
              <w:t>），</w:t>
            </w:r>
            <w:r>
              <w:rPr>
                <w:rFonts w:ascii="仿宋_GB2312" w:hAnsi="仿宋_GB2312" w:cs="仿宋_GB2312" w:eastAsia="仿宋_GB2312"/>
                <w:sz w:val="16"/>
                <w:color w:val="000000"/>
              </w:rPr>
              <w:t>信息响应时效≤5</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分钟。</w:t>
            </w:r>
          </w:p>
          <w:p>
            <w:pPr>
              <w:pStyle w:val="null3"/>
              <w:ind w:firstLine="450"/>
              <w:jc w:val="left"/>
            </w:pPr>
            <w:r>
              <w:rPr>
                <w:rFonts w:ascii="仿宋_GB2312" w:hAnsi="仿宋_GB2312" w:cs="仿宋_GB2312" w:eastAsia="仿宋_GB2312"/>
                <w:sz w:val="16"/>
                <w:b/>
                <w:color w:val="000000"/>
              </w:rPr>
              <w:t>2.智能调度：</w:t>
            </w:r>
            <w:r>
              <w:rPr>
                <w:rFonts w:ascii="仿宋_GB2312" w:hAnsi="仿宋_GB2312" w:cs="仿宋_GB2312" w:eastAsia="仿宋_GB2312"/>
                <w:sz w:val="16"/>
                <w:color w:val="000000"/>
              </w:rPr>
              <w:t>参与保障任务的车辆统一由调度中心调度，动态调整</w:t>
            </w:r>
            <w:r>
              <w:rPr>
                <w:rFonts w:ascii="仿宋_GB2312" w:hAnsi="仿宋_GB2312" w:cs="仿宋_GB2312" w:eastAsia="仿宋_GB2312"/>
                <w:sz w:val="16"/>
                <w:color w:val="000000"/>
              </w:rPr>
              <w:t>发车计划。</w:t>
            </w:r>
            <w:r>
              <w:rPr>
                <w:rFonts w:ascii="仿宋_GB2312" w:hAnsi="仿宋_GB2312" w:cs="仿宋_GB2312" w:eastAsia="仿宋_GB2312"/>
                <w:sz w:val="16"/>
                <w:color w:val="000000"/>
              </w:rPr>
              <w:t>车辆停放统一由调度中心安排。</w:t>
            </w:r>
          </w:p>
          <w:p>
            <w:pPr>
              <w:pStyle w:val="null3"/>
              <w:ind w:firstLine="480"/>
              <w:jc w:val="left"/>
            </w:pPr>
            <w:r>
              <w:rPr>
                <w:rFonts w:ascii="仿宋_GB2312" w:hAnsi="仿宋_GB2312" w:cs="仿宋_GB2312" w:eastAsia="仿宋_GB2312"/>
                <w:sz w:val="16"/>
                <w:b/>
                <w:color w:val="000000"/>
              </w:rPr>
              <w:t>（二）保险保障</w:t>
            </w:r>
          </w:p>
          <w:p>
            <w:pPr>
              <w:pStyle w:val="null3"/>
              <w:ind w:firstLine="466"/>
              <w:jc w:val="left"/>
            </w:pPr>
            <w:r>
              <w:rPr>
                <w:rFonts w:ascii="仿宋_GB2312" w:hAnsi="仿宋_GB2312" w:cs="仿宋_GB2312" w:eastAsia="仿宋_GB2312"/>
                <w:sz w:val="16"/>
                <w:b/>
                <w:color w:val="000000"/>
              </w:rPr>
              <w:t>1.险种要求：</w:t>
            </w:r>
            <w:r>
              <w:rPr>
                <w:rFonts w:ascii="仿宋_GB2312" w:hAnsi="仿宋_GB2312" w:cs="仿宋_GB2312" w:eastAsia="仿宋_GB2312"/>
                <w:sz w:val="16"/>
                <w:color w:val="000000"/>
              </w:rPr>
              <w:t>车辆投保交强险、车损</w:t>
            </w:r>
            <w:r>
              <w:rPr>
                <w:rFonts w:ascii="仿宋_GB2312" w:hAnsi="仿宋_GB2312" w:cs="仿宋_GB2312" w:eastAsia="仿宋_GB2312"/>
                <w:sz w:val="16"/>
                <w:color w:val="000000"/>
              </w:rPr>
              <w:t>险、第三者责任险和承运人责任险，且承运人责任险不低于</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50</w:t>
            </w:r>
            <w:r>
              <w:rPr>
                <w:rFonts w:ascii="仿宋_GB2312" w:hAnsi="仿宋_GB2312" w:cs="仿宋_GB2312" w:eastAsia="仿宋_GB2312"/>
                <w:sz w:val="16"/>
                <w:color w:val="000000"/>
              </w:rPr>
              <w:t>万元/座、第三</w:t>
            </w:r>
            <w:r>
              <w:rPr>
                <w:rFonts w:ascii="仿宋_GB2312" w:hAnsi="仿宋_GB2312" w:cs="仿宋_GB2312" w:eastAsia="仿宋_GB2312"/>
                <w:sz w:val="16"/>
                <w:color w:val="000000"/>
              </w:rPr>
              <w:t>者责任险不低于</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200</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万元。</w:t>
            </w:r>
          </w:p>
          <w:p>
            <w:pPr>
              <w:pStyle w:val="null3"/>
              <w:ind w:firstLine="486"/>
              <w:jc w:val="left"/>
            </w:pPr>
            <w:r>
              <w:rPr>
                <w:rFonts w:ascii="仿宋_GB2312" w:hAnsi="仿宋_GB2312" w:cs="仿宋_GB2312" w:eastAsia="仿宋_GB2312"/>
                <w:sz w:val="16"/>
                <w:b/>
                <w:color w:val="000000"/>
              </w:rPr>
              <w:t>2.保单提交：</w:t>
            </w:r>
            <w:r>
              <w:rPr>
                <w:rFonts w:ascii="仿宋_GB2312" w:hAnsi="仿宋_GB2312" w:cs="仿宋_GB2312" w:eastAsia="仿宋_GB2312"/>
                <w:sz w:val="16"/>
                <w:b/>
                <w:color w:val="000000"/>
              </w:rPr>
              <w:t>成交</w:t>
            </w:r>
            <w:r>
              <w:rPr>
                <w:rFonts w:ascii="仿宋_GB2312" w:hAnsi="仿宋_GB2312" w:cs="仿宋_GB2312" w:eastAsia="仿宋_GB2312"/>
                <w:sz w:val="16"/>
                <w:b/>
                <w:color w:val="000000"/>
              </w:rPr>
              <w:t>单位需在</w:t>
            </w:r>
            <w:r>
              <w:rPr>
                <w:rFonts w:ascii="仿宋_GB2312" w:hAnsi="仿宋_GB2312" w:cs="仿宋_GB2312" w:eastAsia="仿宋_GB2312"/>
                <w:sz w:val="16"/>
                <w:b/>
                <w:color w:val="000000"/>
              </w:rPr>
              <w:t>成交</w:t>
            </w:r>
            <w:r>
              <w:rPr>
                <w:rFonts w:ascii="仿宋_GB2312" w:hAnsi="仿宋_GB2312" w:cs="仿宋_GB2312" w:eastAsia="仿宋_GB2312"/>
                <w:sz w:val="16"/>
                <w:b/>
                <w:color w:val="000000"/>
              </w:rPr>
              <w:t>后三日内提供保险单原件及复印件，保单</w:t>
            </w:r>
            <w:r>
              <w:rPr>
                <w:rFonts w:ascii="仿宋_GB2312" w:hAnsi="仿宋_GB2312" w:cs="仿宋_GB2312" w:eastAsia="仿宋_GB2312"/>
                <w:sz w:val="16"/>
                <w:b/>
                <w:color w:val="000000"/>
              </w:rPr>
              <w:t>有效期需覆盖服务周期。</w:t>
            </w:r>
          </w:p>
          <w:p>
            <w:pPr>
              <w:pStyle w:val="null3"/>
              <w:ind w:firstLine="480"/>
              <w:jc w:val="left"/>
            </w:pPr>
            <w:r>
              <w:rPr>
                <w:rFonts w:ascii="仿宋_GB2312" w:hAnsi="仿宋_GB2312" w:cs="仿宋_GB2312" w:eastAsia="仿宋_GB2312"/>
                <w:sz w:val="16"/>
                <w:b/>
                <w:color w:val="000000"/>
              </w:rPr>
              <w:t>（三）惩罚机制</w:t>
            </w:r>
          </w:p>
          <w:p>
            <w:pPr>
              <w:pStyle w:val="null3"/>
              <w:ind w:firstLine="454"/>
              <w:jc w:val="left"/>
            </w:pPr>
            <w:r>
              <w:rPr>
                <w:rFonts w:ascii="仿宋_GB2312" w:hAnsi="仿宋_GB2312" w:cs="仿宋_GB2312" w:eastAsia="仿宋_GB2312"/>
                <w:sz w:val="16"/>
                <w:b/>
                <w:color w:val="000000"/>
              </w:rPr>
              <w:t>1.违约处理：</w:t>
            </w:r>
          </w:p>
          <w:p>
            <w:pPr>
              <w:pStyle w:val="null3"/>
              <w:ind w:firstLine="460"/>
              <w:jc w:val="left"/>
            </w:pPr>
            <w:r>
              <w:rPr>
                <w:rFonts w:ascii="仿宋_GB2312" w:hAnsi="仿宋_GB2312" w:cs="仿宋_GB2312" w:eastAsia="仿宋_GB2312"/>
                <w:sz w:val="16"/>
                <w:color w:val="000000"/>
              </w:rPr>
              <w:t>迟到超过</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10</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分钟，按</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500</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元/次扣除服务费，因迟到造成严重的赛事服务事</w:t>
            </w:r>
            <w:r>
              <w:rPr>
                <w:rFonts w:ascii="仿宋_GB2312" w:hAnsi="仿宋_GB2312" w:cs="仿宋_GB2312" w:eastAsia="仿宋_GB2312"/>
                <w:sz w:val="16"/>
                <w:color w:val="000000"/>
              </w:rPr>
              <w:t>故的，同时按照合同约定扣除总服务费的</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w:t>
            </w:r>
          </w:p>
          <w:p>
            <w:pPr>
              <w:pStyle w:val="null3"/>
              <w:ind w:firstLine="464"/>
              <w:jc w:val="left"/>
            </w:pPr>
            <w:r>
              <w:rPr>
                <w:rFonts w:ascii="仿宋_GB2312" w:hAnsi="仿宋_GB2312" w:cs="仿宋_GB2312" w:eastAsia="仿宋_GB2312"/>
                <w:sz w:val="16"/>
                <w:color w:val="000000"/>
              </w:rPr>
              <w:t>未经调度中心审批同意，不按调度中心执行任务路线行驶，按</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w:t>
            </w:r>
            <w:r>
              <w:rPr>
                <w:rFonts w:ascii="仿宋_GB2312" w:hAnsi="仿宋_GB2312" w:cs="仿宋_GB2312" w:eastAsia="仿宋_GB2312"/>
                <w:sz w:val="16"/>
                <w:color w:val="000000"/>
              </w:rPr>
              <w:t>000</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元/次处</w:t>
            </w:r>
            <w:r>
              <w:rPr>
                <w:rFonts w:ascii="仿宋_GB2312" w:hAnsi="仿宋_GB2312" w:cs="仿宋_GB2312" w:eastAsia="仿宋_GB2312"/>
                <w:sz w:val="16"/>
                <w:color w:val="000000"/>
              </w:rPr>
              <w:t>罚，造成严重的赛事服务事故的，同时按照合同约定扣除总服务费的</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w:t>
            </w:r>
            <w:r>
              <w:rPr>
                <w:rFonts w:ascii="仿宋_GB2312" w:hAnsi="仿宋_GB2312" w:cs="仿宋_GB2312" w:eastAsia="仿宋_GB2312"/>
                <w:sz w:val="16"/>
                <w:color w:val="000000"/>
              </w:rPr>
              <w:t>%；</w:t>
            </w:r>
          </w:p>
          <w:p>
            <w:pPr>
              <w:pStyle w:val="null3"/>
              <w:ind w:firstLine="468"/>
              <w:jc w:val="both"/>
            </w:pPr>
            <w:r>
              <w:rPr>
                <w:rFonts w:ascii="仿宋_GB2312" w:hAnsi="仿宋_GB2312" w:cs="仿宋_GB2312" w:eastAsia="仿宋_GB2312"/>
                <w:sz w:val="16"/>
                <w:color w:val="000000"/>
              </w:rPr>
              <w:t>发生有责交通事故，除承担事故赔偿等法律责任外，按</w:t>
            </w:r>
            <w:r>
              <w:rPr>
                <w:rFonts w:ascii="仿宋_GB2312" w:hAnsi="仿宋_GB2312" w:cs="仿宋_GB2312" w:eastAsia="仿宋_GB2312"/>
                <w:sz w:val="16"/>
                <w:color w:val="000000"/>
              </w:rPr>
              <w:t>交警部门认定的事故</w:t>
            </w:r>
            <w:r>
              <w:rPr>
                <w:rFonts w:ascii="仿宋_GB2312" w:hAnsi="仿宋_GB2312" w:cs="仿宋_GB2312" w:eastAsia="仿宋_GB2312"/>
                <w:sz w:val="16"/>
                <w:color w:val="000000"/>
              </w:rPr>
              <w:t>责任比例扣除</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10%-30%服务费。（次要责任，扣除</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10%服务费；同等责任，扣除</w:t>
            </w:r>
            <w:r>
              <w:rPr>
                <w:rFonts w:ascii="仿宋_GB2312" w:hAnsi="仿宋_GB2312" w:cs="仿宋_GB2312" w:eastAsia="仿宋_GB2312"/>
                <w:sz w:val="16"/>
                <w:color w:val="000000"/>
              </w:rPr>
              <w:t>20%服务费；主要责任或全部责任，扣除</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30%服务</w:t>
            </w:r>
            <w:r>
              <w:rPr>
                <w:rFonts w:ascii="仿宋_GB2312" w:hAnsi="仿宋_GB2312" w:cs="仿宋_GB2312" w:eastAsia="仿宋_GB2312"/>
                <w:sz w:val="16"/>
                <w:color w:val="000000"/>
              </w:rPr>
              <w:t>费）</w:t>
            </w:r>
          </w:p>
          <w:p>
            <w:pPr>
              <w:pStyle w:val="null3"/>
              <w:ind w:firstLine="458"/>
              <w:jc w:val="left"/>
            </w:pPr>
            <w:r>
              <w:rPr>
                <w:rFonts w:ascii="仿宋_GB2312" w:hAnsi="仿宋_GB2312" w:cs="仿宋_GB2312" w:eastAsia="仿宋_GB2312"/>
                <w:sz w:val="16"/>
                <w:b/>
                <w:color w:val="000000"/>
              </w:rPr>
              <w:t>2.退出机制：</w:t>
            </w:r>
            <w:r>
              <w:rPr>
                <w:rFonts w:ascii="仿宋_GB2312" w:hAnsi="仿宋_GB2312" w:cs="仿宋_GB2312" w:eastAsia="仿宋_GB2312"/>
                <w:sz w:val="16"/>
                <w:color w:val="000000"/>
              </w:rPr>
              <w:t>累计</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次重大违约或发生</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次责任事故，立即终止合同并列入</w:t>
            </w:r>
            <w:r>
              <w:rPr>
                <w:rFonts w:ascii="仿宋_GB2312" w:hAnsi="仿宋_GB2312" w:cs="仿宋_GB2312" w:eastAsia="仿宋_GB2312"/>
                <w:sz w:val="16"/>
                <w:color w:val="000000"/>
              </w:rPr>
              <w:t>黑名单。</w:t>
            </w:r>
          </w:p>
          <w:p>
            <w:pPr>
              <w:pStyle w:val="null3"/>
              <w:ind w:firstLine="480"/>
              <w:jc w:val="left"/>
            </w:pPr>
            <w:r>
              <w:rPr>
                <w:rFonts w:ascii="仿宋_GB2312" w:hAnsi="仿宋_GB2312" w:cs="仿宋_GB2312" w:eastAsia="仿宋_GB2312"/>
                <w:sz w:val="16"/>
                <w:b/>
                <w:color w:val="000000"/>
              </w:rPr>
              <w:t>（四）安全保障措施</w:t>
            </w:r>
          </w:p>
          <w:p>
            <w:pPr>
              <w:pStyle w:val="null3"/>
              <w:ind w:firstLine="466"/>
              <w:jc w:val="left"/>
            </w:pPr>
            <w:r>
              <w:rPr>
                <w:rFonts w:ascii="仿宋_GB2312" w:hAnsi="仿宋_GB2312" w:cs="仿宋_GB2312" w:eastAsia="仿宋_GB2312"/>
                <w:sz w:val="16"/>
                <w:b/>
                <w:color w:val="000000"/>
              </w:rPr>
              <w:t>1.车辆安检：</w:t>
            </w:r>
            <w:r>
              <w:rPr>
                <w:rFonts w:ascii="仿宋_GB2312" w:hAnsi="仿宋_GB2312" w:cs="仿宋_GB2312" w:eastAsia="仿宋_GB2312"/>
                <w:sz w:val="16"/>
                <w:color w:val="000000"/>
              </w:rPr>
              <w:t>每日运营前进行制动、转向、灯光等系统检查，</w:t>
            </w:r>
            <w:r>
              <w:rPr>
                <w:rFonts w:ascii="仿宋_GB2312" w:hAnsi="仿宋_GB2312" w:cs="仿宋_GB2312" w:eastAsia="仿宋_GB2312"/>
                <w:sz w:val="16"/>
                <w:color w:val="000000"/>
              </w:rPr>
              <w:t>执行合同前</w:t>
            </w:r>
            <w:r>
              <w:rPr>
                <w:rFonts w:ascii="仿宋_GB2312" w:hAnsi="仿宋_GB2312" w:cs="仿宋_GB2312" w:eastAsia="仿宋_GB2312"/>
                <w:sz w:val="16"/>
                <w:color w:val="000000"/>
              </w:rPr>
              <w:t>行一</w:t>
            </w:r>
            <w:r>
              <w:rPr>
                <w:rFonts w:ascii="仿宋_GB2312" w:hAnsi="仿宋_GB2312" w:cs="仿宋_GB2312" w:eastAsia="仿宋_GB2312"/>
                <w:sz w:val="16"/>
                <w:color w:val="000000"/>
              </w:rPr>
              <w:t>次全面二级维护（附维修记录）。</w:t>
            </w:r>
          </w:p>
          <w:p>
            <w:pPr>
              <w:pStyle w:val="null3"/>
              <w:ind w:firstLine="466"/>
              <w:jc w:val="left"/>
            </w:pPr>
            <w:r>
              <w:rPr>
                <w:rFonts w:ascii="仿宋_GB2312" w:hAnsi="仿宋_GB2312" w:cs="仿宋_GB2312" w:eastAsia="仿宋_GB2312"/>
                <w:sz w:val="16"/>
                <w:b/>
                <w:color w:val="000000"/>
              </w:rPr>
              <w:t>2.驾驶员培训：</w:t>
            </w:r>
            <w:r>
              <w:rPr>
                <w:rFonts w:ascii="仿宋_GB2312" w:hAnsi="仿宋_GB2312" w:cs="仿宋_GB2312" w:eastAsia="仿宋_GB2312"/>
                <w:sz w:val="16"/>
                <w:color w:val="000000"/>
              </w:rPr>
              <w:t>中标后由</w:t>
            </w:r>
            <w:r>
              <w:rPr>
                <w:rFonts w:ascii="仿宋_GB2312" w:hAnsi="仿宋_GB2312" w:cs="仿宋_GB2312" w:eastAsia="仿宋_GB2312"/>
                <w:sz w:val="16"/>
                <w:color w:val="000000"/>
              </w:rPr>
              <w:t>陕西省第十八届运动会</w:t>
            </w:r>
            <w:r>
              <w:rPr>
                <w:rFonts w:ascii="仿宋_GB2312" w:hAnsi="仿宋_GB2312" w:cs="仿宋_GB2312" w:eastAsia="仿宋_GB2312"/>
                <w:sz w:val="16"/>
                <w:color w:val="000000"/>
              </w:rPr>
              <w:t>交通运输部统一组织开展专</w:t>
            </w:r>
            <w:r>
              <w:rPr>
                <w:rFonts w:ascii="仿宋_GB2312" w:hAnsi="仿宋_GB2312" w:cs="仿宋_GB2312" w:eastAsia="仿宋_GB2312"/>
                <w:sz w:val="16"/>
                <w:color w:val="000000"/>
              </w:rPr>
              <w:t>项培训（含赛事路线、保密规定、应急预案</w:t>
            </w:r>
            <w:r>
              <w:rPr>
                <w:rFonts w:ascii="仿宋_GB2312" w:hAnsi="仿宋_GB2312" w:cs="仿宋_GB2312" w:eastAsia="仿宋_GB2312"/>
                <w:sz w:val="16"/>
                <w:color w:val="000000"/>
              </w:rPr>
              <w:t>），</w:t>
            </w:r>
            <w:r>
              <w:rPr>
                <w:rFonts w:ascii="仿宋_GB2312" w:hAnsi="仿宋_GB2312" w:cs="仿宋_GB2312" w:eastAsia="仿宋_GB2312"/>
                <w:sz w:val="16"/>
                <w:color w:val="000000"/>
              </w:rPr>
              <w:t>考核合格后方可上岗，未参与培</w:t>
            </w:r>
            <w:r>
              <w:rPr>
                <w:rFonts w:ascii="仿宋_GB2312" w:hAnsi="仿宋_GB2312" w:cs="仿宋_GB2312" w:eastAsia="仿宋_GB2312"/>
                <w:sz w:val="16"/>
                <w:color w:val="000000"/>
              </w:rPr>
              <w:t>训及参与培训但未通过考核的驾驶员一律不得上岗。</w:t>
            </w:r>
          </w:p>
          <w:p>
            <w:pPr>
              <w:pStyle w:val="null3"/>
              <w:ind w:firstLine="466"/>
              <w:jc w:val="left"/>
            </w:pPr>
            <w:r>
              <w:rPr>
                <w:rFonts w:ascii="仿宋_GB2312" w:hAnsi="仿宋_GB2312" w:cs="仿宋_GB2312" w:eastAsia="仿宋_GB2312"/>
                <w:sz w:val="16"/>
                <w:b/>
                <w:color w:val="000000"/>
              </w:rPr>
              <w:t>3.安全例会：</w:t>
            </w:r>
            <w:r>
              <w:rPr>
                <w:rFonts w:ascii="仿宋_GB2312" w:hAnsi="仿宋_GB2312" w:cs="仿宋_GB2312" w:eastAsia="仿宋_GB2312"/>
                <w:sz w:val="16"/>
                <w:color w:val="000000"/>
              </w:rPr>
              <w:t>每周召开安全例会，分析运营数据，通报违规案例，落实整改措施。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自合同签订之日起至陕西省十八届运动会结束（具体以运动会赛程实际情况为准）。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进度款，运输保障结束撤场完成并经采购人验收合格后，达到付款条件起15个工作日内，支付合同总金额的60.0%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3、若采用保函形式缴纳保证金的供应商，需在文件递交截止之日前，将保函原件扫描件发送代理公司邮箱2268936619@qq.com。 4、需落实的政府采购政策： （1）《国务院办公厅关于在政府采购中实施本国产品标准及相关政策的通知》（国办发〔2025〕34号）政策； 若享受以上政策优惠的企业，提供相应声明函或财政部会同有关部门规定的有关证明文件。如有最新颁布的政府采购政策，按最新的文件执行。 （2）对本国产品的支持政策 ①政府采购活动中既有本国产品又有非本国产品参与竞争的，依法对本国产品给予价格评审优惠，对本国产品的报价给予20%的价格扣除，用扣除后的价格参与评审。 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关于符合本国产品标准的声明函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供应商应具有独立承担民事责任的能力且具备向采购人提供相关服务的企业法人或者自然人,企业法人应提供统一社会信用代码的营业执照；自然人提供身份证明文件；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供应商应授权合法的人员参加竞争性磋商全过程，其中法定代表人直接参加竞争性磋商的，须出具法人身份证，并与营业执照上信息一致。法定代表人授权代表参加竞争性磋商的，须出具法定代表人授权书、授权代表身份证及一年内在本单位连续三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具有履行合同所必须的设备和专业技术能力的承诺书</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具备有效的道路运输经营许可证及交通运输企业安全生产标准化等级二级及以上；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磋商保证金按要求缴纳；</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服务内容及服务邀请应答表 本国产品说明 中小企业声明函 商务应答表 报价表 中国境内生产的组件成本核算基本规则 资格证明文件.docx 响应文件封面 分项报价表.docx 残疾人福利性单位声明函 服务方案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服务内容及服务邀请应答表 本国产品说明 中小企业声明函 商务应答表 报价表 中国境内生产的组件成本核算基本规则 资格证明文件.docx 响应文件封面 分项报价表.docx 残疾人福利性单位声明函 服务方案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未超过本项目最高限价</w:t>
            </w:r>
          </w:p>
        </w:tc>
        <w:tc>
          <w:tcPr>
            <w:tcW w:type="dxa" w:w="1661"/>
          </w:tcPr>
          <w:p>
            <w:pPr>
              <w:pStyle w:val="null3"/>
            </w:pPr>
            <w:r>
              <w:rPr>
                <w:rFonts w:ascii="仿宋_GB2312" w:hAnsi="仿宋_GB2312" w:cs="仿宋_GB2312" w:eastAsia="仿宋_GB2312"/>
              </w:rPr>
              <w:t>服务内容及服务邀请应答表 本国产品说明 中小企业声明函 商务应答表 报价表 中国境内生产的组件成本核算基本规则 资格证明文件.docx 响应文件封面 分项报价表.docx 残疾人福利性单位声明函 服务方案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服务内容及服务邀请应答表 本国产品说明 中小企业声明函 商务应答表 报价表 中国境内生产的组件成本核算基本规则 资格证明文件.docx 响应文件封面 分项报价表.docx 残疾人福利性单位声明函 服务方案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1、评审内容：供应商针对本项目制定的总体服务方案，包含①整体服务策划，②流程安排，③服务方案； 2、评审标准： ①.完整性：服务方案须全面，思路清晰、分析透彻，内容完整、方案科学、合理； ②.可实施性；切合本项目实际情况，步骤明确、可操作性强； ③针对性：总体方案能够紧扣项目实际情况，专业性强、内容科学、合理。3、 赋分标准（满分15分）： ①每一项评审内容完全满足评审标准得5分；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供应商针对本项目制定管理制度，包含①车辆安全管理，②调度管理，③维修保养，④驾驶员管理，⑤应急处置；2、评审标准： ①完整性：保障措施须全面，完整、科学、合理；②可实施性；切合本项目实际情况，保证措施明确、可操作性强； ③针对性：保障措施能够紧扣项目实际情况，内容科学、合理。 赋分标准（满分15分）： ①每一项评审内容完全满足评审标准得3分；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针对本项目的应急预案</w:t>
            </w:r>
          </w:p>
        </w:tc>
        <w:tc>
          <w:tcPr>
            <w:tcW w:type="dxa" w:w="2492"/>
          </w:tcPr>
          <w:p>
            <w:pPr>
              <w:pStyle w:val="null3"/>
            </w:pPr>
            <w:r>
              <w:rPr>
                <w:rFonts w:ascii="仿宋_GB2312" w:hAnsi="仿宋_GB2312" w:cs="仿宋_GB2312" w:eastAsia="仿宋_GB2312"/>
              </w:rPr>
              <w:t>1、评审内容 ：提供针对本项目的应急预案，包含①赛事专项保障方案，②高峰期调度预案，③故障应急处置预案，④事故应急处置预案。2、评审标准 ①完整性：措施须全面，对评审内容中的各项要求有详细描述及说明； ②可实施性：切合本项目实际情况，措施步骤清晰、合理； ③针对性：措施能够紧扣项目实际情况，内容科学合理。 3、赋分标准（满分20分）： ①每一项评审内容完全满足评审标准得5分； ②每一项评审内容若存在不明确、不合理、不完整、针对性不强等方面，扣1.5分； 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评审内容：供应商提供拟派本项目工作人员组成情况，主要包含①岗位职责、分工；②驾驶员须持有与所驾车型相符的驾驶证，具备3年以上安全驾驶经验，近3年无重大交通责任事故记录（提供承诺）；③团队管理制度；④组织安排计划； 2、评审标准 ①完整性：组织机构的运行配备完善、各岗位人员分工明确合理。 ②针对性：人员数量充足，人员资格等符合岗位需求； ③专业性：人员相关岗位经验丰富，切合本项目实际情况； 3、赋分标准（满分12分） ①每完全满足每项得3分，②人员安排不合理，人员不充分每项扣0.5分，③未提供不得分。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1、评审内容：供应商提供针对本项目提供具体的培训方案，内容包括：①赛事礼仪，②安全行车，③应急处置培训计划，④培训记录。 2、评审标准 ①完整性：承诺须全面，对评审内容中的各项要求有详细描述及说明； ②可实施性：切合本项目实际情况，步骤清晰、合理，操作性强； ③针对性：承诺能够紧扣项目实际情况，内容科学合理。 3、赋分标准（满分8分）①每一项评审内容完全满足评审标准得2分；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车辆配置情况</w:t>
            </w:r>
          </w:p>
        </w:tc>
        <w:tc>
          <w:tcPr>
            <w:tcW w:type="dxa" w:w="2492"/>
          </w:tcPr>
          <w:p>
            <w:pPr>
              <w:pStyle w:val="null3"/>
            </w:pPr>
            <w:r>
              <w:rPr>
                <w:rFonts w:ascii="仿宋_GB2312" w:hAnsi="仿宋_GB2312" w:cs="仿宋_GB2312" w:eastAsia="仿宋_GB2312"/>
              </w:rPr>
              <w:t>根据供应商针对本项目提供的车辆配备情况，车辆须经过国家法定部门检验合格，符合国家有关规定进行了机动车安全技术性能检测，车况良好。包括但不限于①部分车辆情况，车辆相关资料齐全（包括但不限于道路运输证、车辆保险及车辆行驶证等相关证明材料）；提供一辆得1分，最高得4分。②驾驶员配备满足采购需求且进行人员真实性承诺；提供得2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提供2022年1月1日以来供应商类似项目的业绩合同（以中标通知书或合同签订日期为准），附中标通知书或业绩合同复印件加盖公章，每份1分，满分4分；未提供不计分。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价格分应当采用低价优先法计算，即满足磋商文件要求且磋商报价最低的报价为评标基准价（三种车型单价累计之和后的总单价进行比较），其价格分为满分。其他供应商的价格分统一按照下列公式计算：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