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版本号：SXGLZFCG2026-009号20260707001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药王山景区给水管道连接入网工程</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SXGLZFCG2026-009号</w:t>
      </w:r>
      <w:r>
        <w:br/>
      </w:r>
      <w:r>
        <w:br/>
      </w:r>
      <w:r>
        <w:br/>
      </w:r>
      <w:r>
        <w:br/>
      </w:r>
      <w:r>
        <w:br/>
      </w:r>
    </w:p>
    <w:p>
      <w:pPr>
        <w:pStyle w:val="null3"/>
        <w:jc w:val="center"/>
        <w:outlineLvl w:val="5"/>
      </w:pPr>
      <w:r>
        <w:rPr>
          <w:rFonts w:ascii="仿宋_GB2312" w:hAnsi="仿宋_GB2312" w:cs="仿宋_GB2312" w:eastAsia="仿宋_GB2312"/>
          <w:sz w:val="15"/>
          <w:b/>
        </w:rPr>
        <w:t>药王山管理处</w:t>
      </w:r>
    </w:p>
    <w:p>
      <w:pPr>
        <w:pStyle w:val="null3"/>
        <w:jc w:val="center"/>
        <w:outlineLvl w:val="5"/>
      </w:pPr>
      <w:r>
        <w:rPr>
          <w:rFonts w:ascii="仿宋_GB2312" w:hAnsi="仿宋_GB2312" w:cs="仿宋_GB2312" w:eastAsia="仿宋_GB2312"/>
          <w:sz w:val="15"/>
          <w:b/>
        </w:rPr>
        <w:t>陕西公立工程项目管理咨询有限公司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陕西公立工程项目管理咨询有限公司</w:t>
      </w:r>
      <w:r>
        <w:rPr>
          <w:rFonts w:ascii="仿宋_GB2312" w:hAnsi="仿宋_GB2312" w:cs="仿宋_GB2312" w:eastAsia="仿宋_GB2312"/>
        </w:rPr>
        <w:t>（以下简称“代理机构”）受</w:t>
      </w:r>
      <w:r>
        <w:rPr>
          <w:rFonts w:ascii="仿宋_GB2312" w:hAnsi="仿宋_GB2312" w:cs="仿宋_GB2312" w:eastAsia="仿宋_GB2312"/>
        </w:rPr>
        <w:t>药王山管理处</w:t>
      </w:r>
      <w:r>
        <w:rPr>
          <w:rFonts w:ascii="仿宋_GB2312" w:hAnsi="仿宋_GB2312" w:cs="仿宋_GB2312" w:eastAsia="仿宋_GB2312"/>
        </w:rPr>
        <w:t>委托，拟对</w:t>
      </w:r>
      <w:r>
        <w:rPr>
          <w:rFonts w:ascii="仿宋_GB2312" w:hAnsi="仿宋_GB2312" w:cs="仿宋_GB2312" w:eastAsia="仿宋_GB2312"/>
        </w:rPr>
        <w:t>药王山景区给水管道连接入网工程</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SXGLZFCG2026-009号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药王山景区给水管道连接入网工程</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项⽬在景区北⻔外新建dn160供⽔连接管道260.53m，开挖沟槽时需拆除并埋管后恢复⼈⾏道结构⾯184㎡，拆除并埋管后恢复混凝⼟路⾯60㎡，其余段沟槽上顶⾯按⼟⽅开挖及回填，并恢复绿化植被。砌筑控制阀⻔井⼀座，接⽔源泄⽔阀⻔井⼀座⽔表及泵组泵房⼀座(内装加压泵(⼀备⼀⽤)及⽆负压供⽔设备⼀组):景区北⻔内新建dn160供⽔连接管道121.98m，另外包含⽯材地⾯拆除并埋管后恢复240㎡,其余沟上顶⾯⼟⽅开挖及回填，新做检查井⼀座。</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采购包1（药王山景区给水管道连接入网工程）：属于专门面向中小企业采购。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1、合格供应商：具有独立承担民事责任能力的法人、其他组织或自然人，并出具合法有效的营业执照或事业单位法人证书等国家规定的相关证明，自然人参与的提供其身份证明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2、财务状况报告：提供（1）或提供（2）：（1）提供2023年度至2025年度任意一年财务报告复印 件，应满足以下要求 ： ①供应商是企业的，财务报告是指经会计师事务所审计的 上述指定年度整个会 计年度财务报表（须提供会计师事务所出具的审计报告复印 件）,复印件至少须包 括报告正文、资产负债表、现金流量表、利润表、附注和会 计师事务所营业执照， 报告正文应当有会计师事务所公章和2名注册会计师的签字 及盖章，且审计报告应 当经过注册会计师行业统一监管平台备案赋码。 ② 供应商 适用《事业单位会计准 则》的，财务报告是指上述指定年度整个会计年度财务报 表（不要求必须是经审计 的），复印件至少须包括资产负债表、收入支出表（或 收入费用表）、财政补助收 入支出表。 ③ 供应商适用《政府会计准则》的，财务 报告是指上述指定年度整个 会计年度财务报表（不要求必须是经审计的），复印 件至少须包括资产负债表、收 入费用表。 ④ 供应商适用《民间非营利组织会计制 度》的，财务报告是指上述指 定年度整个会计年度财务报表（不要求必须是经审 计的），复印件至少须包括资产 负债表、业务活动表、现金流量表。 ⑤ 供应商是 上述四种情况以外情况的，按照 其依法适用的会计制度、财务规则或会计准则提 供 财务报表复印件（不要求必须 是经审计的）。 （2）提供资信证明原件或复印 件，应满足以下要求： ① 资信证 明须为递交响应文件截止时间前三个月内由供应 商基本账户开户银行出具。 ② 无 论开具银行是否标明“复印无效”，供应商提供的 复印件在本次投标中予以认可（即 不因“复印无效”字样而认定资信证明复印件无 效）。 ③ 银行出具的存款证明不能 替代银行资信证明；</w:t>
      </w:r>
    </w:p>
    <w:p>
      <w:pPr>
        <w:pStyle w:val="null3"/>
      </w:pPr>
      <w:r>
        <w:rPr>
          <w:rFonts w:ascii="仿宋_GB2312" w:hAnsi="仿宋_GB2312" w:cs="仿宋_GB2312" w:eastAsia="仿宋_GB2312"/>
        </w:rPr>
        <w:t>3、税收缴纳证明：提供2025年7月至今任意一个月的依法缴纳税收的相关凭据（时间以税款所属日 期为准），凭据应有税务机关或代收机关的公章或业务专用章。依法免税或无须缴 纳税收的供应商，应提供相应证明文件；</w:t>
      </w:r>
    </w:p>
    <w:p>
      <w:pPr>
        <w:pStyle w:val="null3"/>
      </w:pPr>
      <w:r>
        <w:rPr>
          <w:rFonts w:ascii="仿宋_GB2312" w:hAnsi="仿宋_GB2312" w:cs="仿宋_GB2312" w:eastAsia="仿宋_GB2312"/>
        </w:rPr>
        <w:t>4、社保缴纳证明：提供2025年7月至今任意一个月的社会保障资金缴存单据或社保机构开具的社会 保险参保缴费情况证明。依法不需要缴纳社会保障资金的供应商，应提供相关证明 文件；</w:t>
      </w:r>
    </w:p>
    <w:p>
      <w:pPr>
        <w:pStyle w:val="null3"/>
      </w:pPr>
      <w:r>
        <w:rPr>
          <w:rFonts w:ascii="仿宋_GB2312" w:hAnsi="仿宋_GB2312" w:cs="仿宋_GB2312" w:eastAsia="仿宋_GB2312"/>
        </w:rPr>
        <w:t>5、供应商信誉：供应商不得为“信用中国”网站（www.creditchina.gov.cn）中列入失信被执行人 和重大税收违法失信主体名单的供应商，不得为中国政府采购网（www.ccgp.go v.cn）政府采购严重违法失信行为记录名单中被财政部门禁止参加政府采购活动的 供应商；</w:t>
      </w:r>
    </w:p>
    <w:p>
      <w:pPr>
        <w:pStyle w:val="null3"/>
      </w:pPr>
      <w:r>
        <w:rPr>
          <w:rFonts w:ascii="仿宋_GB2312" w:hAnsi="仿宋_GB2312" w:cs="仿宋_GB2312" w:eastAsia="仿宋_GB2312"/>
        </w:rPr>
        <w:t>6、设备和专业技术能力承诺：具有履行合同所必需的设备和专业技术能力，提供证明材料或书面承诺并加盖公章 ；</w:t>
      </w:r>
    </w:p>
    <w:p>
      <w:pPr>
        <w:pStyle w:val="null3"/>
      </w:pPr>
      <w:r>
        <w:rPr>
          <w:rFonts w:ascii="仿宋_GB2312" w:hAnsi="仿宋_GB2312" w:cs="仿宋_GB2312" w:eastAsia="仿宋_GB2312"/>
        </w:rPr>
        <w:t>7、无重大违法记录声明：供应商在近三年经营活动中没有重大违法记录的声明；</w:t>
      </w:r>
    </w:p>
    <w:p>
      <w:pPr>
        <w:pStyle w:val="null3"/>
      </w:pPr>
      <w:r>
        <w:rPr>
          <w:rFonts w:ascii="仿宋_GB2312" w:hAnsi="仿宋_GB2312" w:cs="仿宋_GB2312" w:eastAsia="仿宋_GB2312"/>
        </w:rPr>
        <w:t>8、资质要求：供应商须具有市政公用工程施工总承包三级及以上资质，且具有有效的安全生产许 可证；</w:t>
      </w:r>
    </w:p>
    <w:p>
      <w:pPr>
        <w:pStyle w:val="null3"/>
      </w:pPr>
      <w:r>
        <w:rPr>
          <w:rFonts w:ascii="仿宋_GB2312" w:hAnsi="仿宋_GB2312" w:cs="仿宋_GB2312" w:eastAsia="仿宋_GB2312"/>
        </w:rPr>
        <w:t>9、项目负责人：拟派项目经理须具有市政公用工程专业二级及以上国家注册建造师资格，且具备有效的安全生产考核证；</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药王山管理处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陕西省铜川市药王山景区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药王山管理处经办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6602508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陕西公立工程项目管理咨询有限公司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陕西省铜川市耀州区陕西省铜川市新区朝阳路鸿翔逸境1号楼1-4层商业区三楼304、305室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0919-2182986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采购包1：884,635.00元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采购包1：884,635.00元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代理服务费收费标准：招标代理服务费依据国家计委计价格［2002］1980号文件规定按标准计取，即工程中标价款×1.0%计取。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药王山管理处</w:t>
      </w:r>
      <w:r>
        <w:rPr>
          <w:rFonts w:ascii="仿宋_GB2312" w:hAnsi="仿宋_GB2312" w:cs="仿宋_GB2312" w:eastAsia="仿宋_GB2312"/>
        </w:rPr>
        <w:t>和</w:t>
      </w:r>
      <w:r>
        <w:rPr>
          <w:rFonts w:ascii="仿宋_GB2312" w:hAnsi="仿宋_GB2312" w:cs="仿宋_GB2312" w:eastAsia="仿宋_GB2312"/>
        </w:rPr>
        <w:t>陕西公立工程项目管理咨询有限公司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陕西公立工程项目管理咨询有限公司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药王山管理处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陕西公立工程项目管理咨询有限公司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五、“电子协商”是指通过项目电子化交易系统在线完成资格性审查小组、协商小组组建，开展资格和符合性审查、比较与评价、出具评审报告、推荐成交候选供应商等活动。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任何政府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以双方最终签订和合同内具体条款约定为准。</w:t>
      </w:r>
    </w:p>
    <w:p>
      <w:pPr>
        <w:pStyle w:val="null3"/>
        <w:ind w:firstLine="480"/>
        <w:jc w:val="left"/>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 xml:space="preserve"> 工程竣工经验收合格后，方可交付使用；未经验收或者验收不合格的，不得交付使用。</w:t>
      </w:r>
    </w:p>
    <w:p>
      <w:pPr>
        <w:pStyle w:val="null3"/>
        <w:ind w:firstLine="480"/>
        <w:jc w:val="left"/>
      </w:pPr>
      <w:r>
        <w:rPr>
          <w:rFonts w:ascii="仿宋_GB2312" w:hAnsi="仿宋_GB2312" w:cs="仿宋_GB2312" w:eastAsia="仿宋_GB2312"/>
        </w:rPr>
        <w:t xml:space="preserve"> 三、验收结果合格的，采购人应向成交供应商出具履约验收报告，成交供应商凭验收报告办理相关手续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联系电话：0919-2182986</w:t>
      </w:r>
    </w:p>
    <w:p>
      <w:pPr>
        <w:pStyle w:val="null3"/>
      </w:pPr>
      <w:r>
        <w:rPr>
          <w:rFonts w:ascii="仿宋_GB2312" w:hAnsi="仿宋_GB2312" w:cs="仿宋_GB2312" w:eastAsia="仿宋_GB2312"/>
        </w:rPr>
        <w:t>地址：陕西省铜川市新区朝阳路鸿翔逸境1号楼商业区1-4层3楼304室</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32"/>
              </w:rPr>
              <w:t>项目在景区北门外新建</w:t>
            </w:r>
            <w:r>
              <w:rPr>
                <w:rFonts w:ascii="仿宋_GB2312" w:hAnsi="仿宋_GB2312" w:cs="仿宋_GB2312" w:eastAsia="仿宋_GB2312"/>
                <w:sz w:val="32"/>
              </w:rPr>
              <w:t>dn160供水连接管道260.53m，开挖沟槽时需拆除并埋管后恢复人行道结构面184㎡，拆除并埋管后恢复混凝土路面60㎡，其余段沟槽上顶面按土方开挖及回填，并恢复绿化植被。砌筑控制阀门井一座，接水源泄水阀门井一座水表及泵组泵房一座(内装加压泵(一备一用)及无负压供水设备一组):景区北门内新建dn160供水连接管道121.98m，另外包含石材地面拆除并埋管后恢复240㎡,其余沟上顶面土方开挖及回填，新做检查井一座（具体以招标文件所附工程量清单内容为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1.对于不允许偏离的实质性要求和条件，采购人或者代理机构应当在采购文件中规定，并以醒目的方式标明。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2.除相关法律或行政法规或规章要求供应商在响应或协商阶段提供检测报告的，不得要求供应商在响应、协商阶段提供检测报告，如确实需要检测报告，可要求供应商承诺在签订合同阶段或项目实施阶段提供。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jc w:val="left"/>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合格供应商</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提供（1）或提供（2）：（1）提供2023年度至2025年度任意一年财务报告复印 件，应满足以下要求 ： ①供应商是企业的，财务报告是指经会计师事务所审计的 上述指定年度整个会 计年度财务报表（须提供会计师事务所出具的审计报告复印 件）,复印件至少须包 括报告正文、资产负债表、现金流量表、利润表、附注和会 计师事务所营业执照， 报告正文应当有会计师事务所公章和2名注册会计师的签字 及盖章，且审计报告应 当经过注册会计师行业统一监管平台备案赋码。 ② 供应商 适用《事业单位会计准 则》的，财务报告是指上述指定年度整个会计年度财务报 表（不要求必须是经审计 的），复印件至少须包括资产负债表、收入支出表（或 收入费用表）、财政补助收 入支出表。 ③ 供应商适用《政府会计准则》的，财务 报告是指上述指定年度整个 会计年度财务报表（不要求必须是经审计的），复印 件至少须包括资产负债表、收 入费用表。 ④ 供应商适用《民间非营利组织会计制 度》的，财务报告是指上述指 定年度整个会计年度财务报表（不要求必须是经审 计的），复印件至少须包括资产 负债表、业务活动表、现金流量表。 ⑤ 供应商是 上述四种情况以外情况的，按照 其依法适用的会计制度、财务规则或会计准则提 供 财务报表复印件（不要求必须 是经审计的）。 （2）提供资信证明原件或复印 件，应满足以下要求： ① 资信证 明须为递交响应文件截止时间前三个月内由供应 商基本账户开户银行出具。 ② 无 论开具银行是否标明“复印无效”，供应商提供的 复印件在本次投标中予以认可（即 不因“复印无效”字样而认定资信证明复印件无 效）。 ③ 银行出具的存款证明不能 替代银行资信证明；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提供2025年7月至今任意一个月的依法缴纳税收的相关凭据（时间以税款所属日 期为准），凭据应有税务机关或代收机关的公章或业务专用章。依法免税或无须缴 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提供2025年7月至今任意一个月的社会保障资金缴存单据或社保机构开具的社会 保险参保缴费情况证明。依法不需要缴纳社会保障资金的供应商，应提供相关证明 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供应商不得为“信用中国”网站（www.creditchina.gov.cn）中列入失信被执行人 和重大税收违法失信主体名单的供应商，不得为中国政府采购网（www.ccgp.go v.cn）政府采购严重违法失信行为记录名单中被财政部门禁止参加政府采购活动的 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设备和专业技术能力承诺</w:t>
            </w:r>
          </w:p>
        </w:tc>
        <w:tc>
          <w:tcPr>
            <w:tcW w:type="dxa" w:w="3322"/>
          </w:tcPr>
          <w:p>
            <w:pPr>
              <w:pStyle w:val="null3"/>
            </w:pPr>
            <w:r>
              <w:rPr>
                <w:rFonts w:ascii="仿宋_GB2312" w:hAnsi="仿宋_GB2312" w:cs="仿宋_GB2312" w:eastAsia="仿宋_GB2312"/>
              </w:rPr>
              <w:t>具有履行合同所必需的设备和专业技术能力，提供证明材料或书面承诺并加盖公章 ；</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供应商在近三年经营活动中没有重大违法记录的声明；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供应商须具有市政公用工程施工总承包三级及以上资质，且具有有效的安全生产许 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拟派项目经理须具有市政公用工程专业二级及以上国家注册建造师资格，且具备有效的安全生产考核证；</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协商小组认为供应商的报价明显低于其他实质性响应的供应商报价，有可能影响工程质量或者不能诚信履约的，应当要求其在合理的时间内提供书面说明，必要时提交相关证明材料；供应商不能证明其报价合理性的，谈判小组应当将其作为无效响应处理。 2.供应商通过项目电子化交易系统在协商小组要求的合理时间内提交说明，否则无效。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响应文件格式及签字盖章</w:t>
            </w:r>
          </w:p>
        </w:tc>
        <w:tc>
          <w:tcPr>
            <w:tcW w:type="dxa" w:w="3322"/>
          </w:tcPr>
          <w:p>
            <w:pPr>
              <w:pStyle w:val="null3"/>
            </w:pPr>
            <w:r>
              <w:rPr>
                <w:rFonts w:ascii="仿宋_GB2312" w:hAnsi="仿宋_GB2312" w:cs="仿宋_GB2312" w:eastAsia="仿宋_GB2312"/>
              </w:rPr>
              <w:t>完全满足单一来源谈判文件格式要求签字盖章</w:t>
            </w:r>
          </w:p>
        </w:tc>
        <w:tc>
          <w:tcPr>
            <w:tcW w:type="dxa" w:w="1661"/>
          </w:tcPr>
          <w:p>
            <w:pPr>
              <w:pStyle w:val="null3"/>
            </w:pPr>
            <w:r>
              <w:rPr>
                <w:rFonts w:ascii="仿宋_GB2312" w:hAnsi="仿宋_GB2312" w:cs="仿宋_GB2312" w:eastAsia="仿宋_GB2312"/>
              </w:rPr>
              <w:t>响应文件封面 技术方案.docx 已标价工程量清单 中小企业声明函 残疾人福利性单位声明函 报价函 技术服务合同条款及其他商务要求应答表 供应商应提交的相关资格证明材料 标的清单 供应商类似项目业绩一览表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需满足90日历天</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