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版本号：GCZB2026-06-109-Q20260702001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本馆西南角楼商品部建筑结构加固项目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GCZB2026-06-109-Q</w:t>
      </w:r>
      <w:r>
        <w:br/>
      </w:r>
      <w:r>
        <w:br/>
      </w:r>
      <w:r>
        <w:br/>
      </w:r>
    </w:p>
    <w:p>
      <w:pPr>
        <w:pStyle w:val="null3"/>
        <w:jc w:val="center"/>
        <w:outlineLvl w:val="2"/>
      </w:pPr>
      <w:r>
        <w:rPr>
          <w:rFonts w:ascii="仿宋_GB2312" w:hAnsi="仿宋_GB2312" w:cs="仿宋_GB2312" w:eastAsia="仿宋_GB2312"/>
          <w:sz w:val="28"/>
          <w:b/>
        </w:rPr>
        <w:t>陕西历史博物馆</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陕西历史博物馆</w:t>
      </w:r>
      <w:r>
        <w:rPr>
          <w:rFonts w:ascii="仿宋_GB2312" w:hAnsi="仿宋_GB2312" w:cs="仿宋_GB2312" w:eastAsia="仿宋_GB2312"/>
        </w:rPr>
        <w:t>委托，拟对</w:t>
      </w:r>
      <w:r>
        <w:rPr>
          <w:rFonts w:ascii="仿宋_GB2312" w:hAnsi="仿宋_GB2312" w:cs="仿宋_GB2312" w:eastAsia="仿宋_GB2312"/>
        </w:rPr>
        <w:t>本馆西南角楼商品部建筑结构加固项目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GCZB2026-06-109-Q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本馆西南角楼商品部建筑结构加固项目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陕西历史博物馆本馆西南角楼商品部建筑结构加固项目，具体内容详见第三章技术、服务标准和要求。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采购包1（本馆西南角楼商品部建筑结构加固项目）：属于专门面向中小企业采购。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3、税收缴纳证明：提供递交响应文件截止之日前一年内任意一个月的依法缴纳税收的相关凭据，凭据应有税务机关或代收机关的公章或业务专用章。依法免税或无须缴纳税收的供应商应提供相应证明文件；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响应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7、法定代表人授权书：供应商应授权合法的人员参加磋商，其中法定代表人直接参加的，须出具法定代表人证明书；被授权代表参加的，须出具法定代表人授权书；（非法人单位的负责人均参照执行）；</w:t>
      </w:r>
    </w:p>
    <w:p>
      <w:pPr>
        <w:pStyle w:val="null3"/>
      </w:pPr>
      <w:r>
        <w:rPr>
          <w:rFonts w:ascii="仿宋_GB2312" w:hAnsi="仿宋_GB2312" w:cs="仿宋_GB2312" w:eastAsia="仿宋_GB2312"/>
        </w:rPr>
        <w:t>8、建筑资质：供应商须具备建设行政主管部门核发的钢结构工程专业承包三级及以上资质以及特种工程专业承包（结构补强）资质；</w:t>
      </w:r>
    </w:p>
    <w:p>
      <w:pPr>
        <w:pStyle w:val="null3"/>
      </w:pPr>
      <w:r>
        <w:rPr>
          <w:rFonts w:ascii="仿宋_GB2312" w:hAnsi="仿宋_GB2312" w:cs="仿宋_GB2312" w:eastAsia="仿宋_GB2312"/>
        </w:rPr>
        <w:t>9、安全生产许可证：供应商须具备有效的安全生产许可证；</w:t>
      </w:r>
    </w:p>
    <w:p>
      <w:pPr>
        <w:pStyle w:val="null3"/>
      </w:pPr>
      <w:r>
        <w:rPr>
          <w:rFonts w:ascii="仿宋_GB2312" w:hAnsi="仿宋_GB2312" w:cs="仿宋_GB2312" w:eastAsia="仿宋_GB2312"/>
        </w:rPr>
        <w:t>10、项目经理：拟派项目经理须具备建筑工程专业二级（含二级）及以上建造师资格，同时具备有效的安全生产考核合格证（建安B证），且无在建项目（提供无在建工程承诺书）；</w:t>
      </w:r>
    </w:p>
    <w:p>
      <w:pPr>
        <w:pStyle w:val="null3"/>
      </w:pPr>
      <w:r>
        <w:rPr>
          <w:rFonts w:ascii="仿宋_GB2312" w:hAnsi="仿宋_GB2312" w:cs="仿宋_GB2312" w:eastAsia="仿宋_GB2312"/>
        </w:rPr>
        <w:t>11、中小企业声明函：本项目为专门面向中小企业项目，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pPr>
        <w:pStyle w:val="null3"/>
      </w:pPr>
      <w:r>
        <w:rPr>
          <w:rFonts w:ascii="仿宋_GB2312" w:hAnsi="仿宋_GB2312" w:cs="仿宋_GB2312" w:eastAsia="仿宋_GB2312"/>
        </w:rPr>
        <w:t>12、直接控股、管理关系：单位负责人为同一人或存在直接控股、管理关系的不同单位，不得同时参加本项目投标活动。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陕西历史博物馆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西安市雁塔区小寨东路91号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029-62739017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029-88899362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采购包1：919,510.74元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采购包1保证金金额：18,300.00元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陕西历史博物馆</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陕西历史博物馆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陕西历史博物馆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以磋商文件和最终合同约定为准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地址：西安市莲湖区高新一路正信大厦A座24楼（邮箱：1152611386@qq.com）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919,510.74</w:t>
      </w:r>
    </w:p>
    <w:p>
      <w:pPr>
        <w:pStyle w:val="null3"/>
      </w:pPr>
      <w:r>
        <w:rPr>
          <w:rFonts w:ascii="仿宋_GB2312" w:hAnsi="仿宋_GB2312" w:cs="仿宋_GB2312" w:eastAsia="仿宋_GB2312"/>
        </w:rPr>
        <w:t>采购包最高限价（元）: 919,510.74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919,510.74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6"/>
              <w:gridCol w:w="328"/>
              <w:gridCol w:w="1999"/>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参数性质</w:t>
                  </w:r>
                </w:p>
              </w:tc>
              <w:tc>
                <w:tcPr>
                  <w:tcW w:type="dxa" w:w="19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技术参数与性能指标</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一、项目概况：</w:t>
                  </w:r>
                </w:p>
                <w:p>
                  <w:pPr>
                    <w:pStyle w:val="null3"/>
                  </w:pPr>
                  <w:r>
                    <w:rPr>
                      <w:rFonts w:ascii="仿宋_GB2312" w:hAnsi="仿宋_GB2312" w:cs="仿宋_GB2312" w:eastAsia="仿宋_GB2312"/>
                      <w:sz w:val="19"/>
                    </w:rPr>
                    <w:t>陕西历史博物馆本馆西南角楼商品部建筑结构加固及装修工程，陕西历史博物馆西南角楼商品部主体结构为地下1层，地上2层，地上总建筑面积为1335.32平方米（含地上一、二层），钢筋混凝土框架结构。改造内容包含地上1层混凝土楼板加固、地上2层混凝土楼板加固、原有装修拆除及垃圾清运、新增电梯井道钢结构工程和混凝土基坑施工等工程。详见磋商文件、施工图纸及工程量清单。</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9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二、工程承包范围：本项目工程施工图及图说范围内的所有内容和工程量清单包含的所有内容以及招标文件中、答疑资料、澄清资料、其他补遗资料等包含的所有内容。</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符合国家相关质量要求及验收标准。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1、工期：60天； 2、施工地点：陕西历史博物馆指定地点； 3、缺陷责任期：2年； 4、工程保修期：按建筑原设计年限； 5、付款方式： 1）第一笔付款（预付款）：合同生效后，发包人应向承包人支付合同价款的40%作为预付款。 2）第二笔付款（竣工结算款）：工程竣工并经验收合格，且项目完成审计并正式移交使用单位后，发包人应依据最终审计确认的结算金额，向承包人支付至结算总价的100%。 3）工程变更及价款调整处理原则：所有工程变更、现场签证及其他合同价款调整事项，均不在各期进度款中支付，须待工程竣工结算时一并审核并纳入最终结算金额。 4）承包人需提交质保承诺函，缺陷责任期结束后，承包人仍需继续履行剩余年限的工程保修义务。 6、图纸详见附件。 7、承包人采购材料设备：本工程的所有设备和材料均由承包人自行采购和运输,并满足招标要求。本工程使用的所有材料，承包人应严格按照要求的品种、数量和技术要求进行施工。 8、材料检验：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保证金退还:（1）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 二、保证金提供电子保函的，于开标截止时间前将保函扫描件发送至此邮箱1152611386@qq.com。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供应商应授权合法的人员参加磋商，其中法定代表人直接参加的，须出具法定代表人证明书；被授权代表参加的，须出具法定代表人授权书；（非法人单位的负责人均参照执行）；</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建筑资质</w:t>
            </w:r>
          </w:p>
        </w:tc>
        <w:tc>
          <w:tcPr>
            <w:tcW w:type="dxa" w:w="3322"/>
          </w:tcPr>
          <w:p>
            <w:pPr>
              <w:pStyle w:val="null3"/>
            </w:pPr>
            <w:r>
              <w:rPr>
                <w:rFonts w:ascii="仿宋_GB2312" w:hAnsi="仿宋_GB2312" w:cs="仿宋_GB2312" w:eastAsia="仿宋_GB2312"/>
              </w:rPr>
              <w:t>供应商须具备建设行政主管部门核发的钢结构工程专业承包三级及以上资质以及特种工程专业承包（结构补强）资质；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供应商须具备有效的安全生产许可证；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拟派项目经理须具备建筑工程专业二级（含二级）及以上建造师资格，同时具备有效的安全生产考核合格证（建安B证），且无在建项目（提供无在建工程承诺书）；</w:t>
            </w:r>
          </w:p>
        </w:tc>
        <w:tc>
          <w:tcPr>
            <w:tcW w:type="dxa" w:w="1661"/>
          </w:tcPr>
          <w:p>
            <w:pPr>
              <w:pStyle w:val="null3"/>
            </w:pPr>
            <w:r>
              <w:rPr>
                <w:rFonts w:ascii="仿宋_GB2312" w:hAnsi="仿宋_GB2312" w:cs="仿宋_GB2312" w:eastAsia="仿宋_GB2312"/>
              </w:rPr>
              <w:t>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为专门面向中小企业项目，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控股管理关系.docx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响应文件语言、有效期</w:t>
            </w:r>
          </w:p>
        </w:tc>
        <w:tc>
          <w:tcPr>
            <w:tcW w:type="dxa" w:w="3322"/>
          </w:tcPr>
          <w:p>
            <w:pPr>
              <w:pStyle w:val="null3"/>
            </w:pPr>
            <w:r>
              <w:rPr>
                <w:rFonts w:ascii="仿宋_GB2312" w:hAnsi="仿宋_GB2312" w:cs="仿宋_GB2312" w:eastAsia="仿宋_GB2312"/>
              </w:rPr>
              <w:t>响应文件语言、有效期符合磋商文件的要求。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响应文件封面 法定代表人证明书与法定代表人授权书.docx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已标价工程量清单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（1）响应报价表填写符合要求； （2）计量单位、报价货币均符合磋商文件要求； （3）响应报价未超出采购预算或磋商文件规定的最高限价。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无其他磋商文件或法规明确规定投标无效的事项</w:t>
            </w:r>
          </w:p>
        </w:tc>
        <w:tc>
          <w:tcPr>
            <w:tcW w:type="dxa" w:w="3322"/>
          </w:tcPr>
          <w:p>
            <w:pPr>
              <w:pStyle w:val="null3"/>
            </w:pPr>
            <w:r>
              <w:rPr>
                <w:rFonts w:ascii="仿宋_GB2312" w:hAnsi="仿宋_GB2312" w:cs="仿宋_GB2312" w:eastAsia="仿宋_GB2312"/>
              </w:rPr>
              <w:t>没有不符合磋商文件规定的被视为无效投标的其他条款。</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完全理解并接受磋商文件合同基本条款要求。</w:t>
            </w:r>
          </w:p>
        </w:tc>
        <w:tc>
          <w:tcPr>
            <w:tcW w:type="dxa" w:w="1661"/>
          </w:tcPr>
          <w:p>
            <w:pPr>
              <w:pStyle w:val="null3"/>
            </w:pPr>
            <w:r>
              <w:rPr>
                <w:rFonts w:ascii="仿宋_GB2312" w:hAnsi="仿宋_GB2312" w:cs="仿宋_GB2312" w:eastAsia="仿宋_GB2312"/>
              </w:rPr>
              <w:t>响应文件封面 技术服务合同条款及其他商务要求应答表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供应商提供针对本项目详细的技术方案，包括:①项目经理部组成②施工进度表或施工网络图③确保工期的技术组织措施④施工方案⑤确保工程质量技术组织措施⑥确保安全施工组织措施⑦新技术新产品新工艺新材料应用⑧施工机械配备和材料投入计划⑨确保文明施工措施⑩应急预案等。技术方案符合采购项目特点及要求，描述详尽且有利于项目实施，得30分；每有一项未提供扣3分，每有一处有缺陷扣1.5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主要材料选择</w:t>
            </w:r>
          </w:p>
        </w:tc>
        <w:tc>
          <w:tcPr>
            <w:tcW w:type="dxa" w:w="2492"/>
          </w:tcPr>
          <w:p>
            <w:pPr>
              <w:pStyle w:val="null3"/>
            </w:pPr>
            <w:r>
              <w:rPr>
                <w:rFonts w:ascii="仿宋_GB2312" w:hAnsi="仿宋_GB2312" w:cs="仿宋_GB2312" w:eastAsia="仿宋_GB2312"/>
              </w:rPr>
              <w:t>供应商针对本项目主要材料选择进行说明提供本项目施工所需主要材料的品牌、型号、技术说明等详细清单。主材清单的完整齐全，选择为主流产品、实用性强、主材选择市场占有率高，满足本项目实际需求使用，得15分；每有一项未提供扣3分，每有一处有缺陷扣1.5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供应商提供施工所需主要材料（设备）货源渠道证明文件（不限于销售协议、代理协议、原厂授权等）。提供1-4项主要材料（设备）货源渠道证明的计2分；提供5-8项主要材料（设备）货源渠道证明的计4分；提供9-10项主要材料（设备）货源渠道证明的计6分；提供10项以上（不含10）主材材料（设备）渠道证明的计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提供2023年7月1日至今类似项目合同，每提供1个得2分，满分10分。（提供加盖供应商公章的合同复印件，提供合同包含签字盖章页、施工内容、合同签订日期等完整合同内容），不提供或缺项不得分。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售后保障</w:t>
            </w:r>
          </w:p>
        </w:tc>
        <w:tc>
          <w:tcPr>
            <w:tcW w:type="dxa" w:w="2492"/>
          </w:tcPr>
          <w:p>
            <w:pPr>
              <w:pStyle w:val="null3"/>
            </w:pPr>
            <w:r>
              <w:rPr>
                <w:rFonts w:ascii="仿宋_GB2312" w:hAnsi="仿宋_GB2312" w:cs="仿宋_GB2312" w:eastAsia="仿宋_GB2312"/>
              </w:rPr>
              <w:t>供应商针对本项目有详细具体的售后服务保障措施，包括：①质保期内服务内容②问题响应时间③售后服务人员配备④施工保修承诺书⑤售后服务计划等。方案制定应完整全面、详细具体，满足项目实施要求，得5分；每有一项未提供扣1分，每有一处有缺陷扣0.5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磋商报价最低的供应商的价格为磋商基准价，其价格分为满分。其他供应商的价格分统一按照下列公式计算：磋商报价得分=(磋商基准价／最后磋商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详见附件：具有履行合同所必需的设备和专业技术能力.docx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详见附件：商务及合同主要条款.docx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