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版本号：ZY2026-ZB-CS1086.1B120260617001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市政府办公区故障LED显示屏维修项目(二次)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ZY2026-ZB-CS1086.1B1</w:t>
      </w:r>
      <w:r>
        <w:br/>
      </w:r>
      <w:r>
        <w:br/>
      </w:r>
      <w:r>
        <w:br/>
      </w:r>
    </w:p>
    <w:p>
      <w:pPr>
        <w:pStyle w:val="null3"/>
        <w:jc w:val="center"/>
        <w:outlineLvl w:val="2"/>
      </w:pPr>
      <w:r>
        <w:rPr>
          <w:rFonts w:ascii="仿宋_GB2312" w:hAnsi="仿宋_GB2312" w:cs="仿宋_GB2312" w:eastAsia="仿宋_GB2312"/>
          <w:sz w:val="28"/>
          <w:b/>
        </w:rPr>
        <w:t>西安市机关事务服务中心</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西安市机关事务服务中心</w:t>
      </w:r>
      <w:r>
        <w:rPr>
          <w:rFonts w:ascii="仿宋_GB2312" w:hAnsi="仿宋_GB2312" w:cs="仿宋_GB2312" w:eastAsia="仿宋_GB2312"/>
        </w:rPr>
        <w:t>委托，拟对</w:t>
      </w:r>
      <w:r>
        <w:rPr>
          <w:rFonts w:ascii="仿宋_GB2312" w:hAnsi="仿宋_GB2312" w:cs="仿宋_GB2312" w:eastAsia="仿宋_GB2312"/>
        </w:rPr>
        <w:t>市政府办公区故障LED显示屏维修项目(二次)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ZY2026-ZB-CS1086.1B1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市政府办公区故障LED显示屏维修项目(二次)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市政府办公区故障LED 显示屏维修项目，详见采购文件。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采购包1（市政府办公区故障LED显示屏维修项目）：属于专门面向中小企业采购。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3、税收缴纳证明：提供2025年4月至今已缴纳的至少一个月的税收缴纳证明，依法免税的单位应提供相关证明材料；</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5、具备履行合同所必须的设备和专业技术能力：具备履行合同所必须的设备和专业技术能力的书面声明；</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8、授权委托书：法定代表人授权委托书、被授权人身份证(法定代表人参加磋商时,只需提供法定代表人身份证；被授权人参加磋商时，需提供磋商响应截止时间前6个月至少一个月的基本养老保险参保缴费证明）</w:t>
      </w:r>
    </w:p>
    <w:p>
      <w:pPr>
        <w:pStyle w:val="null3"/>
      </w:pPr>
      <w:r>
        <w:rPr>
          <w:rFonts w:ascii="仿宋_GB2312" w:hAnsi="仿宋_GB2312" w:cs="仿宋_GB2312" w:eastAsia="仿宋_GB2312"/>
        </w:rPr>
        <w:t>9、供应商资质要求：供应商须具备电子与智能化工程专业承包二级及以上资质且具备有效的安全生产许可证；</w:t>
      </w:r>
    </w:p>
    <w:p>
      <w:pPr>
        <w:pStyle w:val="null3"/>
      </w:pPr>
      <w:r>
        <w:rPr>
          <w:rFonts w:ascii="仿宋_GB2312" w:hAnsi="仿宋_GB2312" w:cs="仿宋_GB2312" w:eastAsia="仿宋_GB2312"/>
        </w:rPr>
        <w:t>10、拟派项目经理资质要求：拟派项目经理具有机电工程专业二级及以上注册建造师证及具备有效的安全生产考核合格证书（安全考核B证），在本单位注册且无在建工程（提供无在建工程承诺书，格式自拟）；</w:t>
      </w:r>
    </w:p>
    <w:p>
      <w:pPr>
        <w:pStyle w:val="null3"/>
      </w:pPr>
      <w:r>
        <w:rPr>
          <w:rFonts w:ascii="仿宋_GB2312" w:hAnsi="仿宋_GB2312" w:cs="仿宋_GB2312" w:eastAsia="仿宋_GB2312"/>
        </w:rPr>
        <w:t>11、供应商及项目经理基本信息在“陕西省住房和城乡建设厅”和“全国建筑市场监管公共服务平台”（http://jzsc.mohurd.gov.cn/home）可查询：供应商及项目经理基本信息在“陕西省住房和城乡建设厅”和“全国建筑市场监管公共服务平台”（http://jzsc.mohurd.gov.cn/home）可查询（提供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029-67098620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陕西省西安市未央区西安经济技术开发区凤城一路6号利君V时代B座901、912室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冯丹、张晶、卫现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采购包1：158,618.33元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监视器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详见关于印发节能产品政府采购品目清单的通知财库〔2019〕19号清单</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详见关于印发环境标志产品政府采购品目清单的通知财库〔2019〕18号产品属于环境标志产品政府采购品目清单</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代理服务费收费标准：定额收取人民币陆仟元整（¥6000.00元） 收款单位：陕西正翼项目管理咨询有限公司 开户银行：中国民生银行股份有限公司西安经济技术开发区支行 银行账号：152 605 604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西安市机关事务服务中心</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详见招标文件相应条款。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地址：陕西省西安市经济技术开发区凤城五路123号秦创原·软科中心B座11层1101陕西正翼项目管理咨询有限公司</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158,618.33</w:t>
      </w:r>
    </w:p>
    <w:p>
      <w:pPr>
        <w:pStyle w:val="null3"/>
      </w:pPr>
      <w:r>
        <w:rPr>
          <w:rFonts w:ascii="仿宋_GB2312" w:hAnsi="仿宋_GB2312" w:cs="仿宋_GB2312" w:eastAsia="仿宋_GB2312"/>
        </w:rPr>
        <w:t>采购包最高限价（元）: 158,618.33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市政府办公区故障LED显示屏进行维修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158,618.33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标的名称：市政府办公区故障LED显示屏进行维修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一、项目概况</w:t>
            </w:r>
          </w:p>
          <w:p>
            <w:pPr>
              <w:pStyle w:val="null3"/>
              <w:ind w:firstLine="400"/>
              <w:jc w:val="both"/>
            </w:pPr>
            <w:r>
              <w:rPr>
                <w:rFonts w:ascii="仿宋_GB2312" w:hAnsi="仿宋_GB2312" w:cs="仿宋_GB2312" w:eastAsia="仿宋_GB2312"/>
              </w:rPr>
              <w:t>市政府办公区内各楼栋显示屏使用故障、老化、功能不足等问题，具体现存问题如下：</w:t>
            </w:r>
          </w:p>
          <w:p>
            <w:pPr>
              <w:pStyle w:val="null3"/>
              <w:ind w:firstLine="400"/>
              <w:jc w:val="both"/>
            </w:pPr>
            <w:r>
              <w:rPr>
                <w:rFonts w:ascii="仿宋_GB2312" w:hAnsi="仿宋_GB2312" w:cs="仿宋_GB2312" w:eastAsia="仿宋_GB2312"/>
              </w:rPr>
              <w:t>一是圆形报告厅LED屏：屏幕使用年限较长，现已出现多处坏点，显示效果极差，需进行维修更换。</w:t>
            </w:r>
          </w:p>
          <w:p>
            <w:pPr>
              <w:pStyle w:val="null3"/>
              <w:ind w:firstLine="400"/>
              <w:jc w:val="both"/>
            </w:pPr>
            <w:r>
              <w:rPr>
                <w:rFonts w:ascii="仿宋_GB2312" w:hAnsi="仿宋_GB2312" w:cs="仿宋_GB2312" w:eastAsia="仿宋_GB2312"/>
              </w:rPr>
              <w:t>二是4号楼、6号楼外门头显示屏：现有显示屏已损坏，无法适配办公区对外宣传、信息公示的实际需求，需进行维修更换。</w:t>
            </w:r>
          </w:p>
          <w:p>
            <w:pPr>
              <w:pStyle w:val="null3"/>
              <w:ind w:firstLine="400"/>
              <w:jc w:val="both"/>
            </w:pPr>
            <w:r>
              <w:rPr>
                <w:rFonts w:ascii="仿宋_GB2312" w:hAnsi="仿宋_GB2312" w:cs="仿宋_GB2312" w:eastAsia="仿宋_GB2312"/>
              </w:rPr>
              <w:t>三是3号楼、5号楼公共区域监视器存在显示模糊、黑屏、卡顿等故障，无法正常投放办公通知、便民信息等内容，需更换两台监视器。另3/5/6/8号楼监视器原来采用的是模拟VGA信号，传输信号不稳定，视频显示质量差，此次更换成HDMI高清信号，需检修原有信号传输线路,其中3/5/8号楼将原有的VGA信号转换器更换成HDMI高清信号传输器，6号楼配置一台媒体播放器，媒体播放器本身自带HDMI高清信号，可以解决6号楼监视器高清信号问题。</w:t>
            </w:r>
          </w:p>
          <w:p>
            <w:pPr>
              <w:pStyle w:val="null3"/>
              <w:ind w:firstLine="400"/>
              <w:jc w:val="both"/>
            </w:pPr>
            <w:r>
              <w:rPr>
                <w:rFonts w:ascii="仿宋_GB2312" w:hAnsi="仿宋_GB2312" w:cs="仿宋_GB2312" w:eastAsia="仿宋_GB2312"/>
              </w:rPr>
              <w:t>四是集中控制及新增设备需求：现有各楼栋显示屏和监视器均为各楼宇独立控制，管理繁琐、操作不便，搭建控制系统实现4号楼和6号楼LED显示条屏和监视器由圆形报告厅集中控制；同时需在241会议室新增1台98英寸移动显示屏，满足会议室灵活使用、移动展示需求。</w:t>
            </w:r>
          </w:p>
          <w:p>
            <w:pPr>
              <w:pStyle w:val="null3"/>
              <w:ind w:firstLine="402"/>
              <w:jc w:val="both"/>
            </w:pPr>
            <w:r>
              <w:rPr>
                <w:rFonts w:ascii="仿宋_GB2312" w:hAnsi="仿宋_GB2312" w:cs="仿宋_GB2312" w:eastAsia="仿宋_GB2312"/>
                <w:b/>
              </w:rPr>
              <w:t>二、工程内容和施工地点、工期、缺陷责任期、质量保修期</w:t>
            </w:r>
          </w:p>
          <w:p>
            <w:pPr>
              <w:pStyle w:val="null3"/>
              <w:ind w:firstLine="400"/>
              <w:jc w:val="both"/>
            </w:pPr>
            <w:r>
              <w:rPr>
                <w:rFonts w:ascii="仿宋_GB2312" w:hAnsi="仿宋_GB2312" w:cs="仿宋_GB2312" w:eastAsia="仿宋_GB2312"/>
              </w:rPr>
              <w:t>(一)工程内容：</w:t>
            </w:r>
          </w:p>
          <w:p>
            <w:pPr>
              <w:pStyle w:val="null3"/>
              <w:ind w:firstLine="400"/>
              <w:jc w:val="both"/>
            </w:pPr>
            <w:r>
              <w:rPr>
                <w:rFonts w:ascii="仿宋_GB2312" w:hAnsi="仿宋_GB2312" w:cs="仿宋_GB2312" w:eastAsia="仿宋_GB2312"/>
              </w:rPr>
              <w:t>对市政府办公区故障LED 显示屏维修。</w:t>
            </w:r>
          </w:p>
          <w:p>
            <w:pPr>
              <w:pStyle w:val="null3"/>
              <w:ind w:firstLine="402"/>
              <w:jc w:val="both"/>
            </w:pPr>
            <w:r>
              <w:rPr>
                <w:rFonts w:ascii="仿宋_GB2312" w:hAnsi="仿宋_GB2312" w:cs="仿宋_GB2312" w:eastAsia="仿宋_GB2312"/>
                <w:b/>
              </w:rPr>
              <w:t>(二)工程地点：</w:t>
            </w:r>
            <w:r>
              <w:rPr>
                <w:rFonts w:ascii="仿宋_GB2312" w:hAnsi="仿宋_GB2312" w:cs="仿宋_GB2312" w:eastAsia="仿宋_GB2312"/>
              </w:rPr>
              <w:t>采购人指定地点</w:t>
            </w:r>
          </w:p>
          <w:p>
            <w:pPr>
              <w:pStyle w:val="null3"/>
              <w:ind w:firstLine="402"/>
              <w:jc w:val="both"/>
            </w:pPr>
            <w:r>
              <w:rPr>
                <w:rFonts w:ascii="仿宋_GB2312" w:hAnsi="仿宋_GB2312" w:cs="仿宋_GB2312" w:eastAsia="仿宋_GB2312"/>
                <w:b/>
              </w:rPr>
              <w:t>(三)工期：</w:t>
            </w:r>
            <w:r>
              <w:rPr>
                <w:rFonts w:ascii="仿宋_GB2312" w:hAnsi="仿宋_GB2312" w:cs="仿宋_GB2312" w:eastAsia="仿宋_GB2312"/>
              </w:rPr>
              <w:t>自采购方提供供货详单之日起</w:t>
            </w:r>
            <w:r>
              <w:rPr>
                <w:rFonts w:ascii="仿宋_GB2312" w:hAnsi="仿宋_GB2312" w:cs="仿宋_GB2312" w:eastAsia="仿宋_GB2312"/>
              </w:rPr>
              <w:t>30</w:t>
            </w:r>
            <w:r>
              <w:rPr>
                <w:rFonts w:ascii="仿宋_GB2312" w:hAnsi="仿宋_GB2312" w:cs="仿宋_GB2312" w:eastAsia="仿宋_GB2312"/>
              </w:rPr>
              <w:t>个日历日内完成项目全部内容，并交付采购方验收。</w:t>
            </w:r>
          </w:p>
          <w:p>
            <w:pPr>
              <w:pStyle w:val="null3"/>
              <w:ind w:firstLine="402"/>
              <w:jc w:val="both"/>
            </w:pPr>
            <w:r>
              <w:rPr>
                <w:rFonts w:ascii="仿宋_GB2312" w:hAnsi="仿宋_GB2312" w:cs="仿宋_GB2312" w:eastAsia="仿宋_GB2312"/>
                <w:b/>
              </w:rPr>
              <w:t>(四)缺陷责任期:</w:t>
            </w:r>
            <w:r>
              <w:rPr>
                <w:rFonts w:ascii="仿宋_GB2312" w:hAnsi="仿宋_GB2312" w:cs="仿宋_GB2312" w:eastAsia="仿宋_GB2312"/>
              </w:rPr>
              <w:t>本工程缺陷责任期为12个月，缺陷责任期自工程通过竣工验收之日计算。</w:t>
            </w:r>
          </w:p>
          <w:p>
            <w:pPr>
              <w:pStyle w:val="null3"/>
              <w:ind w:firstLine="402"/>
              <w:jc w:val="both"/>
            </w:pPr>
            <w:r>
              <w:rPr>
                <w:rFonts w:ascii="仿宋_GB2312" w:hAnsi="仿宋_GB2312" w:cs="仿宋_GB2312" w:eastAsia="仿宋_GB2312"/>
                <w:b/>
              </w:rPr>
              <w:t>(五)质量保修期:</w:t>
            </w:r>
            <w:r>
              <w:rPr>
                <w:rFonts w:ascii="仿宋_GB2312" w:hAnsi="仿宋_GB2312" w:cs="仿宋_GB2312" w:eastAsia="仿宋_GB2312"/>
              </w:rPr>
              <w:t>三年</w:t>
            </w:r>
            <w:r>
              <w:rPr>
                <w:rFonts w:ascii="仿宋_GB2312" w:hAnsi="仿宋_GB2312" w:cs="仿宋_GB2312" w:eastAsia="仿宋_GB2312"/>
              </w:rPr>
              <w:t>。</w:t>
            </w:r>
          </w:p>
          <w:p>
            <w:pPr>
              <w:pStyle w:val="null3"/>
              <w:ind w:firstLine="402"/>
              <w:jc w:val="both"/>
            </w:pPr>
            <w:r>
              <w:rPr>
                <w:rFonts w:ascii="仿宋_GB2312" w:hAnsi="仿宋_GB2312" w:cs="仿宋_GB2312" w:eastAsia="仿宋_GB2312"/>
                <w:b/>
              </w:rPr>
              <w:t>三</w:t>
            </w:r>
            <w:r>
              <w:rPr>
                <w:rFonts w:ascii="仿宋_GB2312" w:hAnsi="仿宋_GB2312" w:cs="仿宋_GB2312" w:eastAsia="仿宋_GB2312"/>
                <w:b/>
              </w:rPr>
              <w:t>、质量保证</w:t>
            </w:r>
          </w:p>
          <w:p>
            <w:pPr>
              <w:pStyle w:val="null3"/>
              <w:ind w:firstLine="400"/>
              <w:jc w:val="both"/>
            </w:pPr>
            <w:r>
              <w:rPr>
                <w:rFonts w:ascii="仿宋_GB2312" w:hAnsi="仿宋_GB2312" w:cs="仿宋_GB2312" w:eastAsia="仿宋_GB2312"/>
              </w:rPr>
              <w:t>1、供应商必须依据磋商要求，按照有关规范施工，确保工程优良，一次性验收交接。</w:t>
            </w:r>
          </w:p>
          <w:p>
            <w:pPr>
              <w:pStyle w:val="null3"/>
              <w:ind w:firstLine="400"/>
              <w:jc w:val="both"/>
            </w:pPr>
            <w:r>
              <w:rPr>
                <w:rFonts w:ascii="仿宋_GB2312" w:hAnsi="仿宋_GB2312" w:cs="仿宋_GB2312" w:eastAsia="仿宋_GB2312"/>
              </w:rPr>
              <w:t>2、选用的主材、设备、辅材必须国家名优产品，并</w:t>
            </w:r>
            <w:r>
              <w:rPr>
                <w:rFonts w:ascii="仿宋_GB2312" w:hAnsi="仿宋_GB2312" w:cs="仿宋_GB2312" w:eastAsia="仿宋_GB2312"/>
              </w:rPr>
              <w:t>符合国家相关标准。一体机、电源、LED显示设备和监视器为国家强制认证产品，需提供有效可查询的3C认证证书复印件，监视器为强制节能产品需提供有效期内的强制节能认证证书。</w:t>
            </w:r>
          </w:p>
          <w:p>
            <w:pPr>
              <w:pStyle w:val="null3"/>
              <w:ind w:firstLine="400"/>
              <w:jc w:val="both"/>
            </w:pPr>
            <w:r>
              <w:rPr>
                <w:rFonts w:ascii="仿宋_GB2312" w:hAnsi="仿宋_GB2312" w:cs="仿宋_GB2312" w:eastAsia="仿宋_GB2312"/>
              </w:rPr>
              <w:t>3、供应商必须向采购人及时提供合格证及材料检验单。在征得有关方面认可后，方可进行施工，并做好相应的检验环节。</w:t>
            </w:r>
          </w:p>
          <w:p>
            <w:pPr>
              <w:pStyle w:val="null3"/>
              <w:ind w:firstLine="400"/>
              <w:jc w:val="both"/>
            </w:pPr>
            <w:r>
              <w:rPr>
                <w:rFonts w:ascii="仿宋_GB2312" w:hAnsi="仿宋_GB2312" w:cs="仿宋_GB2312" w:eastAsia="仿宋_GB2312"/>
              </w:rPr>
              <w:t>4、施工单位的售后服务要完善、可靠、及时，并派遣相关技术人员配合采购人检查、维修。</w:t>
            </w:r>
          </w:p>
          <w:p>
            <w:pPr>
              <w:pStyle w:val="null3"/>
              <w:ind w:firstLine="402"/>
              <w:jc w:val="both"/>
            </w:pPr>
            <w:r>
              <w:rPr>
                <w:rFonts w:ascii="仿宋_GB2312" w:hAnsi="仿宋_GB2312" w:cs="仿宋_GB2312" w:eastAsia="仿宋_GB2312"/>
                <w:b/>
              </w:rPr>
              <w:t>四</w:t>
            </w:r>
            <w:r>
              <w:rPr>
                <w:rFonts w:ascii="仿宋_GB2312" w:hAnsi="仿宋_GB2312" w:cs="仿宋_GB2312" w:eastAsia="仿宋_GB2312"/>
                <w:b/>
              </w:rPr>
              <w:t>、其他</w:t>
            </w:r>
          </w:p>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rPr>
              <w:t>一</w:t>
            </w:r>
            <w:r>
              <w:rPr>
                <w:rFonts w:ascii="仿宋_GB2312" w:hAnsi="仿宋_GB2312" w:cs="仿宋_GB2312" w:eastAsia="仿宋_GB2312"/>
              </w:rPr>
              <w:t>)违约责任</w:t>
            </w:r>
          </w:p>
          <w:p>
            <w:pPr>
              <w:pStyle w:val="null3"/>
              <w:ind w:firstLine="400"/>
              <w:jc w:val="both"/>
            </w:pPr>
            <w:r>
              <w:rPr>
                <w:rFonts w:ascii="仿宋_GB2312" w:hAnsi="仿宋_GB2312" w:cs="仿宋_GB2312" w:eastAsia="仿宋_GB2312"/>
              </w:rPr>
              <w:t>依据《中华人民共和国民法典》、《中华人民共和国政府采购法》的相关条款约定执行。</w:t>
            </w:r>
          </w:p>
          <w:p>
            <w:pPr>
              <w:pStyle w:val="null3"/>
              <w:ind w:firstLine="400"/>
              <w:jc w:val="both"/>
            </w:pPr>
            <w:r>
              <w:rPr>
                <w:rFonts w:ascii="仿宋_GB2312" w:hAnsi="仿宋_GB2312" w:cs="仿宋_GB2312" w:eastAsia="仿宋_GB2312"/>
              </w:rPr>
              <w:t>1、发包人违约。当发生下列情况时：</w:t>
            </w:r>
          </w:p>
          <w:p>
            <w:pPr>
              <w:pStyle w:val="null3"/>
              <w:ind w:firstLine="400"/>
              <w:jc w:val="both"/>
            </w:pPr>
            <w:r>
              <w:rPr>
                <w:rFonts w:ascii="仿宋_GB2312" w:hAnsi="仿宋_GB2312" w:cs="仿宋_GB2312" w:eastAsia="仿宋_GB2312"/>
              </w:rPr>
              <w:t>（1）发包人不按合同约定支付工程款，导致施工无法进行；</w:t>
            </w:r>
          </w:p>
          <w:p>
            <w:pPr>
              <w:pStyle w:val="null3"/>
              <w:ind w:firstLine="400"/>
              <w:jc w:val="both"/>
            </w:pPr>
            <w:r>
              <w:rPr>
                <w:rFonts w:ascii="仿宋_GB2312" w:hAnsi="仿宋_GB2312" w:cs="仿宋_GB2312" w:eastAsia="仿宋_GB2312"/>
              </w:rPr>
              <w:t>（2）发包人不履行合同义务或不按合同约定履行义务的其他情况。</w:t>
            </w:r>
          </w:p>
          <w:p>
            <w:pPr>
              <w:pStyle w:val="null3"/>
              <w:ind w:firstLine="400"/>
              <w:jc w:val="both"/>
            </w:pPr>
            <w:r>
              <w:rPr>
                <w:rFonts w:ascii="仿宋_GB2312" w:hAnsi="仿宋_GB2312" w:cs="仿宋_GB2312" w:eastAsia="仿宋_GB2312"/>
              </w:rPr>
              <w:t>发包人承担违约责任，赔偿因其违约给承包人造成的经济损失，顺延延误的工期。双方在专用条款内约定发包人赔偿承包人损失的计算方法或者发包人应当支付违约金的数额和计算方法。</w:t>
            </w:r>
          </w:p>
          <w:p>
            <w:pPr>
              <w:pStyle w:val="null3"/>
              <w:ind w:firstLine="400"/>
              <w:jc w:val="both"/>
            </w:pPr>
            <w:r>
              <w:rPr>
                <w:rFonts w:ascii="仿宋_GB2312" w:hAnsi="仿宋_GB2312" w:cs="仿宋_GB2312" w:eastAsia="仿宋_GB2312"/>
              </w:rPr>
              <w:t>2、承包人违约。当发生下列情况时：</w:t>
            </w:r>
          </w:p>
          <w:p>
            <w:pPr>
              <w:pStyle w:val="null3"/>
              <w:ind w:firstLine="400"/>
              <w:jc w:val="both"/>
            </w:pPr>
            <w:r>
              <w:rPr>
                <w:rFonts w:ascii="仿宋_GB2312" w:hAnsi="仿宋_GB2312" w:cs="仿宋_GB2312" w:eastAsia="仿宋_GB2312"/>
              </w:rPr>
              <w:t>（1）因承包人原因不能按照协议书约定的竣工日期或工程师同意顺延的工期竣工；</w:t>
            </w:r>
          </w:p>
          <w:p>
            <w:pPr>
              <w:pStyle w:val="null3"/>
              <w:ind w:firstLine="400"/>
              <w:jc w:val="both"/>
            </w:pPr>
            <w:r>
              <w:rPr>
                <w:rFonts w:ascii="仿宋_GB2312" w:hAnsi="仿宋_GB2312" w:cs="仿宋_GB2312" w:eastAsia="仿宋_GB2312"/>
              </w:rPr>
              <w:t>（2）因承包人原因工程质量达不到协议书约定的质量标准；</w:t>
            </w:r>
          </w:p>
          <w:p>
            <w:pPr>
              <w:pStyle w:val="null3"/>
              <w:ind w:firstLine="400"/>
              <w:jc w:val="both"/>
            </w:pPr>
            <w:r>
              <w:rPr>
                <w:rFonts w:ascii="仿宋_GB2312" w:hAnsi="仿宋_GB2312" w:cs="仿宋_GB2312" w:eastAsia="仿宋_GB2312"/>
              </w:rPr>
              <w:t>（3）承包人不履行合同义务或不按合同约定履行义务的其他情况。</w:t>
            </w:r>
          </w:p>
          <w:p>
            <w:pPr>
              <w:pStyle w:val="null3"/>
              <w:ind w:firstLine="400"/>
              <w:jc w:val="both"/>
            </w:pPr>
            <w:r>
              <w:rPr>
                <w:rFonts w:ascii="仿宋_GB2312" w:hAnsi="仿宋_GB2312" w:cs="仿宋_GB2312" w:eastAsia="仿宋_GB2312"/>
              </w:rPr>
              <w:t>承包人承担违约责任，赔偿因其违约给发包人造成的损失。双方在专用条款内约定承包人赔偿发包人损失的计算方法或者承包人应当支付违约金的数额和计算方法。</w:t>
            </w:r>
          </w:p>
          <w:p>
            <w:pPr>
              <w:pStyle w:val="null3"/>
              <w:ind w:firstLine="400"/>
              <w:jc w:val="both"/>
            </w:pPr>
            <w:r>
              <w:rPr>
                <w:rFonts w:ascii="仿宋_GB2312" w:hAnsi="仿宋_GB2312" w:cs="仿宋_GB2312" w:eastAsia="仿宋_GB2312"/>
              </w:rPr>
              <w:t>一方违约后，另一方要求违约方继续履行合同时，违约方承担上述违约责任后仍应继续履行合同。</w:t>
            </w:r>
          </w:p>
          <w:p>
            <w:pPr>
              <w:pStyle w:val="null3"/>
              <w:spacing w:after="120"/>
              <w:jc w:val="both"/>
            </w:pPr>
            <w:r>
              <w:rPr>
                <w:rFonts w:ascii="仿宋_GB2312" w:hAnsi="仿宋_GB2312" w:cs="仿宋_GB2312" w:eastAsia="仿宋_GB2312"/>
              </w:rPr>
              <w:t xml:space="preserve">  五、付款方式</w:t>
            </w:r>
          </w:p>
          <w:p>
            <w:pPr>
              <w:pStyle w:val="null3"/>
              <w:ind w:firstLine="402"/>
              <w:jc w:val="both"/>
            </w:pPr>
            <w:r>
              <w:rPr>
                <w:rFonts w:ascii="仿宋_GB2312" w:hAnsi="仿宋_GB2312" w:cs="仿宋_GB2312" w:eastAsia="仿宋_GB2312"/>
              </w:rPr>
              <w:t>合同签订后，采购人15个工作日内支付合同总价款的40%作为工程预付款;完成项目全部工作内容且竣工验收合格后15个工作日内，支付剩余合同款项。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以采购人要求为准。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为建筑业。2、质量标准：工程质量必须达到国家建设工程验收标准的合格。3、供应商根据附件工程量清单在编制磋商响应文件时须提供已标价工程量清单。4、(投标文件格式一标的清单)品目号为“1”、工程名称为“市政府办公区故障LED 显示屏维修项目”、施工范围为“市政府办公区故障LED 显示屏维修项目磋商文件及工程量清单包含的全部内容”、数量为“1”、单价与总价一致，其他内容各供应商根据实际情况填写。5、本合同费用包括完成本合同项下项目完成的所有费用，包括但不限于人工费、材料费、垃圾清运等费用。6、最终综合单价的确定：本项目以供应商首次磋商报价及最终成交总价核定下浮比例，各分项综合单价均按该下浮比例同比下浮，确定为合同结算固定综合单价。7、磋商文件前后不一致以3.3其他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中小企业声明函 残疾人福利性单位声明函 报价函 标的清单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法定代表人授权委托书、被授权人身份证(法定代表人参加磋商时,只需提供法定代表人身份证；被授权人参加磋商时，需提供磋商响应截止时间前6个月至少一个月的基本养老保险参保缴费证明）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供应商须具备电子与智能化工程专业承包二级及以上资质且具备有效的安全生产许可证；</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拟派项目经理具有机电工程专业二级及以上注册建造师证及具备有效的安全生产考核合格证书（安全考核B证），在本单位注册且无在建工程（提供无在建工程承诺书，格式自拟）；</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供应商及项目经理基本信息在“陕西省住房和城乡建设厅”和“全国建筑市场监管公共服务平台”（http://jzsc.mohurd.gov.cn/home）可查询</w:t>
            </w:r>
          </w:p>
        </w:tc>
        <w:tc>
          <w:tcPr>
            <w:tcW w:type="dxa" w:w="3322"/>
          </w:tcPr>
          <w:p>
            <w:pPr>
              <w:pStyle w:val="null3"/>
            </w:pPr>
            <w:r>
              <w:rPr>
                <w:rFonts w:ascii="仿宋_GB2312" w:hAnsi="仿宋_GB2312" w:cs="仿宋_GB2312" w:eastAsia="仿宋_GB2312"/>
              </w:rPr>
              <w:t>供应商及项目经理基本信息在“陕西省住房和城乡建设厅”和“全国建筑市场监管公共服务平台”（http://jzsc.mohurd.gov.cn/home）可查询（提供截图）；</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磋商报价未超预算或高于最高限价的；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工期、工程质量、质量保修期响应磋商文件要求；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区间分值0-6分。 评审标准细化内容：①施工目标:成本目标、工期目标、质量目标②施工准备：技术准备、材料准备、机械准备、机具准备③施工平面布置与安排：现场围挡及出入口管理、消防及通道安排。 评审标准量化内容：评审标准量化内容： （1）各部分内容全面详细、阐述条理清晰详尽、符合本项目采购需求得6分；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已标价工程量清单</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区间分值0-4分。 评审标准细化内容：内容包含但不限于①拆除方案；②安装方案。 评审标准量化内容：（1）各部分内容全面详细、阐述条理清晰详尽、符合本项目采购需求得4分；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区间分值0-6分。 评审标准细化内容：内容包含但不限于①施工进度计划横道图②进度计划保证措施③工期保证措施。 评审标准量化内容：（1）各部分内容全面详细、阐述条理清晰详尽、符合本项目采购需求得6分；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区间分值0-8分。 评审标准细化内容：内容包含但不限于①安全生产管理制度②安全施工措施③安全应急预案④安全生产教育。 评审标准量化内容：（1）各部分内容全面详细、阐述条理清晰详尽、符合本项目采购需求得8分；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区间分值0-5分。 评审标准细化内容：内容包含但不限于①文明施工管理目标及技术措施②文明施工现场管理：材料管理、防扰民措施。 评审标准量化内容： （1）各部分内容全面详细、阐述条理清晰详尽、符合本项目采购需求得5分； （2）评审标准细化内容每缺少一项扣2.5分；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区间分值0-6分。 评审标准细化内容：内容包含但不限于①成品保护措施②消防保卫措施③环境保护措施。 评审标准量化内容： （1）各部分内容全面详细、阐述条理清晰详尽、符合本项目采购需求得6分； （2）评审标准细化内容每缺少一项扣2分；（3）评审标准细化内容内容缺失不得分，每有一处内容存在缺陷或不足的扣1分，该项分值扣完为止。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 区间分值0-4分。 评审标准细化内容：内容包含但不限于针对本项目具有①新材料应用情况②新技术和新工艺的应用情况。 评审标准量化内容： （1）各部分内容全面详细、阐述条理清晰详尽、符合本项目采购需求得4分；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区间分值0-4分。 评审标准细化内容：内容包含但不限于针对本项目具有①新材料应用情况②新技术和新工艺的应用情况。 评审标准量化内容： （1）各部分内容全面详细、阐述条理清晰详尽、符合本项目采购需求得4分；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区间分值0-6分。 评审标准细化内容：内容包含但不限于①质量目标管理体系②施工质量的检验制度③确保质量的技术组织措施及控制措施。 评审标准量化内容： （1）各部分内容全面详细、阐述条理清晰详尽、符合本项目采购需求得6分；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施工重难点分析及解决方案</w:t>
            </w:r>
          </w:p>
        </w:tc>
        <w:tc>
          <w:tcPr>
            <w:tcW w:type="dxa" w:w="2492"/>
          </w:tcPr>
          <w:p>
            <w:pPr>
              <w:pStyle w:val="null3"/>
            </w:pPr>
            <w:r>
              <w:rPr>
                <w:rFonts w:ascii="仿宋_GB2312" w:hAnsi="仿宋_GB2312" w:cs="仿宋_GB2312" w:eastAsia="仿宋_GB2312"/>
              </w:rPr>
              <w:t>区间分值0-4分。 评审标准细化内容：内容包含但不限于①针对本项目各施工部分的重难点分析；②针对重难点分析后的预防及解决措施等内容 。 评审标准量化内容： （1）各部分内容全面详细、阐述条理清晰详尽、符合本项目采购需求得4分；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维护方案</w:t>
            </w:r>
          </w:p>
        </w:tc>
        <w:tc>
          <w:tcPr>
            <w:tcW w:type="dxa" w:w="2492"/>
          </w:tcPr>
          <w:p>
            <w:pPr>
              <w:pStyle w:val="null3"/>
            </w:pPr>
            <w:r>
              <w:rPr>
                <w:rFonts w:ascii="仿宋_GB2312" w:hAnsi="仿宋_GB2312" w:cs="仿宋_GB2312" w:eastAsia="仿宋_GB2312"/>
              </w:rPr>
              <w:t>区间分值0-4分。 评审标准细化内容：内容包含但不限于①交付后的维修方案②保修责任及保修承诺。 评审标准量化内容： （1）各部分内容全面详细、阐述条理清晰详尽、符合本项目采购需求得4分； （2）评审标准细化内容每缺少一项扣2分；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设备技术参数指标</w:t>
            </w:r>
          </w:p>
        </w:tc>
        <w:tc>
          <w:tcPr>
            <w:tcW w:type="dxa" w:w="2492"/>
          </w:tcPr>
          <w:p>
            <w:pPr>
              <w:pStyle w:val="null3"/>
            </w:pPr>
            <w:r>
              <w:rPr>
                <w:rFonts w:ascii="仿宋_GB2312" w:hAnsi="仿宋_GB2312" w:cs="仿宋_GB2312" w:eastAsia="仿宋_GB2312"/>
              </w:rPr>
              <w:t>根据工程量清单中设备项目特征进行评审，优于或完全符合磋商文件要求，没有负偏离计9分；每负偏离一项扣1分，扣完为止。 注：供应商须提供相关技术参数的佐证证明材料，未按要求提供的不得分。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提供2023年1月至今类似项目业绩，每提供一份得2分，最高得8分。 业绩证明（以合同签订时间为准，须附合同或中标通知书的扫描件加盖单位公章）弄虚作假者，取消其成交资格。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有以上情形的，供应商在接到通知时间起30分钟内提交书面说明（未在规定时间内提交书面说明的按低于成本价，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磋商小组要求的时间内通过项目电子化交易系统进行提交，否则提交的相关证明材料无效。供应商不能证明其投标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1.经初审合格的磋商响应文件，其磋商报价为有效磋商报价价，对其行价格评审。 2.满足磋商文件实质性要求且最终报价最低的供应商的价格为磋商基准价，其价格分为满分30分。 3.磋商报价得分=（磋商基准价/最终磋商报价）×30的公式计算得分。 4.磋商报价不完整的，不进入评标标准价的计算，本项得0分。 5.经磋商小组一致认定，供应商的磋商最终总报价低于公认市场成本，或超过采购预算,其响应将被拒绝。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