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AF147">
      <w:pPr>
        <w:pStyle w:val="9"/>
        <w:keepNext w:val="0"/>
        <w:keepLines w:val="0"/>
        <w:pageBreakBefore w:val="0"/>
        <w:widowControl/>
        <w:kinsoku/>
        <w:wordWrap/>
        <w:overflowPunct/>
        <w:topLinePunct w:val="0"/>
        <w:autoSpaceDE/>
        <w:autoSpaceDN/>
        <w:bidi w:val="0"/>
        <w:adjustRightInd/>
        <w:snapToGrid/>
        <w:spacing w:line="300" w:lineRule="auto"/>
        <w:jc w:val="center"/>
        <w:textAlignment w:val="auto"/>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3AFC33FC">
      <w:pPr>
        <w:spacing w:before="240" w:beforeLines="100" w:line="360" w:lineRule="auto"/>
        <w:jc w:val="left"/>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（GF—2017—0201）</w:t>
      </w:r>
    </w:p>
    <w:p w14:paraId="3178B0F6">
      <w:pPr>
        <w:jc w:val="center"/>
        <w:rPr>
          <w:rFonts w:hint="eastAsia" w:ascii="仿宋" w:hAnsi="仿宋" w:eastAsia="仿宋" w:cs="仿宋"/>
          <w:b/>
          <w:color w:val="000000" w:themeColor="text1"/>
          <w:szCs w:val="21"/>
          <w:highlight w:val="none"/>
          <w14:textFill>
            <w14:solidFill>
              <w14:schemeClr w14:val="tx1"/>
            </w14:solidFill>
          </w14:textFill>
        </w:rPr>
      </w:pPr>
    </w:p>
    <w:p w14:paraId="6D15FAC8">
      <w:pPr>
        <w:jc w:val="center"/>
        <w:rPr>
          <w:rFonts w:hint="eastAsia" w:ascii="仿宋" w:hAnsi="仿宋" w:eastAsia="仿宋" w:cs="仿宋"/>
          <w:b/>
          <w:color w:val="000000" w:themeColor="text1"/>
          <w:szCs w:val="21"/>
          <w:highlight w:val="none"/>
          <w14:textFill>
            <w14:solidFill>
              <w14:schemeClr w14:val="tx1"/>
            </w14:solidFill>
          </w14:textFill>
        </w:rPr>
      </w:pPr>
    </w:p>
    <w:p w14:paraId="12E6D2BB">
      <w:pPr>
        <w:jc w:val="center"/>
        <w:rPr>
          <w:rFonts w:hint="eastAsia" w:ascii="仿宋" w:hAnsi="仿宋" w:eastAsia="仿宋" w:cs="仿宋"/>
          <w:b/>
          <w:color w:val="000000" w:themeColor="text1"/>
          <w:szCs w:val="21"/>
          <w:highlight w:val="none"/>
          <w14:textFill>
            <w14:solidFill>
              <w14:schemeClr w14:val="tx1"/>
            </w14:solidFill>
          </w14:textFill>
        </w:rPr>
      </w:pPr>
    </w:p>
    <w:p w14:paraId="385F3BBA">
      <w:pPr>
        <w:jc w:val="center"/>
        <w:rPr>
          <w:rFonts w:hint="eastAsia" w:ascii="仿宋" w:hAnsi="仿宋" w:eastAsia="仿宋" w:cs="仿宋"/>
          <w:b/>
          <w:color w:val="000000" w:themeColor="text1"/>
          <w:szCs w:val="21"/>
          <w:highlight w:val="none"/>
          <w14:textFill>
            <w14:solidFill>
              <w14:schemeClr w14:val="tx1"/>
            </w14:solidFill>
          </w14:textFill>
        </w:rPr>
      </w:pPr>
    </w:p>
    <w:p w14:paraId="05A3E428">
      <w:pPr>
        <w:pStyle w:val="6"/>
        <w:ind w:firstLine="210"/>
        <w:rPr>
          <w:rFonts w:hint="eastAsia" w:ascii="仿宋" w:hAnsi="仿宋" w:eastAsia="仿宋" w:cs="仿宋"/>
          <w:color w:val="000000" w:themeColor="text1"/>
          <w:highlight w:val="none"/>
          <w14:textFill>
            <w14:solidFill>
              <w14:schemeClr w14:val="tx1"/>
            </w14:solidFill>
          </w14:textFill>
        </w:rPr>
      </w:pPr>
    </w:p>
    <w:p w14:paraId="44D48FD9">
      <w:pPr>
        <w:pStyle w:val="6"/>
        <w:ind w:firstLine="210"/>
        <w:rPr>
          <w:rFonts w:hint="eastAsia" w:ascii="仿宋" w:hAnsi="仿宋" w:eastAsia="仿宋" w:cs="仿宋"/>
          <w:color w:val="000000" w:themeColor="text1"/>
          <w:highlight w:val="none"/>
          <w14:textFill>
            <w14:solidFill>
              <w14:schemeClr w14:val="tx1"/>
            </w14:solidFill>
          </w14:textFill>
        </w:rPr>
      </w:pPr>
    </w:p>
    <w:p w14:paraId="514153D5">
      <w:pPr>
        <w:pStyle w:val="6"/>
        <w:ind w:firstLine="210"/>
        <w:rPr>
          <w:rFonts w:hint="eastAsia" w:ascii="仿宋" w:hAnsi="仿宋" w:eastAsia="仿宋" w:cs="仿宋"/>
          <w:color w:val="000000" w:themeColor="text1"/>
          <w:highlight w:val="none"/>
          <w14:textFill>
            <w14:solidFill>
              <w14:schemeClr w14:val="tx1"/>
            </w14:solidFill>
          </w14:textFill>
        </w:rPr>
      </w:pPr>
    </w:p>
    <w:p w14:paraId="4A4E8C7E">
      <w:pPr>
        <w:pStyle w:val="6"/>
        <w:ind w:firstLine="0" w:firstLineChars="0"/>
        <w:rPr>
          <w:rFonts w:hint="eastAsia" w:ascii="仿宋" w:hAnsi="仿宋" w:eastAsia="仿宋" w:cs="仿宋"/>
          <w:color w:val="000000" w:themeColor="text1"/>
          <w:highlight w:val="none"/>
          <w14:textFill>
            <w14:solidFill>
              <w14:schemeClr w14:val="tx1"/>
            </w14:solidFill>
          </w14:textFill>
        </w:rPr>
      </w:pPr>
    </w:p>
    <w:p w14:paraId="5BBD21EE">
      <w:pPr>
        <w:pStyle w:val="6"/>
        <w:ind w:firstLine="210"/>
        <w:rPr>
          <w:rFonts w:hint="eastAsia" w:ascii="仿宋" w:hAnsi="仿宋" w:eastAsia="仿宋" w:cs="仿宋"/>
          <w:color w:val="000000" w:themeColor="text1"/>
          <w:highlight w:val="none"/>
          <w14:textFill>
            <w14:solidFill>
              <w14:schemeClr w14:val="tx1"/>
            </w14:solidFill>
          </w14:textFill>
        </w:rPr>
      </w:pPr>
    </w:p>
    <w:p w14:paraId="24AB15FB">
      <w:pPr>
        <w:spacing w:line="360" w:lineRule="auto"/>
        <w:jc w:val="center"/>
        <w:rPr>
          <w:rFonts w:hint="eastAsia" w:ascii="仿宋" w:hAnsi="仿宋" w:eastAsia="仿宋" w:cs="仿宋"/>
          <w:b/>
          <w:bCs/>
          <w:color w:val="000000" w:themeColor="text1"/>
          <w:kern w:val="0"/>
          <w:sz w:val="36"/>
          <w:szCs w:val="36"/>
          <w:highlight w:val="none"/>
          <w14:textFill>
            <w14:solidFill>
              <w14:schemeClr w14:val="tx1"/>
            </w14:solidFill>
          </w14:textFill>
        </w:rPr>
      </w:pPr>
      <w:bookmarkStart w:id="0" w:name="_Toc30654_WPSOffice_Level2"/>
      <w:r>
        <w:rPr>
          <w:rFonts w:hint="eastAsia" w:ascii="仿宋" w:hAnsi="仿宋" w:eastAsia="仿宋" w:cs="仿宋"/>
          <w:bCs/>
          <w:color w:val="000000" w:themeColor="text1"/>
          <w:kern w:val="0"/>
          <w:sz w:val="44"/>
          <w:szCs w:val="44"/>
          <w:highlight w:val="none"/>
          <w14:textFill>
            <w14:solidFill>
              <w14:schemeClr w14:val="tx1"/>
            </w14:solidFill>
          </w14:textFill>
        </w:rPr>
        <w:t>建设工程施工合同</w:t>
      </w:r>
      <w:bookmarkEnd w:id="0"/>
      <w:r>
        <w:rPr>
          <w:rFonts w:hint="eastAsia" w:ascii="仿宋" w:hAnsi="仿宋" w:eastAsia="仿宋" w:cs="仿宋"/>
          <w:bCs/>
          <w:color w:val="000000" w:themeColor="text1"/>
          <w:kern w:val="0"/>
          <w:sz w:val="44"/>
          <w:szCs w:val="44"/>
          <w:highlight w:val="none"/>
          <w14:textFill>
            <w14:solidFill>
              <w14:schemeClr w14:val="tx1"/>
            </w14:solidFill>
          </w14:textFill>
        </w:rPr>
        <w:br w:type="textWrapping"/>
      </w:r>
    </w:p>
    <w:p w14:paraId="6C7A28DE">
      <w:pPr>
        <w:widowControl/>
        <w:jc w:val="center"/>
        <w:rPr>
          <w:rFonts w:hint="eastAsia" w:ascii="仿宋" w:hAnsi="仿宋" w:eastAsia="仿宋" w:cs="仿宋"/>
          <w:b/>
          <w:bCs/>
          <w:color w:val="000000" w:themeColor="text1"/>
          <w:kern w:val="0"/>
          <w:sz w:val="36"/>
          <w:szCs w:val="36"/>
          <w:highlight w:val="none"/>
          <w14:textFill>
            <w14:solidFill>
              <w14:schemeClr w14:val="tx1"/>
            </w14:solidFill>
          </w14:textFill>
        </w:rPr>
      </w:pPr>
    </w:p>
    <w:p w14:paraId="1A3AD551">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774DF748">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368BB5E8">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44979B97">
      <w:pPr>
        <w:widowControl/>
        <w:rPr>
          <w:rFonts w:hint="eastAsia" w:ascii="仿宋" w:hAnsi="仿宋" w:eastAsia="仿宋" w:cs="仿宋"/>
          <w:b/>
          <w:bCs/>
          <w:color w:val="000000" w:themeColor="text1"/>
          <w:kern w:val="0"/>
          <w:sz w:val="32"/>
          <w:szCs w:val="32"/>
          <w:highlight w:val="none"/>
          <w14:textFill>
            <w14:solidFill>
              <w14:schemeClr w14:val="tx1"/>
            </w14:solidFill>
          </w14:textFill>
        </w:rPr>
      </w:pPr>
    </w:p>
    <w:p w14:paraId="6E406679">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031B8112">
      <w:pPr>
        <w:ind w:right="2719" w:rightChars="1295" w:firstLine="3080" w:firstLineChars="1100"/>
        <w:jc w:val="righ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3714750</wp:posOffset>
                </wp:positionH>
                <wp:positionV relativeFrom="paragraph">
                  <wp:posOffset>131445</wp:posOffset>
                </wp:positionV>
                <wp:extent cx="657225" cy="514350"/>
                <wp:effectExtent l="4445" t="4445" r="5080" b="1460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57225" cy="514350"/>
                        </a:xfrm>
                        <a:prstGeom prst="rect">
                          <a:avLst/>
                        </a:prstGeom>
                        <a:noFill/>
                        <a:ln w="9525" cmpd="sng">
                          <a:solidFill>
                            <a:srgbClr val="FFFFFF"/>
                          </a:solidFill>
                          <a:miter lim="800000"/>
                        </a:ln>
                        <a:effectLst/>
                      </wps:spPr>
                      <wps:txbx>
                        <w:txbxContent>
                          <w:p w14:paraId="60C6A433">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92.5pt;margin-top:10.35pt;height:40.5pt;width:51.75pt;z-index:251659264;mso-width-relative:page;mso-height-relative:page;" filled="f" stroked="t" coordsize="21600,21600" o:gfxdata="UEsDBAoAAAAAAIdO4kAAAAAAAAAAAAAAAAAEAAAAZHJzL1BLAwQUAAAACACHTuJAATukm9kAAAAK&#10;AQAADwAAAGRycy9kb3ducmV2LnhtbE2PQU7DMBBF90jcwRokNhW1U5HUCnG6QGLBokBLD+DGJg7E&#10;4yh2knJ7hhUsR/P0//vV7uJ7NtsxdgEVZGsBzGITTIetgtP7050EFpNGo/uAVsG3jbCrr68qXZqw&#10;4MHOx9QyCsFYagUupaHkPDbOeh3XYbBIv48wep3oHFtuRr1QuO/5RoiCe90hNTg92Ednm6/j5BUc&#10;nt3bCu/3+97wufg8vUyvi1wpdXuTiQdgyV7SHwy/+qQONTmdw4Qmsl5BLnPakhRsxBYYAYWUObAz&#10;kSLbAq8r/n9C/QNQSwMEFAAAAAgAh07iQCK2oJxLAgAAdgQAAA4AAABkcnMvZTJvRG9jLnhtbK1U&#10;zW7UMBC+I/EOlu80u8tuaaNmq9KqCKn8SIUH8DpOYmF7zNi7SXkA+gacuHDnufocjJ20rMqlB3KI&#10;7Mz4m2++b5yT08EatlMYNLiKzw9mnCknodaurfjnT5cvjjgLUbhaGHCq4jcq8NP182cnvS/VAjow&#10;tUJGIC6Uva94F6MviyLITlkRDsArR8EG0IpIW2yLGkVP6NYUi9nssOgBa48gVQj09WIM8gkRnwII&#10;TaOlugC5tcrFERWVEZFaCp32ga8z26ZRMn5omqAiMxWnTmN+UxFab9K7WJ+IskXhOy0nCuIpFB71&#10;ZIV2VPQB6kJEwbao/4GyWiIEaOKBBFuMjWRFqIv57JE2153wKvdCUgf/IHr4f7Dy/e4jMl1XfMGZ&#10;E5YMv/txe/fz992v72yR5Ol9KCnr2lNeHF7DQEOTWw3+CuSXwBycd8K16gwR+k6JmujN08li7+iI&#10;ExLIpn8HNdUR2wgZaGjQJu1IDUboZM3NgzVqiEzSx8PVq8VixZmk0Gq+fLnK1hWivD/sMcQ3CixL&#10;i4ojOZ/Bxe4qxERGlPcpqZaDS21Mdt841lf8eJXhrScpgmvHDsHoOuWlEwHbzblBthM0Spf5yU1S&#10;ZD/N6kjXw2hb8aNZeqYk4xKIyiM5MUryJEVGbeKwGSa5N1DfkFAI47jSZaVFB/iNs55GlQh+3QpU&#10;nJm3jsQ+ni+XabbzZklC0Qb3I5v9iHCSoCoeORuX53G8D1uPuu2o0mivgzMyqNFZvER1ZDXZSuOY&#10;NZ2uTpr3/X3O+vu7WP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ATukm9kAAAAKAQAADwAAAAAA&#10;AAABACAAAAAiAAAAZHJzL2Rvd25yZXYueG1sUEsBAhQAFAAAAAgAh07iQCK2oJxLAgAAdgQAAA4A&#10;AAAAAAAAAQAgAAAAKAEAAGRycy9lMm9Eb2MueG1sUEsFBgAAAAAGAAYAWQEAAOUFAAAAAA==&#10;">
                <v:fill on="f" focussize="0,0"/>
                <v:stroke color="#FFFFFF" miterlimit="8" joinstyle="miter"/>
                <v:imagedata o:title=""/>
                <o:lock v:ext="edit" aspectratio="f"/>
                <v:textbox>
                  <w:txbxContent>
                    <w:p w14:paraId="60C6A433">
                      <w:pPr>
                        <w:rPr>
                          <w:b/>
                          <w:bCs/>
                          <w:sz w:val="32"/>
                        </w:rPr>
                      </w:pPr>
                      <w:r>
                        <w:rPr>
                          <w:rFonts w:hint="eastAsia"/>
                          <w:b/>
                          <w:bCs/>
                          <w:sz w:val="32"/>
                        </w:rPr>
                        <w:t>制定</w:t>
                      </w:r>
                    </w:p>
                  </w:txbxContent>
                </v:textbox>
              </v:shape>
            </w:pict>
          </mc:Fallback>
        </mc:AlternateContent>
      </w:r>
      <w:r>
        <w:rPr>
          <w:rFonts w:hint="eastAsia" w:ascii="仿宋" w:hAnsi="仿宋" w:eastAsia="仿宋" w:cs="仿宋"/>
          <w:b/>
          <w:color w:val="000000" w:themeColor="text1"/>
          <w:sz w:val="28"/>
          <w:szCs w:val="28"/>
          <w:highlight w:val="none"/>
          <w14:textFill>
            <w14:solidFill>
              <w14:schemeClr w14:val="tx1"/>
            </w14:solidFill>
          </w14:textFill>
        </w:rPr>
        <w:t>住房和城乡建设部</w:t>
      </w:r>
    </w:p>
    <w:p w14:paraId="25A61D9B">
      <w:pPr>
        <w:ind w:right="2719" w:rightChars="1295" w:firstLine="2406" w:firstLineChars="856"/>
        <w:jc w:val="right"/>
        <w:rPr>
          <w:rFonts w:hint="eastAsia" w:ascii="仿宋" w:hAnsi="仿宋" w:eastAsia="仿宋" w:cs="仿宋"/>
          <w:b/>
          <w:color w:val="000000" w:themeColor="text1"/>
          <w:sz w:val="28"/>
          <w:szCs w:val="28"/>
          <w:highlight w:val="none"/>
          <w14:textFill>
            <w14:solidFill>
              <w14:schemeClr w14:val="tx1"/>
            </w14:solidFill>
          </w14:textFill>
        </w:rPr>
      </w:pPr>
      <w:bookmarkStart w:id="1" w:name="_Toc30486_WPSOffice_Level2"/>
      <w:r>
        <w:rPr>
          <w:rFonts w:hint="eastAsia" w:ascii="仿宋" w:hAnsi="仿宋" w:eastAsia="仿宋" w:cs="仿宋"/>
          <w:b/>
          <w:color w:val="000000" w:themeColor="text1"/>
          <w:sz w:val="28"/>
          <w:szCs w:val="28"/>
          <w:highlight w:val="none"/>
          <w14:textFill>
            <w14:solidFill>
              <w14:schemeClr w14:val="tx1"/>
            </w14:solidFill>
          </w14:textFill>
        </w:rPr>
        <w:t>国家工商行政管理总局</w:t>
      </w:r>
      <w:bookmarkEnd w:id="1"/>
    </w:p>
    <w:p w14:paraId="0668A7EA">
      <w:pPr>
        <w:widowControl/>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15BD4AD3">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第一部分合同协议书</w:t>
      </w:r>
    </w:p>
    <w:p w14:paraId="343EDBCE">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发包人（全称）：</w:t>
      </w:r>
    </w:p>
    <w:p w14:paraId="4C231001">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承包人（全称）：</w:t>
      </w:r>
    </w:p>
    <w:p w14:paraId="4A2890C3">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仿宋" w:hAnsi="仿宋" w:eastAsia="仿宋" w:cs="仿宋"/>
          <w:color w:val="000000" w:themeColor="text1"/>
          <w:sz w:val="20"/>
          <w:szCs w:val="20"/>
          <w:highlight w:val="none"/>
          <w:u w:val="single"/>
          <w14:textFill>
            <w14:solidFill>
              <w14:schemeClr w14:val="tx1"/>
            </w14:solidFill>
          </w14:textFill>
        </w:rPr>
        <w:t>（项目名称）（项目编号）</w:t>
      </w:r>
      <w:r>
        <w:rPr>
          <w:rFonts w:hint="eastAsia" w:ascii="仿宋" w:hAnsi="仿宋" w:eastAsia="仿宋" w:cs="仿宋"/>
          <w:color w:val="000000" w:themeColor="text1"/>
          <w:sz w:val="20"/>
          <w:szCs w:val="20"/>
          <w:highlight w:val="none"/>
          <w14:textFill>
            <w14:solidFill>
              <w14:schemeClr w14:val="tx1"/>
            </w14:solidFill>
          </w14:textFill>
        </w:rPr>
        <w:t>施工及有关事项协商一致，共同达成如下协议：</w:t>
      </w:r>
    </w:p>
    <w:p w14:paraId="4434B0F1">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 w:name="_Toc351203481"/>
      <w:r>
        <w:rPr>
          <w:rFonts w:hint="eastAsia" w:ascii="仿宋" w:hAnsi="仿宋" w:eastAsia="仿宋" w:cs="仿宋"/>
          <w:b/>
          <w:color w:val="000000" w:themeColor="text1"/>
          <w:sz w:val="20"/>
          <w:szCs w:val="20"/>
          <w:highlight w:val="none"/>
          <w14:textFill>
            <w14:solidFill>
              <w14:schemeClr w14:val="tx1"/>
            </w14:solidFill>
          </w14:textFill>
        </w:rPr>
        <w:t>一、工程概况</w:t>
      </w:r>
      <w:bookmarkEnd w:id="2"/>
    </w:p>
    <w:p w14:paraId="1BC5426A">
      <w:pPr>
        <w:keepLines w:val="0"/>
        <w:pageBreakBefore w:val="0"/>
        <w:kinsoku/>
        <w:wordWrap/>
        <w:overflowPunct/>
        <w:topLinePunct w:val="0"/>
        <w:bidi w:val="0"/>
        <w:spacing w:line="300"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1.工程名称</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67BD11FF">
      <w:pPr>
        <w:keepLines w:val="0"/>
        <w:pageBreakBefore w:val="0"/>
        <w:kinsoku/>
        <w:wordWrap/>
        <w:overflowPunct/>
        <w:topLinePunct w:val="0"/>
        <w:bidi w:val="0"/>
        <w:spacing w:line="300"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2.工程地点：</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2D8858EF">
      <w:pPr>
        <w:keepLines w:val="0"/>
        <w:pageBreakBefore w:val="0"/>
        <w:kinsoku/>
        <w:wordWrap/>
        <w:overflowPunct/>
        <w:topLinePunct w:val="0"/>
        <w:bidi w:val="0"/>
        <w:spacing w:line="300"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3</w:t>
      </w:r>
      <w:r>
        <w:rPr>
          <w:rFonts w:hint="eastAsia" w:ascii="仿宋" w:hAnsi="仿宋" w:eastAsia="仿宋" w:cs="仿宋"/>
          <w:bCs/>
          <w:color w:val="000000" w:themeColor="text1"/>
          <w:sz w:val="20"/>
          <w:szCs w:val="20"/>
          <w:highlight w:val="none"/>
          <w14:textFill>
            <w14:solidFill>
              <w14:schemeClr w14:val="tx1"/>
            </w14:solidFill>
          </w14:textFill>
        </w:rPr>
        <w:t>.工程内容：</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026114F3">
      <w:pPr>
        <w:keepLines w:val="0"/>
        <w:pageBreakBefore w:val="0"/>
        <w:kinsoku/>
        <w:wordWrap/>
        <w:overflowPunct/>
        <w:topLinePunct w:val="0"/>
        <w:bidi w:val="0"/>
        <w:spacing w:line="300" w:lineRule="auto"/>
        <w:ind w:firstLine="392" w:firstLineChars="196"/>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4</w:t>
      </w:r>
      <w:r>
        <w:rPr>
          <w:rFonts w:hint="eastAsia" w:ascii="仿宋" w:hAnsi="仿宋" w:eastAsia="仿宋" w:cs="仿宋"/>
          <w:bCs/>
          <w:color w:val="000000" w:themeColor="text1"/>
          <w:sz w:val="20"/>
          <w:szCs w:val="20"/>
          <w:highlight w:val="none"/>
          <w14:textFill>
            <w14:solidFill>
              <w14:schemeClr w14:val="tx1"/>
            </w14:solidFill>
          </w14:textFill>
        </w:rPr>
        <w:t>.工程承包范围：</w:t>
      </w:r>
      <w:r>
        <w:rPr>
          <w:rFonts w:hint="eastAsia" w:ascii="仿宋" w:hAnsi="仿宋" w:eastAsia="仿宋" w:cs="仿宋"/>
          <w:bCs/>
          <w:color w:val="000000" w:themeColor="text1"/>
          <w:sz w:val="20"/>
          <w:szCs w:val="20"/>
          <w:highlight w:val="none"/>
          <w:u w:val="single"/>
          <w14:textFill>
            <w14:solidFill>
              <w14:schemeClr w14:val="tx1"/>
            </w14:solidFill>
          </w14:textFill>
        </w:rPr>
        <w:t>工程量清单、答疑以及本</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采购</w:t>
      </w:r>
      <w:r>
        <w:rPr>
          <w:rFonts w:hint="eastAsia" w:ascii="仿宋" w:hAnsi="仿宋" w:eastAsia="仿宋" w:cs="仿宋"/>
          <w:bCs/>
          <w:color w:val="000000" w:themeColor="text1"/>
          <w:sz w:val="20"/>
          <w:szCs w:val="20"/>
          <w:highlight w:val="none"/>
          <w:u w:val="single"/>
          <w14:textFill>
            <w14:solidFill>
              <w14:schemeClr w14:val="tx1"/>
            </w14:solidFill>
          </w14:textFill>
        </w:rPr>
        <w:t>文件规定的全部内容。文字与清单不符时，以清单为准。</w:t>
      </w:r>
      <w:bookmarkStart w:id="3" w:name="_Toc351203482"/>
    </w:p>
    <w:p w14:paraId="03A1D875">
      <w:pPr>
        <w:keepLines w:val="0"/>
        <w:pageBreakBefore w:val="0"/>
        <w:kinsoku/>
        <w:wordWrap/>
        <w:overflowPunct/>
        <w:topLinePunct w:val="0"/>
        <w:bidi w:val="0"/>
        <w:spacing w:line="300" w:lineRule="auto"/>
        <w:ind w:firstLine="392" w:firstLineChars="196"/>
        <w:textAlignment w:val="auto"/>
        <w:rPr>
          <w:rFonts w:hint="eastAsia"/>
          <w:color w:val="000000" w:themeColor="text1"/>
          <w:highlight w:val="non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5</w:t>
      </w:r>
      <w:r>
        <w:rPr>
          <w:rFonts w:hint="eastAsia" w:ascii="仿宋" w:hAnsi="仿宋" w:eastAsia="仿宋" w:cs="仿宋"/>
          <w:bCs/>
          <w:color w:val="000000" w:themeColor="text1"/>
          <w:sz w:val="20"/>
          <w:szCs w:val="20"/>
          <w:highlight w:val="none"/>
          <w14:textFill>
            <w14:solidFill>
              <w14:schemeClr w14:val="tx1"/>
            </w14:solidFill>
          </w14:textFill>
        </w:rPr>
        <w:t>.</w:t>
      </w:r>
      <w:r>
        <w:rPr>
          <w:rFonts w:hint="eastAsia" w:ascii="仿宋" w:hAnsi="仿宋" w:eastAsia="仿宋" w:cs="仿宋"/>
          <w:bCs/>
          <w:color w:val="000000" w:themeColor="text1"/>
          <w:sz w:val="20"/>
          <w:szCs w:val="20"/>
          <w:highlight w:val="none"/>
          <w:lang w:val="en-US" w:eastAsia="zh-CN"/>
          <w14:textFill>
            <w14:solidFill>
              <w14:schemeClr w14:val="tx1"/>
            </w14:solidFill>
          </w14:textFill>
        </w:rPr>
        <w:t>其他相关</w:t>
      </w:r>
      <w:r>
        <w:rPr>
          <w:rFonts w:hint="eastAsia" w:ascii="仿宋" w:hAnsi="仿宋" w:eastAsia="仿宋" w:cs="仿宋"/>
          <w:bCs/>
          <w:color w:val="000000" w:themeColor="text1"/>
          <w:sz w:val="20"/>
          <w:szCs w:val="20"/>
          <w:highlight w:val="none"/>
          <w14:textFill>
            <w14:solidFill>
              <w14:schemeClr w14:val="tx1"/>
            </w14:solidFill>
          </w14:textFill>
        </w:rPr>
        <w:t>内容：。</w:t>
      </w:r>
    </w:p>
    <w:p w14:paraId="0D609DC8">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二、合同工期</w:t>
      </w:r>
      <w:bookmarkEnd w:id="3"/>
    </w:p>
    <w:p w14:paraId="56ADA092">
      <w:pPr>
        <w:keepLines w:val="0"/>
        <w:pageBreakBefore w:val="0"/>
        <w:kinsoku/>
        <w:wordWrap/>
        <w:overflowPunct/>
        <w:topLinePunct w:val="0"/>
        <w:bidi w:val="0"/>
        <w:spacing w:line="300"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计划开工日期：</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644E8975">
      <w:pPr>
        <w:keepLines w:val="0"/>
        <w:pageBreakBefore w:val="0"/>
        <w:kinsoku/>
        <w:wordWrap/>
        <w:overflowPunct/>
        <w:topLinePunct w:val="0"/>
        <w:bidi w:val="0"/>
        <w:spacing w:line="300"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计划竣工日期：</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54CE536F">
      <w:pPr>
        <w:keepLines w:val="0"/>
        <w:pageBreakBefore w:val="0"/>
        <w:kinsoku/>
        <w:wordWrap/>
        <w:overflowPunct/>
        <w:topLinePunct w:val="0"/>
        <w:bidi w:val="0"/>
        <w:spacing w:line="300"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工期总日历天数：</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天。工期总日历天数与根据前述计划开竣工日期计算的工期天数不一致的，以工期总日历天数为准。</w:t>
      </w:r>
    </w:p>
    <w:p w14:paraId="2354C117">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 w:name="_Toc351203483"/>
      <w:r>
        <w:rPr>
          <w:rFonts w:hint="eastAsia" w:ascii="仿宋" w:hAnsi="仿宋" w:eastAsia="仿宋" w:cs="仿宋"/>
          <w:b/>
          <w:color w:val="000000" w:themeColor="text1"/>
          <w:sz w:val="20"/>
          <w:szCs w:val="20"/>
          <w:highlight w:val="none"/>
          <w14:textFill>
            <w14:solidFill>
              <w14:schemeClr w14:val="tx1"/>
            </w14:solidFill>
          </w14:textFill>
        </w:rPr>
        <w:t>三、质量标准</w:t>
      </w:r>
      <w:bookmarkEnd w:id="4"/>
    </w:p>
    <w:p w14:paraId="10339458">
      <w:pPr>
        <w:keepLines w:val="0"/>
        <w:pageBreakBefore w:val="0"/>
        <w:kinsoku/>
        <w:wordWrap/>
        <w:overflowPunct/>
        <w:topLinePunct w:val="0"/>
        <w:bidi w:val="0"/>
        <w:spacing w:line="300"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工程质量符合标准。</w:t>
      </w:r>
      <w:bookmarkStart w:id="5" w:name="_Toc351203484"/>
    </w:p>
    <w:p w14:paraId="416542D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四、签约合同价与合同价格形式</w:t>
      </w:r>
      <w:bookmarkEnd w:id="5"/>
      <w:r>
        <w:rPr>
          <w:rFonts w:hint="eastAsia" w:ascii="仿宋" w:hAnsi="仿宋" w:eastAsia="仿宋" w:cs="仿宋"/>
          <w:b/>
          <w:color w:val="000000" w:themeColor="text1"/>
          <w:sz w:val="20"/>
          <w:szCs w:val="20"/>
          <w:highlight w:val="none"/>
          <w14:textFill>
            <w14:solidFill>
              <w14:schemeClr w14:val="tx1"/>
            </w14:solidFill>
          </w14:textFill>
        </w:rPr>
        <w:tab/>
      </w:r>
    </w:p>
    <w:p w14:paraId="3A709093">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1.签约合同价为：</w:t>
      </w:r>
    </w:p>
    <w:p w14:paraId="1AD8F4AB">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人民币（大写）(¥)</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751BB82">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其中：</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75EF0CB7">
      <w:pPr>
        <w:keepLines w:val="0"/>
        <w:pageBreakBefore w:val="0"/>
        <w:kinsoku/>
        <w:wordWrap/>
        <w:overflowPunct/>
        <w:topLinePunct w:val="0"/>
        <w:bidi w:val="0"/>
        <w:spacing w:line="300" w:lineRule="auto"/>
        <w:ind w:firstLine="1000" w:firstLineChars="5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78F9013F">
      <w:pPr>
        <w:keepLines w:val="0"/>
        <w:pageBreakBefore w:val="0"/>
        <w:kinsoku/>
        <w:wordWrap/>
        <w:overflowPunct/>
        <w:topLinePunct w:val="0"/>
        <w:bidi w:val="0"/>
        <w:spacing w:line="300" w:lineRule="auto"/>
        <w:ind w:firstLine="1000" w:firstLineChars="5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1DC682DA">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2.合同价格形式：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C5BF32D">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 w:name="_Toc351203485"/>
      <w:r>
        <w:rPr>
          <w:rFonts w:hint="eastAsia" w:ascii="仿宋" w:hAnsi="仿宋" w:eastAsia="仿宋" w:cs="仿宋"/>
          <w:b/>
          <w:color w:val="000000" w:themeColor="text1"/>
          <w:sz w:val="20"/>
          <w:szCs w:val="20"/>
          <w:highlight w:val="none"/>
          <w14:textFill>
            <w14:solidFill>
              <w14:schemeClr w14:val="tx1"/>
            </w14:solidFill>
          </w14:textFill>
        </w:rPr>
        <w:t>五、</w:t>
      </w:r>
      <w:bookmarkEnd w:id="6"/>
      <w:r>
        <w:rPr>
          <w:rFonts w:hint="eastAsia" w:ascii="仿宋" w:hAnsi="仿宋" w:eastAsia="仿宋" w:cs="仿宋"/>
          <w:b/>
          <w:color w:val="000000" w:themeColor="text1"/>
          <w:sz w:val="20"/>
          <w:szCs w:val="20"/>
          <w:highlight w:val="none"/>
          <w14:textFill>
            <w14:solidFill>
              <w14:schemeClr w14:val="tx1"/>
            </w14:solidFill>
          </w14:textFill>
        </w:rPr>
        <w:t>项目经理</w:t>
      </w:r>
    </w:p>
    <w:p w14:paraId="7C3A01F7">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承包人项目经理：</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6571F31">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7" w:name="_Toc351203486"/>
      <w:r>
        <w:rPr>
          <w:rFonts w:hint="eastAsia" w:ascii="仿宋" w:hAnsi="仿宋" w:eastAsia="仿宋" w:cs="仿宋"/>
          <w:b/>
          <w:color w:val="000000" w:themeColor="text1"/>
          <w:sz w:val="20"/>
          <w:szCs w:val="20"/>
          <w:highlight w:val="none"/>
          <w14:textFill>
            <w14:solidFill>
              <w14:schemeClr w14:val="tx1"/>
            </w14:solidFill>
          </w14:textFill>
        </w:rPr>
        <w:t>六、合同文件构成</w:t>
      </w:r>
      <w:bookmarkEnd w:id="7"/>
    </w:p>
    <w:p w14:paraId="38C435B6">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本协议书与下列文件一起构成合同文件：</w:t>
      </w:r>
    </w:p>
    <w:p w14:paraId="6E8D4CEC">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（1）中标</w:t>
      </w:r>
      <w:r>
        <w:rPr>
          <w:rFonts w:hint="eastAsia" w:ascii="仿宋" w:hAnsi="仿宋" w:eastAsia="仿宋" w:cs="仿宋"/>
          <w:color w:val="000000" w:themeColor="text1"/>
          <w:sz w:val="20"/>
          <w:szCs w:val="20"/>
          <w:highlight w:val="none"/>
          <w:lang w:val="en-US" w:eastAsia="zh-CN"/>
          <w14:textFill>
            <w14:solidFill>
              <w14:schemeClr w14:val="tx1"/>
            </w14:solidFill>
          </w14:textFill>
        </w:rPr>
        <w:t>(成交)</w:t>
      </w:r>
      <w:r>
        <w:rPr>
          <w:rFonts w:hint="eastAsia" w:ascii="仿宋" w:hAnsi="仿宋" w:eastAsia="仿宋" w:cs="仿宋"/>
          <w:color w:val="000000" w:themeColor="text1"/>
          <w:sz w:val="20"/>
          <w:szCs w:val="20"/>
          <w:highlight w:val="none"/>
          <w14:textFill>
            <w14:solidFill>
              <w14:schemeClr w14:val="tx1"/>
            </w14:solidFill>
          </w14:textFill>
        </w:rPr>
        <w:t>通知书；</w:t>
      </w:r>
    </w:p>
    <w:p w14:paraId="7C338A5F">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（2）投标</w:t>
      </w:r>
      <w:r>
        <w:rPr>
          <w:rFonts w:hint="eastAsia" w:ascii="仿宋" w:hAnsi="仿宋" w:eastAsia="仿宋" w:cs="仿宋"/>
          <w:color w:val="000000" w:themeColor="text1"/>
          <w:sz w:val="20"/>
          <w:szCs w:val="20"/>
          <w:highlight w:val="non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14:textFill>
            <w14:solidFill>
              <w14:schemeClr w14:val="tx1"/>
            </w14:solidFill>
          </w14:textFill>
        </w:rPr>
        <w:t>函及其附录</w:t>
      </w:r>
      <w:r>
        <w:rPr>
          <w:rFonts w:hint="eastAsia" w:ascii="仿宋" w:hAnsi="仿宋" w:eastAsia="仿宋" w:cs="仿宋"/>
          <w:color w:val="000000" w:themeColor="text1"/>
          <w:sz w:val="20"/>
          <w:szCs w:val="20"/>
          <w:highlight w:val="none"/>
          <w:lang w:val="en-US" w:eastAsia="zh-CN"/>
          <w14:textFill>
            <w14:solidFill>
              <w14:schemeClr w14:val="tx1"/>
            </w14:solidFill>
          </w14:textFill>
        </w:rPr>
        <w:t>(如有)</w:t>
      </w:r>
      <w:r>
        <w:rPr>
          <w:rFonts w:hint="eastAsia" w:ascii="仿宋" w:hAnsi="仿宋" w:eastAsia="仿宋" w:cs="仿宋"/>
          <w:color w:val="000000" w:themeColor="text1"/>
          <w:sz w:val="20"/>
          <w:szCs w:val="20"/>
          <w:highlight w:val="none"/>
          <w14:textFill>
            <w14:solidFill>
              <w14:schemeClr w14:val="tx1"/>
            </w14:solidFill>
          </w14:textFill>
        </w:rPr>
        <w:t>；</w:t>
      </w:r>
    </w:p>
    <w:p w14:paraId="1262428A">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（3）专用合同条款及其附件；</w:t>
      </w:r>
    </w:p>
    <w:p w14:paraId="4A4DAF9A">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（4）通用合同条款；</w:t>
      </w:r>
    </w:p>
    <w:p w14:paraId="1452119A">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（5）技术标准和要求；</w:t>
      </w:r>
    </w:p>
    <w:p w14:paraId="0203B777">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（6）图纸；</w:t>
      </w:r>
    </w:p>
    <w:p w14:paraId="251E9AD1">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（7）已标价工程量清单或预算书；</w:t>
      </w:r>
    </w:p>
    <w:p w14:paraId="23AD5078">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（8）其他合同文件。</w:t>
      </w:r>
    </w:p>
    <w:p w14:paraId="2268F776">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在合同订立及履行过程中形成的与合同有关的文件均构成合同文件组成部分。</w:t>
      </w:r>
    </w:p>
    <w:p w14:paraId="0BC75D62">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6221B30">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 w:name="_Toc351203487"/>
      <w:r>
        <w:rPr>
          <w:rFonts w:hint="eastAsia" w:ascii="仿宋" w:hAnsi="仿宋" w:eastAsia="仿宋" w:cs="仿宋"/>
          <w:b/>
          <w:color w:val="000000" w:themeColor="text1"/>
          <w:sz w:val="20"/>
          <w:szCs w:val="20"/>
          <w:highlight w:val="none"/>
          <w14:textFill>
            <w14:solidFill>
              <w14:schemeClr w14:val="tx1"/>
            </w14:solidFill>
          </w14:textFill>
        </w:rPr>
        <w:t>七、承诺</w:t>
      </w:r>
      <w:bookmarkEnd w:id="8"/>
    </w:p>
    <w:p w14:paraId="1975E420">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1.发包人承诺按照法律规定履行项目审批手续、筹集工程建设资金并按照合同约定的期限和方式支付合同价款。</w:t>
      </w:r>
    </w:p>
    <w:p w14:paraId="0D86EFD3">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02D28726">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3.发包人和承包人通过招投标形式签订合同的，双方理解并承诺不再就同一工程另行签订与合同实质性内容相背离的协议。</w:t>
      </w:r>
    </w:p>
    <w:p w14:paraId="4AFE74A2">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9" w:name="_Toc351203488"/>
      <w:r>
        <w:rPr>
          <w:rFonts w:hint="eastAsia" w:ascii="仿宋" w:hAnsi="仿宋" w:eastAsia="仿宋" w:cs="仿宋"/>
          <w:b/>
          <w:color w:val="000000" w:themeColor="text1"/>
          <w:sz w:val="20"/>
          <w:szCs w:val="20"/>
          <w:highlight w:val="none"/>
          <w14:textFill>
            <w14:solidFill>
              <w14:schemeClr w14:val="tx1"/>
            </w14:solidFill>
          </w14:textFill>
        </w:rPr>
        <w:t>八、词语含义</w:t>
      </w:r>
      <w:bookmarkEnd w:id="9"/>
    </w:p>
    <w:p w14:paraId="5EFDFBAB">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本协议书中词语含义与第二部分通用合同条款中赋予的含义相同。</w:t>
      </w:r>
    </w:p>
    <w:p w14:paraId="0D9BA8CF">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0" w:name="_Toc351203489"/>
      <w:r>
        <w:rPr>
          <w:rFonts w:hint="eastAsia" w:ascii="仿宋" w:hAnsi="仿宋" w:eastAsia="仿宋" w:cs="仿宋"/>
          <w:b/>
          <w:color w:val="000000" w:themeColor="text1"/>
          <w:sz w:val="20"/>
          <w:szCs w:val="20"/>
          <w:highlight w:val="none"/>
          <w14:textFill>
            <w14:solidFill>
              <w14:schemeClr w14:val="tx1"/>
            </w14:solidFill>
          </w14:textFill>
        </w:rPr>
        <w:t>九、签订时间</w:t>
      </w:r>
      <w:bookmarkEnd w:id="10"/>
    </w:p>
    <w:p w14:paraId="6C25151C">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本合同于</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年</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月</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日签订。</w:t>
      </w:r>
    </w:p>
    <w:p w14:paraId="657B144F">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1" w:name="_Toc351203490"/>
      <w:r>
        <w:rPr>
          <w:rFonts w:hint="eastAsia" w:ascii="仿宋" w:hAnsi="仿宋" w:eastAsia="仿宋" w:cs="仿宋"/>
          <w:b/>
          <w:color w:val="000000" w:themeColor="text1"/>
          <w:sz w:val="20"/>
          <w:szCs w:val="20"/>
          <w:highlight w:val="none"/>
          <w14:textFill>
            <w14:solidFill>
              <w14:schemeClr w14:val="tx1"/>
            </w14:solidFill>
          </w14:textFill>
        </w:rPr>
        <w:t>十、签订地点</w:t>
      </w:r>
      <w:bookmarkEnd w:id="11"/>
    </w:p>
    <w:p w14:paraId="0FC34C20">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本合同在</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签订。</w:t>
      </w:r>
    </w:p>
    <w:p w14:paraId="107BA756">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2" w:name="_Toc351203491"/>
      <w:r>
        <w:rPr>
          <w:rFonts w:hint="eastAsia" w:ascii="仿宋" w:hAnsi="仿宋" w:eastAsia="仿宋" w:cs="仿宋"/>
          <w:b/>
          <w:color w:val="000000" w:themeColor="text1"/>
          <w:sz w:val="20"/>
          <w:szCs w:val="20"/>
          <w:highlight w:val="none"/>
          <w14:textFill>
            <w14:solidFill>
              <w14:schemeClr w14:val="tx1"/>
            </w14:solidFill>
          </w14:textFill>
        </w:rPr>
        <w:t>十一、补充协议</w:t>
      </w:r>
      <w:bookmarkEnd w:id="12"/>
    </w:p>
    <w:p w14:paraId="1FE2B8EB">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合同未尽事宜，合同当事人另行签订补充协议，补充协议是合同的组成部分。</w:t>
      </w:r>
    </w:p>
    <w:p w14:paraId="1DC1EB9D">
      <w:pPr>
        <w:keepLines w:val="0"/>
        <w:pageBreakBefore w:val="0"/>
        <w:kinsoku/>
        <w:wordWrap/>
        <w:overflowPunct/>
        <w:topLinePunct w:val="0"/>
        <w:bidi w:val="0"/>
        <w:spacing w:line="300"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3" w:name="_Toc351203492"/>
      <w:r>
        <w:rPr>
          <w:rFonts w:hint="eastAsia" w:ascii="仿宋" w:hAnsi="仿宋" w:eastAsia="仿宋" w:cs="仿宋"/>
          <w:b/>
          <w:color w:val="000000" w:themeColor="text1"/>
          <w:sz w:val="20"/>
          <w:szCs w:val="20"/>
          <w:highlight w:val="none"/>
          <w14:textFill>
            <w14:solidFill>
              <w14:schemeClr w14:val="tx1"/>
            </w14:solidFill>
          </w14:textFill>
        </w:rPr>
        <w:t>十二、合同生效</w:t>
      </w:r>
      <w:bookmarkEnd w:id="13"/>
    </w:p>
    <w:p w14:paraId="69F3189C">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本合同自</w:t>
      </w:r>
      <w:r>
        <w:rPr>
          <w:rFonts w:hint="eastAsia" w:ascii="仿宋" w:hAnsi="仿宋" w:eastAsia="仿宋" w:cs="仿宋"/>
          <w:bCs/>
          <w:color w:val="000000" w:themeColor="text1"/>
          <w:sz w:val="20"/>
          <w:szCs w:val="20"/>
          <w:highlight w:val="none"/>
          <w:u w:val="single"/>
          <w14:textFill>
            <w14:solidFill>
              <w14:schemeClr w14:val="tx1"/>
            </w14:solidFill>
          </w14:textFill>
        </w:rPr>
        <w:t>双方签字盖章后</w:t>
      </w:r>
      <w:r>
        <w:rPr>
          <w:rFonts w:hint="eastAsia" w:ascii="仿宋" w:hAnsi="仿宋" w:eastAsia="仿宋" w:cs="仿宋"/>
          <w:bCs/>
          <w:color w:val="000000" w:themeColor="text1"/>
          <w:sz w:val="20"/>
          <w:szCs w:val="20"/>
          <w:highlight w:val="none"/>
          <w14:textFill>
            <w14:solidFill>
              <w14:schemeClr w14:val="tx1"/>
            </w14:solidFill>
          </w14:textFill>
        </w:rPr>
        <w:t>生效。</w:t>
      </w:r>
    </w:p>
    <w:p w14:paraId="70240E53">
      <w:pPr>
        <w:keepLines w:val="0"/>
        <w:pageBreakBefore w:val="0"/>
        <w:kinsoku/>
        <w:wordWrap/>
        <w:overflowPunct/>
        <w:topLinePunct w:val="0"/>
        <w:bidi w:val="0"/>
        <w:spacing w:line="300"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4" w:name="_Toc351203493"/>
      <w:r>
        <w:rPr>
          <w:rFonts w:hint="eastAsia" w:ascii="仿宋" w:hAnsi="仿宋" w:eastAsia="仿宋" w:cs="仿宋"/>
          <w:b/>
          <w:color w:val="000000" w:themeColor="text1"/>
          <w:sz w:val="20"/>
          <w:szCs w:val="20"/>
          <w:highlight w:val="none"/>
          <w14:textFill>
            <w14:solidFill>
              <w14:schemeClr w14:val="tx1"/>
            </w14:solidFill>
          </w14:textFill>
        </w:rPr>
        <w:t>十三、合同份数</w:t>
      </w:r>
      <w:bookmarkEnd w:id="14"/>
    </w:p>
    <w:p w14:paraId="515836B1">
      <w:pPr>
        <w:keepLines w:val="0"/>
        <w:pageBreakBefore w:val="0"/>
        <w:kinsoku/>
        <w:wordWrap/>
        <w:overflowPunct/>
        <w:topLinePunct w:val="0"/>
        <w:bidi w:val="0"/>
        <w:spacing w:line="300" w:lineRule="auto"/>
        <w:ind w:left="210" w:leftChars="100" w:firstLine="200" w:firstLineChars="1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本合同一式份，均具有同等法律效力，发包人执</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份，承包人执</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w:t>
      </w:r>
    </w:p>
    <w:p w14:paraId="4C5E824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发包人：(公章)</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承包人：(公章)</w:t>
      </w:r>
    </w:p>
    <w:p w14:paraId="4796F7C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法定代表人或其委托代理人：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法定代表人或其委托代理人：</w:t>
      </w:r>
    </w:p>
    <w:p w14:paraId="44E9BA4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（签字）</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（签字）</w:t>
      </w:r>
    </w:p>
    <w:p w14:paraId="7DE014A1">
      <w:pPr>
        <w:keepLines w:val="0"/>
        <w:pageBreakBefore w:val="0"/>
        <w:tabs>
          <w:tab w:val="left" w:pos="4410"/>
        </w:tabs>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组织机构代码：</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组织机构代码：</w:t>
      </w:r>
    </w:p>
    <w:p w14:paraId="7EEAC32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地址：</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地址：</w:t>
      </w:r>
    </w:p>
    <w:p w14:paraId="5F950B6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邮政编码：</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邮政编码：</w:t>
      </w:r>
    </w:p>
    <w:p w14:paraId="1ECF9DA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w:t>
      </w:r>
    </w:p>
    <w:p w14:paraId="235437D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委托代理人：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委托代理人：</w:t>
      </w:r>
    </w:p>
    <w:p w14:paraId="6A7E243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电话：</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电话：</w:t>
      </w:r>
    </w:p>
    <w:p w14:paraId="66F5E0C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传真：</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传真：</w:t>
      </w:r>
    </w:p>
    <w:p w14:paraId="769492C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电子信箱：</w:t>
      </w:r>
    </w:p>
    <w:p w14:paraId="1A939F5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开户银行：</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开户银行：</w:t>
      </w:r>
    </w:p>
    <w:p w14:paraId="5DDB912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账号：</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账号：</w:t>
      </w:r>
    </w:p>
    <w:p w14:paraId="71D7E7C0">
      <w:pPr>
        <w:keepLines w:val="0"/>
        <w:pageBreakBefore w:val="0"/>
        <w:kinsoku/>
        <w:wordWrap/>
        <w:overflowPunct/>
        <w:topLinePunct w:val="0"/>
        <w:bidi w:val="0"/>
        <w:spacing w:line="300" w:lineRule="auto"/>
        <w:jc w:val="left"/>
        <w:textAlignment w:val="auto"/>
        <w:rPr>
          <w:rFonts w:hint="eastAsia" w:ascii="仿宋" w:hAnsi="仿宋" w:eastAsia="仿宋" w:cs="仿宋"/>
          <w:bCs/>
          <w:color w:val="000000" w:themeColor="text1"/>
          <w:kern w:val="0"/>
          <w:sz w:val="20"/>
          <w:szCs w:val="20"/>
          <w:highlight w:val="none"/>
          <w14:textFill>
            <w14:solidFill>
              <w14:schemeClr w14:val="tx1"/>
            </w14:solidFill>
          </w14:textFill>
        </w:rPr>
      </w:pPr>
    </w:p>
    <w:p w14:paraId="593A732B">
      <w:pPr>
        <w:keepLines w:val="0"/>
        <w:pageBreakBefore w:val="0"/>
        <w:widowControl/>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39DDEE03">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第二部分通用合同条款</w:t>
      </w:r>
    </w:p>
    <w:p w14:paraId="3833B02D">
      <w:pPr>
        <w:keepLines w:val="0"/>
        <w:pageBreakBefore w:val="0"/>
        <w:kinsoku/>
        <w:wordWrap/>
        <w:overflowPunct/>
        <w:topLinePunct w:val="0"/>
        <w:bidi w:val="0"/>
        <w:spacing w:line="300" w:lineRule="auto"/>
        <w:ind w:firstLine="200"/>
        <w:jc w:val="center"/>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7CEF7534">
      <w:pPr>
        <w:keepLines w:val="0"/>
        <w:pageBreakBefore w:val="0"/>
        <w:tabs>
          <w:tab w:val="left" w:pos="0"/>
        </w:tabs>
        <w:kinsoku/>
        <w:wordWrap/>
        <w:overflowPunct/>
        <w:topLinePunct w:val="0"/>
        <w:bidi w:val="0"/>
        <w:adjustRightInd w:val="0"/>
        <w:snapToGrid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37D5356E">
      <w:pPr>
        <w:keepLines w:val="0"/>
        <w:pageBreakBefore w:val="0"/>
        <w:tabs>
          <w:tab w:val="left" w:pos="0"/>
        </w:tabs>
        <w:kinsoku/>
        <w:wordWrap/>
        <w:overflowPunct/>
        <w:topLinePunct w:val="0"/>
        <w:bidi w:val="0"/>
        <w:adjustRightInd w:val="0"/>
        <w:snapToGrid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详见（GF—2017—0201）建设工程施工合同示范文本通用合同条款</w:t>
      </w:r>
    </w:p>
    <w:p w14:paraId="32A9C1AA">
      <w:pPr>
        <w:keepLines w:val="0"/>
        <w:pageBreakBefore w:val="0"/>
        <w:widowControl/>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28D5D627">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第三部分专用合同条款</w:t>
      </w:r>
    </w:p>
    <w:p w14:paraId="23237170">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15" w:name="_Toc267251442"/>
      <w:bookmarkStart w:id="16" w:name="_Toc296891245"/>
      <w:bookmarkStart w:id="17" w:name="_Toc296347204"/>
      <w:bookmarkStart w:id="18" w:name="_Toc296891033"/>
      <w:bookmarkStart w:id="19" w:name="_Toc351203644"/>
      <w:bookmarkStart w:id="20" w:name="_Toc297123552"/>
      <w:bookmarkStart w:id="21" w:name="_Toc296346706"/>
      <w:bookmarkStart w:id="22" w:name="_Toc304295579"/>
      <w:bookmarkStart w:id="23" w:name="_Toc297120505"/>
      <w:bookmarkStart w:id="24" w:name="_Toc296503205"/>
      <w:bookmarkStart w:id="25" w:name="_Toc303539159"/>
      <w:bookmarkStart w:id="26" w:name="_Toc292559410"/>
      <w:bookmarkStart w:id="27" w:name="_Toc297048391"/>
      <w:bookmarkStart w:id="28" w:name="_Toc300935002"/>
      <w:bookmarkStart w:id="29" w:name="_Toc312678040"/>
      <w:bookmarkStart w:id="30" w:name="_Toc296944544"/>
      <w:bookmarkStart w:id="31" w:name="_Toc292559915"/>
      <w:bookmarkStart w:id="32" w:name="_Toc297216211"/>
      <w:r>
        <w:rPr>
          <w:rFonts w:hint="eastAsia" w:ascii="仿宋" w:hAnsi="仿宋" w:eastAsia="仿宋" w:cs="仿宋"/>
          <w:b/>
          <w:color w:val="000000" w:themeColor="text1"/>
          <w:sz w:val="20"/>
          <w:szCs w:val="20"/>
          <w:highlight w:val="none"/>
          <w14:textFill>
            <w14:solidFill>
              <w14:schemeClr w14:val="tx1"/>
            </w14:solidFill>
          </w14:textFill>
        </w:rPr>
        <w:t>1.一般约定</w:t>
      </w:r>
    </w:p>
    <w:p w14:paraId="08466AC6">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1.1词语定义</w:t>
      </w:r>
    </w:p>
    <w:p w14:paraId="1845E4AA">
      <w:pPr>
        <w:spacing w:line="360" w:lineRule="auto"/>
        <w:ind w:firstLine="400"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1.1.1合同</w:t>
      </w:r>
    </w:p>
    <w:p w14:paraId="0B14E93B">
      <w:pPr>
        <w:spacing w:line="360" w:lineRule="auto"/>
        <w:ind w:firstLine="392" w:firstLineChars="196"/>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1.1.1.10其他合同文件包括：</w:t>
      </w:r>
      <w:r>
        <w:rPr>
          <w:rFonts w:hint="eastAsia" w:ascii="仿宋" w:hAnsi="仿宋" w:eastAsia="仿宋" w:cs="仿宋"/>
          <w:color w:val="000000" w:themeColor="text1"/>
          <w:sz w:val="20"/>
          <w:szCs w:val="20"/>
          <w:highlight w:val="none"/>
          <w:u w:val="single"/>
          <w14:textFill>
            <w14:solidFill>
              <w14:schemeClr w14:val="tx1"/>
            </w14:solidFill>
          </w14:textFill>
        </w:rPr>
        <w:t>1、合同签署及履行中承发包双方之间澄清、洽商、变更等明确双方权利义务的纪要、补充协议2、本合同协议书3、中标</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(成交)</w:t>
      </w:r>
      <w:r>
        <w:rPr>
          <w:rFonts w:hint="eastAsia" w:ascii="仿宋" w:hAnsi="仿宋" w:eastAsia="仿宋" w:cs="仿宋"/>
          <w:color w:val="000000" w:themeColor="text1"/>
          <w:sz w:val="20"/>
          <w:szCs w:val="20"/>
          <w:highlight w:val="none"/>
          <w:u w:val="single"/>
          <w14:textFill>
            <w14:solidFill>
              <w14:schemeClr w14:val="tx1"/>
            </w14:solidFill>
          </w14:textFill>
        </w:rPr>
        <w:t>通知书4、本合同专用条款5、本合同通用条款6、施工采购文件及附件7、标准、规范及有关技术文件8、施工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u w:val="single"/>
          <w14:textFill>
            <w14:solidFill>
              <w14:schemeClr w14:val="tx1"/>
            </w14:solidFill>
          </w14:textFill>
        </w:rPr>
        <w:t>文件及附件9、工程量清单10、工程报价单或预算书。</w:t>
      </w:r>
    </w:p>
    <w:p w14:paraId="0C22A752">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1.1.3工程和设备</w:t>
      </w:r>
    </w:p>
    <w:p w14:paraId="7A64859C">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1.1.3.7作为施工现场组成部分的其他场所包括：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F3C70B7">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1.1.3.9永久占地包括：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4038877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1.1.3.10临时占地包括：</w:t>
      </w:r>
      <w:r>
        <w:rPr>
          <w:rFonts w:hint="eastAsia" w:ascii="仿宋" w:hAnsi="仿宋" w:eastAsia="仿宋" w:cs="仿宋"/>
          <w:color w:val="000000" w:themeColor="text1"/>
          <w:sz w:val="20"/>
          <w:szCs w:val="20"/>
          <w:highlight w:val="none"/>
          <w:u w:val="single"/>
          <w14:textFill>
            <w14:solidFill>
              <w14:schemeClr w14:val="tx1"/>
            </w14:solidFill>
          </w14:textFill>
        </w:rPr>
        <w:t>施工过程中的临时用房，生产用地等</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6665562">
      <w:pPr>
        <w:spacing w:line="360" w:lineRule="auto"/>
        <w:ind w:firstLine="400" w:firstLineChars="20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1.3法律</w:t>
      </w:r>
    </w:p>
    <w:p w14:paraId="59864289">
      <w:pPr>
        <w:autoSpaceDE w:val="0"/>
        <w:autoSpaceDN w:val="0"/>
        <w:adjustRightInd w:val="0"/>
        <w:spacing w:line="360" w:lineRule="auto"/>
        <w:ind w:firstLine="566" w:firstLineChars="283"/>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适用于合同的其他规范性文件：</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《中华人民共和国建筑法</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中华人民共和国民法典</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陕西省建设工程工程量清单计价规则》、中华人民共和国《工程建设标准强制性条文》、现行《建筑工程质量验收统一标准</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建筑工程施工及验收规范》等国家、部门及地方现行及后续的有关</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法律法规</w:t>
      </w:r>
      <w:r>
        <w:rPr>
          <w:rFonts w:hint="eastAsia" w:ascii="仿宋" w:hAnsi="仿宋" w:eastAsia="仿宋" w:cs="仿宋"/>
          <w:color w:val="000000" w:themeColor="text1"/>
          <w:sz w:val="20"/>
          <w:szCs w:val="20"/>
          <w:highlight w:val="none"/>
          <w:u w:val="single"/>
          <w14:textFill>
            <w14:solidFill>
              <w14:schemeClr w14:val="tx1"/>
            </w14:solidFill>
          </w14:textFill>
        </w:rPr>
        <w:t>、规章、规范性文件等</w:t>
      </w:r>
      <w:r>
        <w:rPr>
          <w:rFonts w:hint="eastAsia" w:ascii="仿宋" w:hAnsi="仿宋" w:eastAsia="仿宋" w:cs="仿宋"/>
          <w:color w:val="000000" w:themeColor="text1"/>
          <w:sz w:val="20"/>
          <w:szCs w:val="20"/>
          <w:highlight w:val="none"/>
          <w14:textFill>
            <w14:solidFill>
              <w14:schemeClr w14:val="tx1"/>
            </w14:solidFill>
          </w14:textFill>
        </w:rPr>
        <w:t>。</w:t>
      </w:r>
    </w:p>
    <w:p w14:paraId="2D2F425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1.4标准和规范</w:t>
      </w:r>
    </w:p>
    <w:p w14:paraId="22A3751E">
      <w:pPr>
        <w:spacing w:line="360" w:lineRule="auto"/>
        <w:ind w:firstLine="566" w:firstLineChars="283"/>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1.4.1适用于工程的标准规范包括：</w:t>
      </w:r>
      <w:r>
        <w:rPr>
          <w:rFonts w:hint="eastAsia" w:ascii="仿宋" w:hAnsi="仿宋" w:eastAsia="仿宋" w:cs="仿宋"/>
          <w:color w:val="000000" w:themeColor="text1"/>
          <w:sz w:val="20"/>
          <w:szCs w:val="20"/>
          <w:highlight w:val="none"/>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hint="eastAsia" w:ascii="仿宋" w:hAnsi="仿宋" w:eastAsia="仿宋" w:cs="仿宋"/>
          <w:color w:val="000000" w:themeColor="text1"/>
          <w:sz w:val="20"/>
          <w:szCs w:val="20"/>
          <w:highlight w:val="none"/>
          <w14:textFill>
            <w14:solidFill>
              <w14:schemeClr w14:val="tx1"/>
            </w14:solidFill>
          </w14:textFill>
        </w:rPr>
        <w:t>。</w:t>
      </w:r>
    </w:p>
    <w:p w14:paraId="40C66448">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1.5合同文件的优先顺序</w:t>
      </w:r>
    </w:p>
    <w:p w14:paraId="7CD79FD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合同文件组成及优先顺序为：</w:t>
      </w:r>
      <w:r>
        <w:rPr>
          <w:rFonts w:hint="eastAsia" w:ascii="仿宋" w:hAnsi="仿宋" w:eastAsia="仿宋" w:cs="仿宋"/>
          <w:color w:val="000000" w:themeColor="text1"/>
          <w:sz w:val="20"/>
          <w:szCs w:val="20"/>
          <w:highlight w:val="none"/>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采购文件及附件；7、标准、规范及有关技术文件；8、施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u w:val="single"/>
          <w14:textFill>
            <w14:solidFill>
              <w14:schemeClr w14:val="tx1"/>
            </w14:solidFill>
          </w14:textFill>
        </w:rPr>
        <w:t>文件及附件；9、工程量清单；10、工程报价单或预算书，以及其他合同文件</w:t>
      </w:r>
      <w:r>
        <w:rPr>
          <w:rFonts w:hint="eastAsia" w:ascii="仿宋" w:hAnsi="仿宋" w:eastAsia="仿宋" w:cs="仿宋"/>
          <w:color w:val="000000" w:themeColor="text1"/>
          <w:sz w:val="20"/>
          <w:szCs w:val="20"/>
          <w:highlight w:val="none"/>
          <w14:textFill>
            <w14:solidFill>
              <w14:schemeClr w14:val="tx1"/>
            </w14:solidFill>
          </w14:textFill>
        </w:rPr>
        <w:t>。</w:t>
      </w:r>
    </w:p>
    <w:p w14:paraId="588B21D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1.6图纸和承包人文件</w:t>
      </w:r>
      <w:r>
        <w:rPr>
          <w:rFonts w:hint="eastAsia" w:ascii="仿宋" w:hAnsi="仿宋" w:eastAsia="仿宋" w:cs="仿宋"/>
          <w:color w:val="000000" w:themeColor="text1"/>
          <w:sz w:val="20"/>
          <w:szCs w:val="20"/>
          <w:highlight w:val="none"/>
          <w14:textFill>
            <w14:solidFill>
              <w14:schemeClr w14:val="tx1"/>
            </w14:solidFill>
          </w14:textFill>
        </w:rPr>
        <w:tab/>
      </w:r>
    </w:p>
    <w:p w14:paraId="48975111">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1.6.1图纸的提供：</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0E5C3356">
      <w:pPr>
        <w:spacing w:line="360" w:lineRule="auto"/>
        <w:ind w:firstLine="400" w:firstLineChars="20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eastAsia="zh-CN"/>
          <w14:textFill>
            <w14:solidFill>
              <w14:schemeClr w14:val="tx1"/>
            </w14:solidFill>
          </w14:textFill>
        </w:rPr>
        <w:t>。</w:t>
      </w:r>
    </w:p>
    <w:p w14:paraId="225C0A2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发包人向承包人提供图纸的数量：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8B4E99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发包人向承包人提供图纸的内容：</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BA8143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1.6.4承包人文件</w:t>
      </w:r>
    </w:p>
    <w:p w14:paraId="6CA1B33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需要由承包人提供的文件，包括：</w:t>
      </w:r>
      <w:r>
        <w:rPr>
          <w:rFonts w:hint="eastAsia" w:ascii="仿宋" w:hAnsi="仿宋" w:eastAsia="仿宋" w:cs="仿宋"/>
          <w:color w:val="000000" w:themeColor="text1"/>
          <w:sz w:val="20"/>
          <w:szCs w:val="20"/>
          <w:highlight w:val="none"/>
          <w:u w:val="single"/>
          <w14:textFill>
            <w14:solidFill>
              <w14:schemeClr w14:val="tx1"/>
            </w14:solidFill>
          </w14:textFill>
        </w:rPr>
        <w:t>施工组织设计（施工方案）、工期进度计划、安全文明施工措施、人员安排等</w:t>
      </w:r>
      <w:r>
        <w:rPr>
          <w:rFonts w:hint="eastAsia" w:ascii="仿宋" w:hAnsi="仿宋" w:eastAsia="仿宋" w:cs="仿宋"/>
          <w:color w:val="000000" w:themeColor="text1"/>
          <w:sz w:val="20"/>
          <w:szCs w:val="20"/>
          <w:highlight w:val="none"/>
          <w14:textFill>
            <w14:solidFill>
              <w14:schemeClr w14:val="tx1"/>
            </w14:solidFill>
          </w14:textFill>
        </w:rPr>
        <w:t>；</w:t>
      </w:r>
    </w:p>
    <w:p w14:paraId="20366BC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承包人提供的文件的期限为：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4819ACB">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承包人提供的文件的数量为：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37B48E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承包人提供的文件的形式为：</w:t>
      </w:r>
      <w:r>
        <w:rPr>
          <w:rFonts w:hint="eastAsia" w:ascii="仿宋" w:hAnsi="仿宋" w:eastAsia="仿宋" w:cs="仿宋"/>
          <w:color w:val="000000" w:themeColor="text1"/>
          <w:sz w:val="20"/>
          <w:szCs w:val="20"/>
          <w:highlight w:val="none"/>
          <w:u w:val="single"/>
          <w14:textFill>
            <w14:solidFill>
              <w14:schemeClr w14:val="tx1"/>
            </w14:solidFill>
          </w14:textFill>
        </w:rPr>
        <w:t>纸质文件及电子文档</w:t>
      </w:r>
      <w:r>
        <w:rPr>
          <w:rFonts w:hint="eastAsia" w:ascii="仿宋" w:hAnsi="仿宋" w:eastAsia="仿宋" w:cs="仿宋"/>
          <w:color w:val="000000" w:themeColor="text1"/>
          <w:sz w:val="20"/>
          <w:szCs w:val="20"/>
          <w:highlight w:val="none"/>
          <w14:textFill>
            <w14:solidFill>
              <w14:schemeClr w14:val="tx1"/>
            </w14:solidFill>
          </w14:textFill>
        </w:rPr>
        <w:t>；</w:t>
      </w:r>
    </w:p>
    <w:p w14:paraId="7DCD75CA">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发包人审批承包人文件的期限：</w:t>
      </w:r>
      <w:r>
        <w:rPr>
          <w:rFonts w:hint="eastAsia" w:ascii="仿宋" w:hAnsi="仿宋" w:eastAsia="仿宋" w:cs="仿宋"/>
          <w:color w:val="000000" w:themeColor="text1"/>
          <w:sz w:val="20"/>
          <w:szCs w:val="20"/>
          <w:highlight w:val="none"/>
          <w:u w:val="single"/>
          <w14:textFill>
            <w14:solidFill>
              <w14:schemeClr w14:val="tx1"/>
            </w14:solidFill>
          </w14:textFill>
        </w:rPr>
        <w:t>接到承包人文件后7日内</w:t>
      </w:r>
      <w:r>
        <w:rPr>
          <w:rFonts w:hint="eastAsia" w:ascii="仿宋" w:hAnsi="仿宋" w:eastAsia="仿宋" w:cs="仿宋"/>
          <w:color w:val="000000" w:themeColor="text1"/>
          <w:sz w:val="20"/>
          <w:szCs w:val="20"/>
          <w:highlight w:val="none"/>
          <w14:textFill>
            <w14:solidFill>
              <w14:schemeClr w14:val="tx1"/>
            </w14:solidFill>
          </w14:textFill>
        </w:rPr>
        <w:t>。</w:t>
      </w:r>
    </w:p>
    <w:p w14:paraId="3E29A36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1.6.5现场图纸准备</w:t>
      </w:r>
    </w:p>
    <w:p w14:paraId="178950B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关于现场图纸准备的约定：</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p>
    <w:p w14:paraId="7F91A9D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1.7联络</w:t>
      </w:r>
    </w:p>
    <w:p w14:paraId="325521B1">
      <w:pPr>
        <w:spacing w:line="360" w:lineRule="auto"/>
        <w:ind w:firstLine="400"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1.7.1发包人和承包人应当在</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kern w:val="0"/>
          <w:sz w:val="20"/>
          <w:szCs w:val="20"/>
          <w:highlight w:val="none"/>
          <w14:textFill>
            <w14:solidFill>
              <w14:schemeClr w14:val="tx1"/>
            </w14:solidFill>
          </w14:textFill>
        </w:rPr>
        <w:t>天内将与合同有关的通知、批准、证明、证书、指示、指令、要求、请求、同意、意见、确定和决定等书面函件送达对方当事人。</w:t>
      </w:r>
    </w:p>
    <w:p w14:paraId="12BBBDA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1.10交通运输</w:t>
      </w:r>
    </w:p>
    <w:p w14:paraId="595AD03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33" w:name="_Toc318581155"/>
      <w:bookmarkStart w:id="34" w:name="_Toc312677986"/>
      <w:bookmarkStart w:id="35" w:name="_Toc303539100"/>
      <w:bookmarkStart w:id="36" w:name="_Toc300934943"/>
      <w:bookmarkStart w:id="37" w:name="_Toc304295521"/>
      <w:r>
        <w:rPr>
          <w:rFonts w:hint="eastAsia" w:ascii="仿宋" w:hAnsi="仿宋" w:eastAsia="仿宋" w:cs="仿宋"/>
          <w:color w:val="000000" w:themeColor="text1"/>
          <w:sz w:val="20"/>
          <w:szCs w:val="20"/>
          <w:highlight w:val="none"/>
          <w14:textFill>
            <w14:solidFill>
              <w14:schemeClr w14:val="tx1"/>
            </w14:solidFill>
          </w14:textFill>
        </w:rPr>
        <w:t>.10.1出入现场的权利</w:t>
      </w:r>
    </w:p>
    <w:p w14:paraId="24C38C4B">
      <w:pPr>
        <w:spacing w:line="360" w:lineRule="auto"/>
        <w:ind w:left="596" w:leftChars="284"/>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关于出入现场的权利的约定：</w:t>
      </w:r>
      <w:r>
        <w:rPr>
          <w:rFonts w:hint="eastAsia" w:ascii="仿宋" w:hAnsi="仿宋" w:eastAsia="仿宋" w:cs="仿宋"/>
          <w:color w:val="000000" w:themeColor="text1"/>
          <w:sz w:val="20"/>
          <w:szCs w:val="20"/>
          <w:highlight w:val="none"/>
          <w:u w:val="single"/>
          <w14:textFill>
            <w14:solidFill>
              <w14:schemeClr w14:val="tx1"/>
            </w14:solidFill>
          </w14:textFill>
        </w:rPr>
        <w:t>承包人负责现场管理，发包人遵守承包人现场管理的规定</w:t>
      </w:r>
      <w:r>
        <w:rPr>
          <w:rFonts w:hint="eastAsia" w:ascii="仿宋" w:hAnsi="仿宋" w:eastAsia="仿宋" w:cs="仿宋"/>
          <w:color w:val="000000" w:themeColor="text1"/>
          <w:sz w:val="20"/>
          <w:szCs w:val="20"/>
          <w:highlight w:val="none"/>
          <w14:textFill>
            <w14:solidFill>
              <w14:schemeClr w14:val="tx1"/>
            </w14:solidFill>
          </w14:textFill>
        </w:rPr>
        <w:t>。</w:t>
      </w:r>
    </w:p>
    <w:bookmarkEnd w:id="33"/>
    <w:bookmarkEnd w:id="34"/>
    <w:bookmarkEnd w:id="35"/>
    <w:bookmarkEnd w:id="36"/>
    <w:bookmarkEnd w:id="37"/>
    <w:p w14:paraId="7BC6B7D2">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38" w:name="_Toc304295522"/>
      <w:bookmarkStart w:id="39" w:name="_Toc303539101"/>
      <w:bookmarkStart w:id="40" w:name="_Toc312677987"/>
      <w:bookmarkStart w:id="41" w:name="_Toc300934944"/>
      <w:bookmarkStart w:id="42" w:name="_Toc318581156"/>
      <w:r>
        <w:rPr>
          <w:rFonts w:hint="eastAsia" w:ascii="仿宋" w:hAnsi="仿宋" w:eastAsia="仿宋" w:cs="仿宋"/>
          <w:color w:val="000000" w:themeColor="text1"/>
          <w:sz w:val="20"/>
          <w:szCs w:val="20"/>
          <w:highlight w:val="none"/>
          <w14:textFill>
            <w14:solidFill>
              <w14:schemeClr w14:val="tx1"/>
            </w14:solidFill>
          </w14:textFill>
        </w:rPr>
        <w:t>.10.3场内交通</w:t>
      </w:r>
    </w:p>
    <w:p w14:paraId="779B9EBA">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关于场外交通和场内交通的边界的约定：</w:t>
      </w:r>
      <w:r>
        <w:rPr>
          <w:rFonts w:hint="eastAsia" w:ascii="仿宋" w:hAnsi="仿宋" w:eastAsia="仿宋" w:cs="仿宋"/>
          <w:color w:val="000000" w:themeColor="text1"/>
          <w:sz w:val="20"/>
          <w:szCs w:val="20"/>
          <w:highlight w:val="none"/>
          <w:u w:val="single"/>
          <w14:textFill>
            <w14:solidFill>
              <w14:schemeClr w14:val="tx1"/>
            </w14:solidFill>
          </w14:textFill>
        </w:rPr>
        <w:t>施工围墙以外为场外交通，施工围墙以内为场内交通，但施工大门至公共道路处为场内交通</w:t>
      </w:r>
      <w:r>
        <w:rPr>
          <w:rFonts w:hint="eastAsia" w:ascii="仿宋" w:hAnsi="仿宋" w:eastAsia="仿宋" w:cs="仿宋"/>
          <w:color w:val="000000" w:themeColor="text1"/>
          <w:sz w:val="20"/>
          <w:szCs w:val="20"/>
          <w:highlight w:val="none"/>
          <w14:textFill>
            <w14:solidFill>
              <w14:schemeClr w14:val="tx1"/>
            </w14:solidFill>
          </w14:textFill>
        </w:rPr>
        <w:t>。</w:t>
      </w:r>
    </w:p>
    <w:p w14:paraId="6385EC2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关于发包人向承包人免费提供满足工程施工需要的场内道路和交通设施的约定：</w:t>
      </w:r>
      <w:r>
        <w:rPr>
          <w:rFonts w:hint="eastAsia" w:ascii="仿宋" w:hAnsi="仿宋" w:eastAsia="仿宋" w:cs="仿宋"/>
          <w:color w:val="000000" w:themeColor="text1"/>
          <w:sz w:val="20"/>
          <w:szCs w:val="20"/>
          <w:highlight w:val="none"/>
          <w:u w:val="single"/>
          <w14:textFill>
            <w14:solidFill>
              <w14:schemeClr w14:val="tx1"/>
            </w14:solidFill>
          </w14:textFill>
        </w:rPr>
        <w:t>场内道路的施工及交通设施由承包人负责，场外道路设施由发包人承担。</w:t>
      </w:r>
      <w:bookmarkEnd w:id="38"/>
      <w:bookmarkEnd w:id="39"/>
      <w:bookmarkEnd w:id="40"/>
      <w:bookmarkEnd w:id="41"/>
      <w:bookmarkEnd w:id="42"/>
      <w:bookmarkStart w:id="43" w:name="_Toc318581157"/>
    </w:p>
    <w:p w14:paraId="22090E5C">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1.10.4超大件和超重件的运输</w:t>
      </w:r>
    </w:p>
    <w:p w14:paraId="2500AC2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sz w:val="20"/>
          <w:szCs w:val="20"/>
          <w:highlight w:val="none"/>
          <w:u w:val="single"/>
          <w14:textFill>
            <w14:solidFill>
              <w14:schemeClr w14:val="tx1"/>
            </w14:solidFill>
          </w14:textFill>
        </w:rPr>
        <w:t>承包人</w:t>
      </w:r>
      <w:r>
        <w:rPr>
          <w:rFonts w:hint="eastAsia" w:ascii="仿宋" w:hAnsi="仿宋" w:eastAsia="仿宋" w:cs="仿宋"/>
          <w:color w:val="000000" w:themeColor="text1"/>
          <w:sz w:val="20"/>
          <w:szCs w:val="20"/>
          <w:highlight w:val="none"/>
          <w14:textFill>
            <w14:solidFill>
              <w14:schemeClr w14:val="tx1"/>
            </w14:solidFill>
          </w14:textFill>
        </w:rPr>
        <w:t>承担。</w:t>
      </w:r>
    </w:p>
    <w:bookmarkEnd w:id="43"/>
    <w:p w14:paraId="28AD16C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1.11知识产权</w:t>
      </w:r>
    </w:p>
    <w:p w14:paraId="0EBE65DD">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发包人</w:t>
      </w:r>
      <w:r>
        <w:rPr>
          <w:rFonts w:hint="eastAsia" w:ascii="仿宋" w:hAnsi="仿宋" w:eastAsia="仿宋" w:cs="仿宋"/>
          <w:color w:val="000000" w:themeColor="text1"/>
          <w:sz w:val="20"/>
          <w:szCs w:val="20"/>
          <w:highlight w:val="none"/>
          <w14:textFill>
            <w14:solidFill>
              <w14:schemeClr w14:val="tx1"/>
            </w14:solidFill>
          </w14:textFill>
        </w:rPr>
        <w:t>。</w:t>
      </w:r>
    </w:p>
    <w:p w14:paraId="49EA812C">
      <w:pPr>
        <w:spacing w:line="360" w:lineRule="auto"/>
        <w:ind w:firstLine="566" w:firstLineChars="283"/>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承包人对上述文件复制应经发包人同意并记录，按受控文件要求进行管理，不得外传、外借。</w:t>
      </w:r>
    </w:p>
    <w:p w14:paraId="41FE80E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1.11.2关于承包人为实施工程所编制文件的著作权的归属：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发包人</w:t>
      </w:r>
      <w:r>
        <w:rPr>
          <w:rFonts w:hint="eastAsia" w:ascii="仿宋" w:hAnsi="仿宋" w:eastAsia="仿宋" w:cs="仿宋"/>
          <w:color w:val="000000" w:themeColor="text1"/>
          <w:sz w:val="20"/>
          <w:szCs w:val="20"/>
          <w:highlight w:val="none"/>
          <w14:textFill>
            <w14:solidFill>
              <w14:schemeClr w14:val="tx1"/>
            </w14:solidFill>
          </w14:textFill>
        </w:rPr>
        <w:t>。</w:t>
      </w:r>
    </w:p>
    <w:p w14:paraId="4D6B9CE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承包人对上述文件复制应经发包人同意并记录，按受控文件要求进行管理，不得外传、外借</w:t>
      </w:r>
      <w:r>
        <w:rPr>
          <w:rFonts w:hint="eastAsia" w:ascii="仿宋" w:hAnsi="仿宋" w:eastAsia="仿宋" w:cs="仿宋"/>
          <w:color w:val="000000" w:themeColor="text1"/>
          <w:sz w:val="20"/>
          <w:szCs w:val="20"/>
          <w:highlight w:val="none"/>
          <w14:textFill>
            <w14:solidFill>
              <w14:schemeClr w14:val="tx1"/>
            </w14:solidFill>
          </w14:textFill>
        </w:rPr>
        <w:t>。</w:t>
      </w:r>
    </w:p>
    <w:p w14:paraId="6A38D17C">
      <w:pPr>
        <w:spacing w:line="360" w:lineRule="auto"/>
        <w:ind w:firstLine="400"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1.11.4承包人在施工过程中所采用的专利、专有技术、技术秘密的使用费的承担方式：</w:t>
      </w:r>
      <w:r>
        <w:rPr>
          <w:rFonts w:hint="eastAsia" w:ascii="仿宋" w:hAnsi="仿宋" w:eastAsia="仿宋" w:cs="仿宋"/>
          <w:color w:val="000000" w:themeColor="text1"/>
          <w:sz w:val="20"/>
          <w:szCs w:val="20"/>
          <w:highlight w:val="none"/>
          <w:u w:val="single"/>
          <w14:textFill>
            <w14:solidFill>
              <w14:schemeClr w14:val="tx1"/>
            </w14:solidFill>
          </w14:textFill>
        </w:rPr>
        <w:t>承包人自行承担</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42387A7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1.13工程量清单错误的修正</w:t>
      </w:r>
    </w:p>
    <w:p w14:paraId="1327D1B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出现工程量清单错误时，是否调整合同价格：</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996497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允许调整合同价格的工程量偏差范围：</w:t>
      </w:r>
      <w:r>
        <w:rPr>
          <w:rFonts w:hint="eastAsia" w:ascii="仿宋" w:hAnsi="仿宋" w:eastAsia="仿宋" w:cs="仿宋"/>
          <w:color w:val="000000" w:themeColor="text1"/>
          <w:sz w:val="20"/>
          <w:szCs w:val="20"/>
          <w:highlight w:val="none"/>
          <w:u w:val="single"/>
          <w14:textFill>
            <w14:solidFill>
              <w14:schemeClr w14:val="tx1"/>
            </w14:solidFill>
          </w14:textFill>
        </w:rPr>
        <w:t>结算工程量高于工程量清单的不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作调整</w:t>
      </w:r>
      <w:r>
        <w:rPr>
          <w:rFonts w:hint="eastAsia" w:ascii="仿宋" w:hAnsi="仿宋" w:eastAsia="仿宋" w:cs="仿宋"/>
          <w:color w:val="000000" w:themeColor="text1"/>
          <w:sz w:val="20"/>
          <w:szCs w:val="20"/>
          <w:highlight w:val="none"/>
          <w:u w:val="single"/>
          <w14:textFill>
            <w14:solidFill>
              <w14:schemeClr w14:val="tx1"/>
            </w14:solidFill>
          </w14:textFill>
        </w:rPr>
        <w:t>，低于工程量清单的按实结算（单价按成交时的固定单价）</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6692EA4F">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44" w:name="_Toc19823"/>
      <w:bookmarkStart w:id="45" w:name="_Toc7658"/>
      <w:bookmarkStart w:id="46" w:name="_Toc351203634"/>
      <w:r>
        <w:rPr>
          <w:rFonts w:hint="eastAsia" w:ascii="仿宋" w:hAnsi="仿宋" w:eastAsia="仿宋" w:cs="仿宋"/>
          <w:b/>
          <w:color w:val="000000" w:themeColor="text1"/>
          <w:sz w:val="20"/>
          <w:szCs w:val="20"/>
          <w:highlight w:val="none"/>
          <w14:textFill>
            <w14:solidFill>
              <w14:schemeClr w14:val="tx1"/>
            </w14:solidFill>
          </w14:textFill>
        </w:rPr>
        <w:t>2</w:t>
      </w:r>
      <w:bookmarkStart w:id="47" w:name="_Toc296944496"/>
      <w:bookmarkStart w:id="48" w:name="_Toc296346658"/>
      <w:bookmarkStart w:id="49" w:name="_Toc297120457"/>
      <w:bookmarkStart w:id="50" w:name="_Toc296890985"/>
      <w:bookmarkStart w:id="51" w:name="_Toc292559362"/>
      <w:bookmarkStart w:id="52" w:name="_Toc296347156"/>
      <w:bookmarkStart w:id="53" w:name="_Toc296503157"/>
      <w:bookmarkStart w:id="54" w:name="_Toc297048343"/>
      <w:bookmarkStart w:id="55" w:name="_Toc296891197"/>
      <w:bookmarkStart w:id="56" w:name="_Toc292559867"/>
      <w:r>
        <w:rPr>
          <w:rFonts w:hint="eastAsia" w:ascii="仿宋" w:hAnsi="仿宋" w:eastAsia="仿宋" w:cs="仿宋"/>
          <w:b/>
          <w:color w:val="000000" w:themeColor="text1"/>
          <w:sz w:val="20"/>
          <w:szCs w:val="20"/>
          <w:highlight w:val="none"/>
          <w14:textFill>
            <w14:solidFill>
              <w14:schemeClr w14:val="tx1"/>
            </w14:solidFill>
          </w14:textFill>
        </w:rPr>
        <w:t>.发包人</w:t>
      </w:r>
      <w:bookmarkEnd w:id="44"/>
      <w:bookmarkEnd w:id="45"/>
      <w:bookmarkEnd w:id="46"/>
    </w:p>
    <w:bookmarkEnd w:id="47"/>
    <w:bookmarkEnd w:id="48"/>
    <w:bookmarkEnd w:id="49"/>
    <w:bookmarkEnd w:id="50"/>
    <w:bookmarkEnd w:id="51"/>
    <w:bookmarkEnd w:id="52"/>
    <w:bookmarkEnd w:id="53"/>
    <w:bookmarkEnd w:id="54"/>
    <w:bookmarkEnd w:id="55"/>
    <w:bookmarkEnd w:id="56"/>
    <w:p w14:paraId="696B4FB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2.2发包人代表</w:t>
      </w:r>
    </w:p>
    <w:p w14:paraId="4FC883C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65B6AE8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6AB97F32">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身份证号：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1E38BC2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职务：</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333305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37E1B9EB">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35FA6ED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14AD1FD8">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负责施工全过程的安全、进度、质量及现场费用控制管理、协调现场各种关系等。</w:t>
      </w:r>
    </w:p>
    <w:p w14:paraId="460FBCE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2.4施工现场、施工条件和基础资料的提供</w:t>
      </w:r>
    </w:p>
    <w:p w14:paraId="27D4CD5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2.4.1提供施工现场</w:t>
      </w:r>
    </w:p>
    <w:p w14:paraId="434C6C91">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关于发包人移交施工现场的期限要求：</w:t>
      </w:r>
      <w:r>
        <w:rPr>
          <w:rFonts w:hint="eastAsia" w:ascii="仿宋" w:hAnsi="仿宋" w:eastAsia="仿宋" w:cs="仿宋"/>
          <w:color w:val="000000" w:themeColor="text1"/>
          <w:sz w:val="20"/>
          <w:szCs w:val="20"/>
          <w:highlight w:val="none"/>
          <w:u w:val="single"/>
          <w14:textFill>
            <w14:solidFill>
              <w14:schemeClr w14:val="tx1"/>
            </w14:solidFill>
          </w14:textFill>
        </w:rPr>
        <w:t>按通用条款执行</w:t>
      </w:r>
      <w:r>
        <w:rPr>
          <w:rFonts w:hint="eastAsia" w:ascii="仿宋" w:hAnsi="仿宋" w:eastAsia="仿宋" w:cs="仿宋"/>
          <w:color w:val="000000" w:themeColor="text1"/>
          <w:sz w:val="20"/>
          <w:szCs w:val="20"/>
          <w:highlight w:val="none"/>
          <w14:textFill>
            <w14:solidFill>
              <w14:schemeClr w14:val="tx1"/>
            </w14:solidFill>
          </w14:textFill>
        </w:rPr>
        <w:t>。</w:t>
      </w:r>
    </w:p>
    <w:p w14:paraId="30925E5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2.4.2提供施工条件</w:t>
      </w:r>
    </w:p>
    <w:p w14:paraId="1AB98C71">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关于发包人应负责提供施工所需要的条件，包括：</w:t>
      </w:r>
    </w:p>
    <w:p w14:paraId="5AA82A08">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a、工程开工前，发包人负责将水准点与</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坐标</w:t>
      </w:r>
      <w:r>
        <w:rPr>
          <w:rFonts w:hint="eastAsia" w:ascii="仿宋" w:hAnsi="仿宋" w:eastAsia="仿宋" w:cs="仿宋"/>
          <w:color w:val="000000" w:themeColor="text1"/>
          <w:sz w:val="20"/>
          <w:szCs w:val="20"/>
          <w:highlight w:val="none"/>
          <w:u w:val="single"/>
          <w14:textFill>
            <w14:solidFill>
              <w14:schemeClr w14:val="tx1"/>
            </w14:solidFill>
          </w14:textFill>
        </w:rPr>
        <w:t>控制点以书面形式交给承包人，并进行现场交验，承包人正式放线后，由发包人负责及时请城建管理部门进行验线。</w:t>
      </w:r>
    </w:p>
    <w:p w14:paraId="5016D5AE">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37A52882">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c、通讯线路和设备由承包人自行解决并承担其费用。</w:t>
      </w:r>
    </w:p>
    <w:p w14:paraId="17FAB61F">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57" w:name="_Toc8492"/>
      <w:bookmarkStart w:id="58" w:name="_Toc351203635"/>
      <w:bookmarkStart w:id="59" w:name="_Toc6293"/>
      <w:r>
        <w:rPr>
          <w:rFonts w:hint="eastAsia" w:ascii="仿宋" w:hAnsi="仿宋" w:eastAsia="仿宋" w:cs="仿宋"/>
          <w:b/>
          <w:color w:val="000000" w:themeColor="text1"/>
          <w:sz w:val="20"/>
          <w:szCs w:val="20"/>
          <w:highlight w:val="none"/>
          <w14:textFill>
            <w14:solidFill>
              <w14:schemeClr w14:val="tx1"/>
            </w14:solidFill>
          </w14:textFill>
        </w:rPr>
        <w:t>3</w:t>
      </w:r>
      <w:bookmarkStart w:id="60" w:name="_Toc296503158"/>
      <w:bookmarkStart w:id="61" w:name="_Toc296890986"/>
      <w:bookmarkStart w:id="62" w:name="_Toc292559868"/>
      <w:bookmarkStart w:id="63" w:name="_Toc297120458"/>
      <w:bookmarkStart w:id="64" w:name="_Toc296347157"/>
      <w:bookmarkStart w:id="65" w:name="_Toc292559363"/>
      <w:bookmarkStart w:id="66" w:name="_Toc297048344"/>
      <w:bookmarkStart w:id="67" w:name="_Toc296891198"/>
      <w:bookmarkStart w:id="68" w:name="_Toc296944497"/>
      <w:bookmarkStart w:id="69" w:name="_Toc296346659"/>
      <w:r>
        <w:rPr>
          <w:rFonts w:hint="eastAsia" w:ascii="仿宋" w:hAnsi="仿宋" w:eastAsia="仿宋" w:cs="仿宋"/>
          <w:b/>
          <w:color w:val="000000" w:themeColor="text1"/>
          <w:sz w:val="20"/>
          <w:szCs w:val="20"/>
          <w:highlight w:val="none"/>
          <w14:textFill>
            <w14:solidFill>
              <w14:schemeClr w14:val="tx1"/>
            </w14:solidFill>
          </w14:textFill>
        </w:rPr>
        <w:t>.承包人</w:t>
      </w:r>
      <w:bookmarkEnd w:id="57"/>
      <w:bookmarkEnd w:id="58"/>
      <w:bookmarkEnd w:id="59"/>
    </w:p>
    <w:bookmarkEnd w:id="60"/>
    <w:bookmarkEnd w:id="61"/>
    <w:bookmarkEnd w:id="62"/>
    <w:bookmarkEnd w:id="63"/>
    <w:bookmarkEnd w:id="64"/>
    <w:bookmarkEnd w:id="65"/>
    <w:bookmarkEnd w:id="66"/>
    <w:bookmarkEnd w:id="67"/>
    <w:bookmarkEnd w:id="68"/>
    <w:bookmarkEnd w:id="69"/>
    <w:p w14:paraId="6171F77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3.1承包人的一般义务</w:t>
      </w:r>
    </w:p>
    <w:p w14:paraId="54374BC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（5）</w:t>
      </w:r>
      <w:r>
        <w:rPr>
          <w:rFonts w:hint="eastAsia" w:ascii="仿宋" w:hAnsi="仿宋" w:eastAsia="仿宋" w:cs="仿宋"/>
          <w:color w:val="000000" w:themeColor="text1"/>
          <w:sz w:val="20"/>
          <w:szCs w:val="20"/>
          <w:highlight w:val="none"/>
          <w14:textFill>
            <w14:solidFill>
              <w14:schemeClr w14:val="tx1"/>
            </w14:solidFill>
          </w14:textFill>
        </w:rPr>
        <w:t>承包人提交的竣工资料的内容：</w:t>
      </w:r>
      <w:r>
        <w:rPr>
          <w:rFonts w:hint="eastAsia" w:ascii="仿宋" w:hAnsi="仿宋" w:eastAsia="仿宋" w:cs="仿宋"/>
          <w:color w:val="000000" w:themeColor="text1"/>
          <w:sz w:val="20"/>
          <w:szCs w:val="20"/>
          <w:highlight w:val="none"/>
          <w:u w:val="single"/>
          <w14:textFill>
            <w14:solidFill>
              <w14:schemeClr w14:val="tx1"/>
            </w14:solidFill>
          </w14:textFill>
        </w:rPr>
        <w:t>竣工验收后一个月内，提交竣工图及完整资料文件。</w:t>
      </w:r>
    </w:p>
    <w:p w14:paraId="3547CF31">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承包人需要提交的竣工资料套数：</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5919A3B">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承包人提交的竣工资料的费用承担：</w:t>
      </w:r>
      <w:r>
        <w:rPr>
          <w:rFonts w:hint="eastAsia" w:ascii="仿宋" w:hAnsi="仿宋" w:eastAsia="仿宋" w:cs="仿宋"/>
          <w:color w:val="000000" w:themeColor="text1"/>
          <w:sz w:val="20"/>
          <w:szCs w:val="20"/>
          <w:highlight w:val="none"/>
          <w:u w:val="single"/>
          <w14:textFill>
            <w14:solidFill>
              <w14:schemeClr w14:val="tx1"/>
            </w14:solidFill>
          </w14:textFill>
        </w:rPr>
        <w:t>承包人承担</w:t>
      </w:r>
      <w:r>
        <w:rPr>
          <w:rFonts w:hint="eastAsia" w:ascii="仿宋" w:hAnsi="仿宋" w:eastAsia="仿宋" w:cs="仿宋"/>
          <w:color w:val="000000" w:themeColor="text1"/>
          <w:sz w:val="20"/>
          <w:szCs w:val="20"/>
          <w:highlight w:val="none"/>
          <w14:textFill>
            <w14:solidFill>
              <w14:schemeClr w14:val="tx1"/>
            </w14:solidFill>
          </w14:textFill>
        </w:rPr>
        <w:t>。</w:t>
      </w:r>
    </w:p>
    <w:p w14:paraId="12B0A009">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承包人提交的竣工资料移交时间：</w:t>
      </w:r>
      <w:r>
        <w:rPr>
          <w:rFonts w:hint="eastAsia" w:ascii="仿宋" w:hAnsi="仿宋" w:eastAsia="仿宋" w:cs="仿宋"/>
          <w:color w:val="000000" w:themeColor="text1"/>
          <w:sz w:val="20"/>
          <w:szCs w:val="20"/>
          <w:highlight w:val="none"/>
          <w:u w:val="single"/>
          <w14:textFill>
            <w14:solidFill>
              <w14:schemeClr w14:val="tx1"/>
            </w14:solidFill>
          </w14:textFill>
        </w:rPr>
        <w:t>竣工验收后一个月内</w:t>
      </w:r>
      <w:r>
        <w:rPr>
          <w:rFonts w:hint="eastAsia" w:ascii="仿宋" w:hAnsi="仿宋" w:eastAsia="仿宋" w:cs="仿宋"/>
          <w:color w:val="000000" w:themeColor="text1"/>
          <w:sz w:val="20"/>
          <w:szCs w:val="20"/>
          <w:highlight w:val="none"/>
          <w14:textFill>
            <w14:solidFill>
              <w14:schemeClr w14:val="tx1"/>
            </w14:solidFill>
          </w14:textFill>
        </w:rPr>
        <w:t>。</w:t>
      </w:r>
    </w:p>
    <w:p w14:paraId="0759654B">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承包人提交的竣工资料形式要求：</w:t>
      </w:r>
      <w:r>
        <w:rPr>
          <w:rFonts w:hint="eastAsia" w:ascii="仿宋" w:hAnsi="仿宋" w:eastAsia="仿宋" w:cs="仿宋"/>
          <w:color w:val="000000" w:themeColor="text1"/>
          <w:sz w:val="20"/>
          <w:szCs w:val="20"/>
          <w:highlight w:val="none"/>
          <w:u w:val="single"/>
          <w14:textFill>
            <w14:solidFill>
              <w14:schemeClr w14:val="tx1"/>
            </w14:solidFill>
          </w14:textFill>
        </w:rPr>
        <w:t>纸质文件及电子文档</w:t>
      </w:r>
      <w:r>
        <w:rPr>
          <w:rFonts w:hint="eastAsia" w:ascii="仿宋" w:hAnsi="仿宋" w:eastAsia="仿宋" w:cs="仿宋"/>
          <w:color w:val="000000" w:themeColor="text1"/>
          <w:sz w:val="20"/>
          <w:szCs w:val="20"/>
          <w:highlight w:val="none"/>
          <w14:textFill>
            <w14:solidFill>
              <w14:schemeClr w14:val="tx1"/>
            </w14:solidFill>
          </w14:textFill>
        </w:rPr>
        <w:t>。</w:t>
      </w:r>
    </w:p>
    <w:p w14:paraId="2A4DAFF9">
      <w:pPr>
        <w:spacing w:line="360" w:lineRule="auto"/>
        <w:ind w:firstLine="400"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（10）承包人应履行的其他义务：</w:t>
      </w:r>
    </w:p>
    <w:p w14:paraId="7CAE686D">
      <w:pPr>
        <w:spacing w:line="360" w:lineRule="auto"/>
        <w:ind w:firstLine="384" w:firstLineChars="192"/>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a、承担施工安全保卫工作及非夜间施工照明的责任和要求：</w:t>
      </w:r>
      <w:r>
        <w:rPr>
          <w:rFonts w:hint="eastAsia" w:ascii="仿宋" w:hAnsi="仿宋" w:eastAsia="仿宋" w:cs="仿宋"/>
          <w:color w:val="000000" w:themeColor="text1"/>
          <w:sz w:val="20"/>
          <w:szCs w:val="20"/>
          <w:highlight w:val="none"/>
          <w:u w:val="single"/>
          <w14:textFill>
            <w14:solidFill>
              <w14:schemeClr w14:val="tx1"/>
            </w14:solidFill>
          </w14:textFill>
        </w:rPr>
        <w:t>根据工程需要，提供和维修非夜间施工使用的照明、</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围栏</w:t>
      </w:r>
      <w:r>
        <w:rPr>
          <w:rFonts w:hint="eastAsia" w:ascii="仿宋" w:hAnsi="仿宋" w:eastAsia="仿宋" w:cs="仿宋"/>
          <w:color w:val="000000" w:themeColor="text1"/>
          <w:sz w:val="20"/>
          <w:szCs w:val="20"/>
          <w:highlight w:val="none"/>
          <w:u w:val="single"/>
          <w14:textFill>
            <w14:solidFill>
              <w14:schemeClr w14:val="tx1"/>
            </w14:solidFill>
          </w14:textFill>
        </w:rPr>
        <w:t>设计；负责施工现场安全保护。</w:t>
      </w:r>
    </w:p>
    <w:p w14:paraId="2AF014AF">
      <w:pPr>
        <w:spacing w:line="360" w:lineRule="auto"/>
        <w:ind w:firstLine="384" w:firstLineChars="192"/>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b、需承包人办理的有关施工场地交通、环卫和施工噪音管理等手续：</w:t>
      </w:r>
      <w:r>
        <w:rPr>
          <w:rFonts w:hint="eastAsia" w:ascii="仿宋" w:hAnsi="仿宋" w:eastAsia="仿宋" w:cs="仿宋"/>
          <w:color w:val="000000" w:themeColor="text1"/>
          <w:sz w:val="20"/>
          <w:szCs w:val="20"/>
          <w:highlight w:val="none"/>
          <w:u w:val="single"/>
          <w14:textFill>
            <w14:solidFill>
              <w14:schemeClr w14:val="tx1"/>
            </w14:solidFill>
          </w14:textFill>
        </w:rPr>
        <w:t>施工场地交通、环卫和施工噪音管理在开工前完成。</w:t>
      </w:r>
    </w:p>
    <w:p w14:paraId="4B18D8C3">
      <w:pPr>
        <w:spacing w:line="360" w:lineRule="auto"/>
        <w:ind w:firstLine="384" w:firstLineChars="192"/>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c、已</w:t>
      </w:r>
      <w:r>
        <w:rPr>
          <w:rFonts w:hint="eastAsia" w:ascii="仿宋" w:hAnsi="仿宋" w:eastAsia="仿宋" w:cs="仿宋"/>
          <w:color w:val="000000" w:themeColor="text1"/>
          <w:sz w:val="20"/>
          <w:szCs w:val="20"/>
          <w:highlight w:val="none"/>
          <w:lang w:eastAsia="zh-CN"/>
          <w14:textFill>
            <w14:solidFill>
              <w14:schemeClr w14:val="tx1"/>
            </w14:solidFill>
          </w14:textFill>
        </w:rPr>
        <w:t>完成</w:t>
      </w:r>
      <w:r>
        <w:rPr>
          <w:rFonts w:hint="eastAsia" w:ascii="仿宋" w:hAnsi="仿宋" w:eastAsia="仿宋" w:cs="仿宋"/>
          <w:color w:val="000000" w:themeColor="text1"/>
          <w:sz w:val="20"/>
          <w:szCs w:val="20"/>
          <w:highlight w:val="none"/>
          <w14:textFill>
            <w14:solidFill>
              <w14:schemeClr w14:val="tx1"/>
            </w14:solidFill>
          </w14:textFill>
        </w:rPr>
        <w:t>工程成品保护的特殊要求及费用承担：</w:t>
      </w:r>
      <w:r>
        <w:rPr>
          <w:rFonts w:hint="eastAsia" w:ascii="仿宋" w:hAnsi="仿宋" w:eastAsia="仿宋" w:cs="仿宋"/>
          <w:color w:val="000000" w:themeColor="text1"/>
          <w:sz w:val="20"/>
          <w:szCs w:val="20"/>
          <w:highlight w:val="none"/>
          <w:u w:val="single"/>
          <w14:textFill>
            <w14:solidFill>
              <w14:schemeClr w14:val="tx1"/>
            </w14:solidFill>
          </w14:textFill>
        </w:rPr>
        <w:t>已完成工程未正式向发包人移交之前，承包人应当按照专用条款约定负责对已</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完成</w:t>
      </w:r>
      <w:r>
        <w:rPr>
          <w:rFonts w:hint="eastAsia" w:ascii="仿宋" w:hAnsi="仿宋" w:eastAsia="仿宋" w:cs="仿宋"/>
          <w:color w:val="000000" w:themeColor="text1"/>
          <w:sz w:val="20"/>
          <w:szCs w:val="20"/>
          <w:highlight w:val="none"/>
          <w:u w:val="single"/>
          <w14:textFill>
            <w14:solidFill>
              <w14:schemeClr w14:val="tx1"/>
            </w14:solidFill>
          </w14:textFill>
        </w:rPr>
        <w:t>工程的保护工作（包括发包人对工程某些特殊部位和部分设施、设备保护提出的特殊要求），费用由承包人承担。在此期间发生的损坏由承包人自费负责予以修复。</w:t>
      </w:r>
    </w:p>
    <w:p w14:paraId="280086D5">
      <w:pPr>
        <w:spacing w:line="360" w:lineRule="auto"/>
        <w:ind w:firstLine="384" w:firstLineChars="192"/>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d、施工场地周围以下管线和邻近建筑物、构筑物保护要求及费用承担：</w:t>
      </w:r>
      <w:r>
        <w:rPr>
          <w:rFonts w:hint="eastAsia" w:ascii="仿宋" w:hAnsi="仿宋" w:eastAsia="仿宋" w:cs="仿宋"/>
          <w:color w:val="000000" w:themeColor="text1"/>
          <w:sz w:val="20"/>
          <w:szCs w:val="20"/>
          <w:highlight w:val="none"/>
          <w:u w:val="single"/>
          <w14:textFill>
            <w14:solidFill>
              <w14:schemeClr w14:val="tx1"/>
            </w14:solidFill>
          </w14:textFill>
        </w:rPr>
        <w:t>工程竣工移交前由承包人负责。由于施工方法不当造成损失、损坏发生的费用由承包方承担。</w:t>
      </w:r>
    </w:p>
    <w:p w14:paraId="6A1AC8EA">
      <w:pPr>
        <w:spacing w:line="360" w:lineRule="auto"/>
        <w:ind w:firstLine="384" w:firstLineChars="192"/>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e、施工场地清洁卫生的要求：</w:t>
      </w:r>
      <w:r>
        <w:rPr>
          <w:rFonts w:hint="eastAsia" w:ascii="仿宋" w:hAnsi="仿宋" w:eastAsia="仿宋" w:cs="仿宋"/>
          <w:color w:val="000000" w:themeColor="text1"/>
          <w:sz w:val="20"/>
          <w:szCs w:val="20"/>
          <w:highlight w:val="none"/>
          <w:u w:val="single"/>
          <w14:textFill>
            <w14:solidFill>
              <w14:schemeClr w14:val="tx1"/>
            </w14:solidFill>
          </w14:textFill>
        </w:rPr>
        <w:t>参照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陕西省</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西安市</w:t>
      </w:r>
      <w:r>
        <w:rPr>
          <w:rFonts w:hint="eastAsia" w:ascii="仿宋" w:hAnsi="仿宋" w:eastAsia="仿宋" w:cs="仿宋"/>
          <w:color w:val="000000" w:themeColor="text1"/>
          <w:sz w:val="20"/>
          <w:szCs w:val="20"/>
          <w:highlight w:val="none"/>
          <w:u w:val="single"/>
          <w14:textFill>
            <w14:solidFill>
              <w14:schemeClr w14:val="tx1"/>
            </w14:solidFill>
          </w14:textFill>
        </w:rPr>
        <w:t>市级文明工地要求并符合创卫标准，做到工完场清、构件、材料、设施分类堆放，做好标志、道路清洁、给排水畅通。</w:t>
      </w:r>
    </w:p>
    <w:p w14:paraId="28B7455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f、双方约定承包人应做的其他工作：</w:t>
      </w:r>
      <w:r>
        <w:rPr>
          <w:rFonts w:hint="eastAsia" w:ascii="仿宋" w:hAnsi="仿宋" w:eastAsia="仿宋" w:cs="仿宋"/>
          <w:color w:val="000000" w:themeColor="text1"/>
          <w:sz w:val="20"/>
          <w:szCs w:val="20"/>
          <w:highlight w:val="none"/>
          <w:u w:val="single"/>
          <w14:textFill>
            <w14:solidFill>
              <w14:schemeClr w14:val="tx1"/>
            </w14:solidFill>
          </w14:textFill>
        </w:rPr>
        <w:t>主动与发包人配合共同办理施工许可证等有关手续的工作。按时足额支付农民工工资。</w:t>
      </w:r>
    </w:p>
    <w:p w14:paraId="420C767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3.2项目经理</w:t>
      </w:r>
    </w:p>
    <w:p w14:paraId="1166ABEA">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3.2.1</w:t>
      </w:r>
      <w:r>
        <w:rPr>
          <w:rFonts w:hint="eastAsia" w:ascii="仿宋" w:hAnsi="仿宋" w:eastAsia="仿宋" w:cs="仿宋"/>
          <w:color w:val="000000" w:themeColor="text1"/>
          <w:sz w:val="20"/>
          <w:szCs w:val="20"/>
          <w:highlight w:val="none"/>
          <w14:textFill>
            <w14:solidFill>
              <w14:schemeClr w14:val="tx1"/>
            </w14:solidFill>
          </w14:textFill>
        </w:rPr>
        <w:t>项目经理：</w:t>
      </w:r>
    </w:p>
    <w:p w14:paraId="23767B1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身份证号：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4BC6D896">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建造师执业资格等级：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建造师注册证书号：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17B1790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建造师执业印章号：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安全生产考核合格证书号：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6810666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34A916B2">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1A4DC4B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承包人对项目经理的授权范围如下：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施工现场的进度、安全、质量、费用等项目管理工作</w:t>
      </w:r>
      <w:r>
        <w:rPr>
          <w:rFonts w:hint="eastAsia" w:ascii="仿宋" w:hAnsi="仿宋" w:eastAsia="仿宋" w:cs="仿宋"/>
          <w:color w:val="000000" w:themeColor="text1"/>
          <w:sz w:val="20"/>
          <w:szCs w:val="20"/>
          <w:highlight w:val="none"/>
          <w14:textFill>
            <w14:solidFill>
              <w14:schemeClr w14:val="tx1"/>
            </w14:solidFill>
          </w14:textFill>
        </w:rPr>
        <w:t>。</w:t>
      </w:r>
    </w:p>
    <w:p w14:paraId="41D4FDD0">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关于项目经理每月在施工现场的时间要求：</w:t>
      </w:r>
      <w:r>
        <w:rPr>
          <w:rFonts w:hint="eastAsia" w:ascii="仿宋" w:hAnsi="仿宋" w:eastAsia="仿宋" w:cs="仿宋"/>
          <w:color w:val="000000" w:themeColor="text1"/>
          <w:sz w:val="20"/>
          <w:szCs w:val="20"/>
          <w:highlight w:val="none"/>
          <w:u w:val="single"/>
          <w14:textFill>
            <w14:solidFill>
              <w14:schemeClr w14:val="tx1"/>
            </w14:solidFill>
          </w14:textFill>
        </w:rPr>
        <w:t>项目经理必须坚守工地，每周在现场工作日不少于5天，每少一天罚款</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5</w:t>
      </w:r>
      <w:r>
        <w:rPr>
          <w:rFonts w:hint="eastAsia" w:ascii="仿宋" w:hAnsi="仿宋" w:eastAsia="仿宋" w:cs="仿宋"/>
          <w:color w:val="000000" w:themeColor="text1"/>
          <w:sz w:val="20"/>
          <w:szCs w:val="20"/>
          <w:highlight w:val="none"/>
          <w:u w:val="single"/>
          <w14:textFill>
            <w14:solidFill>
              <w14:schemeClr w14:val="tx1"/>
            </w14:solidFill>
          </w14:textFill>
        </w:rPr>
        <w:t>00元，外出连续等于或</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超过三天</w:t>
      </w:r>
      <w:r>
        <w:rPr>
          <w:rFonts w:hint="eastAsia" w:ascii="仿宋" w:hAnsi="仿宋" w:eastAsia="仿宋" w:cs="仿宋"/>
          <w:color w:val="000000" w:themeColor="text1"/>
          <w:sz w:val="20"/>
          <w:szCs w:val="20"/>
          <w:highlight w:val="none"/>
          <w:u w:val="single"/>
          <w14:textFill>
            <w14:solidFill>
              <w14:schemeClr w14:val="tx1"/>
            </w14:solidFill>
          </w14:textFill>
        </w:rPr>
        <w:t>时，必须事先取得发包人的许可。</w:t>
      </w:r>
    </w:p>
    <w:p w14:paraId="10546E62">
      <w:pPr>
        <w:spacing w:line="360" w:lineRule="auto"/>
        <w:ind w:firstLine="400"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0"/>
          <w:szCs w:val="20"/>
          <w:highlight w:val="none"/>
          <w:u w:val="single"/>
          <w14:textFill>
            <w14:solidFill>
              <w14:schemeClr w14:val="tx1"/>
            </w14:solidFill>
          </w14:textFill>
        </w:rPr>
        <w:t>由承包人自行承担。</w:t>
      </w:r>
    </w:p>
    <w:p w14:paraId="4DE35324">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项目经理未经批准，擅自离开施工现场的违约责任：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发包人有权按照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5</w:t>
      </w:r>
      <w:r>
        <w:rPr>
          <w:rFonts w:hint="eastAsia" w:ascii="仿宋" w:hAnsi="仿宋" w:eastAsia="仿宋" w:cs="仿宋"/>
          <w:color w:val="000000" w:themeColor="text1"/>
          <w:sz w:val="20"/>
          <w:szCs w:val="20"/>
          <w:highlight w:val="none"/>
          <w:u w:val="single"/>
          <w14:textFill>
            <w14:solidFill>
              <w14:schemeClr w14:val="tx1"/>
            </w14:solidFill>
          </w14:textFill>
        </w:rPr>
        <w:t>00元/天进行处罚。</w:t>
      </w:r>
    </w:p>
    <w:p w14:paraId="7960EA8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3.2.3承包人擅自更换项目经理的违约责任：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视为承包人违约，发包人有权取消合同</w:t>
      </w:r>
      <w:r>
        <w:rPr>
          <w:rFonts w:hint="eastAsia" w:ascii="仿宋" w:hAnsi="仿宋" w:eastAsia="仿宋" w:cs="仿宋"/>
          <w:color w:val="000000" w:themeColor="text1"/>
          <w:sz w:val="20"/>
          <w:szCs w:val="20"/>
          <w:highlight w:val="none"/>
          <w14:textFill>
            <w14:solidFill>
              <w14:schemeClr w14:val="tx1"/>
            </w14:solidFill>
          </w14:textFill>
        </w:rPr>
        <w:t>。</w:t>
      </w:r>
    </w:p>
    <w:p w14:paraId="640CEB8F">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3.2.4承包人无正当理由拒绝更换项目经理的违约责任：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视为承包人违约，发包人有权取消合同</w:t>
      </w:r>
      <w:r>
        <w:rPr>
          <w:rFonts w:hint="eastAsia" w:ascii="仿宋" w:hAnsi="仿宋" w:eastAsia="仿宋" w:cs="仿宋"/>
          <w:color w:val="000000" w:themeColor="text1"/>
          <w:sz w:val="20"/>
          <w:szCs w:val="20"/>
          <w:highlight w:val="none"/>
          <w14:textFill>
            <w14:solidFill>
              <w14:schemeClr w14:val="tx1"/>
            </w14:solidFill>
          </w14:textFill>
        </w:rPr>
        <w:t>。</w:t>
      </w:r>
    </w:p>
    <w:p w14:paraId="3B985FA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3.3承包人人员</w:t>
      </w:r>
    </w:p>
    <w:p w14:paraId="3F4C14C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3.3.1承包人提交项目管理机构及施工现场管理人员安排报告的期限：</w:t>
      </w:r>
      <w:r>
        <w:rPr>
          <w:rFonts w:hint="eastAsia" w:ascii="仿宋" w:hAnsi="仿宋" w:eastAsia="仿宋" w:cs="仿宋"/>
          <w:color w:val="000000" w:themeColor="text1"/>
          <w:sz w:val="20"/>
          <w:szCs w:val="20"/>
          <w:highlight w:val="none"/>
          <w:u w:val="single"/>
          <w14:textFill>
            <w14:solidFill>
              <w14:schemeClr w14:val="tx1"/>
            </w14:solidFill>
          </w14:textFill>
        </w:rPr>
        <w:t>合同签订后7日内</w:t>
      </w:r>
      <w:r>
        <w:rPr>
          <w:rFonts w:hint="eastAsia" w:ascii="仿宋" w:hAnsi="仿宋" w:eastAsia="仿宋" w:cs="仿宋"/>
          <w:color w:val="000000" w:themeColor="text1"/>
          <w:sz w:val="20"/>
          <w:szCs w:val="20"/>
          <w:highlight w:val="none"/>
          <w14:textFill>
            <w14:solidFill>
              <w14:schemeClr w14:val="tx1"/>
            </w14:solidFill>
          </w14:textFill>
        </w:rPr>
        <w:t>。</w:t>
      </w:r>
    </w:p>
    <w:p w14:paraId="5924994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3.3.3承包人无正当理由拒绝撤换主要施工管理人员的违约责任：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视为承包人违约，发包人有权解除合同</w:t>
      </w:r>
      <w:r>
        <w:rPr>
          <w:rFonts w:hint="eastAsia" w:ascii="仿宋" w:hAnsi="仿宋" w:eastAsia="仿宋" w:cs="仿宋"/>
          <w:color w:val="000000" w:themeColor="text1"/>
          <w:sz w:val="20"/>
          <w:szCs w:val="20"/>
          <w:highlight w:val="none"/>
          <w14:textFill>
            <w14:solidFill>
              <w14:schemeClr w14:val="tx1"/>
            </w14:solidFill>
          </w14:textFill>
        </w:rPr>
        <w:t>。</w:t>
      </w:r>
    </w:p>
    <w:p w14:paraId="73BFC65A">
      <w:pPr>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3.3.4承包人主要施工管理人员离开施工现场的批准要求：</w:t>
      </w:r>
      <w:r>
        <w:rPr>
          <w:rFonts w:hint="eastAsia" w:ascii="仿宋" w:hAnsi="仿宋" w:eastAsia="仿宋" w:cs="仿宋"/>
          <w:color w:val="000000" w:themeColor="text1"/>
          <w:sz w:val="20"/>
          <w:szCs w:val="20"/>
          <w:highlight w:val="none"/>
          <w:u w:val="single"/>
          <w14:textFill>
            <w14:solidFill>
              <w14:schemeClr w14:val="tx1"/>
            </w14:solidFill>
          </w14:textFill>
        </w:rPr>
        <w:t>必须事先取得发包人的许可</w:t>
      </w:r>
      <w:r>
        <w:rPr>
          <w:rFonts w:hint="eastAsia" w:ascii="仿宋" w:hAnsi="仿宋" w:eastAsia="仿宋" w:cs="仿宋"/>
          <w:color w:val="000000" w:themeColor="text1"/>
          <w:sz w:val="20"/>
          <w:szCs w:val="20"/>
          <w:highlight w:val="none"/>
          <w14:textFill>
            <w14:solidFill>
              <w14:schemeClr w14:val="tx1"/>
            </w14:solidFill>
          </w14:textFill>
        </w:rPr>
        <w:t>。</w:t>
      </w:r>
    </w:p>
    <w:p w14:paraId="36CAB4C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3.3.5承包人擅自更换主要施工管理人员的违约责任：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视为承包人违约，发包人有权根据情况扣除承包人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1</w:t>
      </w:r>
      <w:r>
        <w:rPr>
          <w:rFonts w:hint="eastAsia" w:ascii="仿宋" w:hAnsi="仿宋" w:eastAsia="仿宋" w:cs="仿宋"/>
          <w:color w:val="000000" w:themeColor="text1"/>
          <w:sz w:val="20"/>
          <w:szCs w:val="20"/>
          <w:highlight w:val="none"/>
          <w:u w:val="single"/>
          <w14:textFill>
            <w14:solidFill>
              <w14:schemeClr w14:val="tx1"/>
            </w14:solidFill>
          </w14:textFill>
        </w:rPr>
        <w:t>000元-</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sz w:val="20"/>
          <w:szCs w:val="20"/>
          <w:highlight w:val="none"/>
          <w:u w:val="single"/>
          <w14:textFill>
            <w14:solidFill>
              <w14:schemeClr w14:val="tx1"/>
            </w14:solidFill>
          </w14:textFill>
        </w:rPr>
        <w:t>000元/人违约金</w:t>
      </w:r>
      <w:r>
        <w:rPr>
          <w:rFonts w:hint="eastAsia" w:ascii="仿宋" w:hAnsi="仿宋" w:eastAsia="仿宋" w:cs="仿宋"/>
          <w:color w:val="000000" w:themeColor="text1"/>
          <w:sz w:val="20"/>
          <w:szCs w:val="20"/>
          <w:highlight w:val="none"/>
          <w14:textFill>
            <w14:solidFill>
              <w14:schemeClr w14:val="tx1"/>
            </w14:solidFill>
          </w14:textFill>
        </w:rPr>
        <w:t>。</w:t>
      </w:r>
    </w:p>
    <w:p w14:paraId="37D2DA1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承包人主要施工管理人员擅自离开施工现场的违约责任：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发包人有权按照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00元/人/天进行处罚</w:t>
      </w:r>
      <w:r>
        <w:rPr>
          <w:rFonts w:hint="eastAsia" w:ascii="仿宋" w:hAnsi="仿宋" w:eastAsia="仿宋" w:cs="仿宋"/>
          <w:color w:val="000000" w:themeColor="text1"/>
          <w:sz w:val="20"/>
          <w:szCs w:val="20"/>
          <w:highlight w:val="none"/>
          <w14:textFill>
            <w14:solidFill>
              <w14:schemeClr w14:val="tx1"/>
            </w14:solidFill>
          </w14:textFill>
        </w:rPr>
        <w:t>。</w:t>
      </w:r>
    </w:p>
    <w:p w14:paraId="6E7B881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bookmarkStart w:id="70" w:name="_Toc297123492"/>
      <w:bookmarkStart w:id="71" w:name="_Toc297120459"/>
      <w:bookmarkStart w:id="72" w:name="_Toc312677988"/>
      <w:bookmarkStart w:id="73" w:name="_Toc300934945"/>
      <w:bookmarkStart w:id="74" w:name="_Toc296944498"/>
      <w:bookmarkStart w:id="75" w:name="_Toc304295523"/>
      <w:bookmarkStart w:id="76" w:name="_Toc292559364"/>
      <w:bookmarkStart w:id="77" w:name="_Toc303539102"/>
      <w:bookmarkStart w:id="78" w:name="_Toc296890987"/>
      <w:bookmarkStart w:id="79" w:name="_Toc296347158"/>
      <w:bookmarkStart w:id="80" w:name="_Toc292559869"/>
      <w:bookmarkStart w:id="81" w:name="_Toc296891199"/>
      <w:bookmarkStart w:id="82" w:name="_Toc296503159"/>
      <w:bookmarkStart w:id="83" w:name="_Toc297216151"/>
      <w:bookmarkStart w:id="84" w:name="_Toc297048345"/>
      <w:bookmarkStart w:id="85" w:name="_Toc296346660"/>
      <w:r>
        <w:rPr>
          <w:rFonts w:hint="eastAsia" w:ascii="仿宋" w:hAnsi="仿宋" w:eastAsia="仿宋" w:cs="仿宋"/>
          <w:color w:val="000000" w:themeColor="text1"/>
          <w:sz w:val="20"/>
          <w:szCs w:val="20"/>
          <w:highlight w:val="none"/>
          <w14:textFill>
            <w14:solidFill>
              <w14:schemeClr w14:val="tx1"/>
            </w14:solidFill>
          </w14:textFill>
        </w:rPr>
        <w:t>.5分包</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10BCE52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bookmarkStart w:id="86" w:name="_Toc296891200"/>
      <w:bookmarkStart w:id="87" w:name="_Toc296890988"/>
      <w:bookmarkStart w:id="88" w:name="_Toc296503160"/>
      <w:bookmarkStart w:id="89" w:name="_Toc318581158"/>
      <w:bookmarkStart w:id="90" w:name="_Toc297216152"/>
      <w:bookmarkStart w:id="91" w:name="_Toc297120460"/>
      <w:bookmarkStart w:id="92" w:name="_Toc296944499"/>
      <w:bookmarkStart w:id="93" w:name="_Toc312677989"/>
      <w:bookmarkStart w:id="94" w:name="_Toc296347159"/>
      <w:bookmarkStart w:id="95" w:name="_Toc303539103"/>
      <w:bookmarkStart w:id="96" w:name="_Toc296346661"/>
      <w:bookmarkStart w:id="97" w:name="_Toc292559870"/>
      <w:bookmarkStart w:id="98" w:name="_Toc304295524"/>
      <w:bookmarkStart w:id="99" w:name="_Toc292559365"/>
      <w:bookmarkStart w:id="100" w:name="_Toc297123493"/>
      <w:bookmarkStart w:id="101" w:name="_Toc300934946"/>
      <w:bookmarkStart w:id="102" w:name="_Toc297048346"/>
      <w:r>
        <w:rPr>
          <w:rFonts w:hint="eastAsia" w:ascii="仿宋" w:hAnsi="仿宋" w:eastAsia="仿宋" w:cs="仿宋"/>
          <w:color w:val="000000" w:themeColor="text1"/>
          <w:sz w:val="20"/>
          <w:szCs w:val="20"/>
          <w:highlight w:val="none"/>
          <w14:textFill>
            <w14:solidFill>
              <w14:schemeClr w14:val="tx1"/>
            </w14:solidFill>
          </w14:textFill>
        </w:rPr>
        <w:t>.5.1分包的一般约定</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DD1916E">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u w:val="single"/>
          <w14:textFill>
            <w14:solidFill>
              <w14:schemeClr w14:val="tx1"/>
            </w14:solidFill>
          </w14:textFill>
        </w:rPr>
        <w:t>承包人不得将其承包的全部工程转包给第三人，或将其承包的全部工程肢解后以分包的名义转包给第三人</w:t>
      </w:r>
      <w:r>
        <w:rPr>
          <w:rFonts w:hint="eastAsia" w:ascii="仿宋" w:hAnsi="仿宋" w:eastAsia="仿宋" w:cs="仿宋"/>
          <w:color w:val="000000" w:themeColor="text1"/>
          <w:sz w:val="20"/>
          <w:szCs w:val="20"/>
          <w:highlight w:val="none"/>
          <w14:textFill>
            <w14:solidFill>
              <w14:schemeClr w14:val="tx1"/>
            </w14:solidFill>
          </w14:textFill>
        </w:rPr>
        <w:t>。</w:t>
      </w:r>
      <w:bookmarkStart w:id="103" w:name="_Toc296890989"/>
      <w:bookmarkStart w:id="104" w:name="_Toc296503161"/>
      <w:bookmarkStart w:id="105" w:name="_Toc304295525"/>
      <w:bookmarkStart w:id="106" w:name="_Toc300934947"/>
      <w:bookmarkStart w:id="107" w:name="_Toc296346662"/>
      <w:bookmarkStart w:id="108" w:name="_Toc303539104"/>
      <w:bookmarkStart w:id="109" w:name="_Toc297123494"/>
      <w:bookmarkStart w:id="110" w:name="_Toc296891201"/>
      <w:bookmarkStart w:id="111" w:name="_Toc296347160"/>
      <w:bookmarkStart w:id="112" w:name="_Toc296944500"/>
      <w:bookmarkStart w:id="113" w:name="_Toc297048347"/>
      <w:bookmarkStart w:id="114" w:name="_Toc297120461"/>
      <w:bookmarkStart w:id="115" w:name="_Toc297216153"/>
    </w:p>
    <w:bookmarkEnd w:id="103"/>
    <w:bookmarkEnd w:id="104"/>
    <w:bookmarkEnd w:id="105"/>
    <w:bookmarkEnd w:id="106"/>
    <w:bookmarkEnd w:id="107"/>
    <w:bookmarkEnd w:id="108"/>
    <w:bookmarkEnd w:id="109"/>
    <w:bookmarkEnd w:id="110"/>
    <w:bookmarkEnd w:id="111"/>
    <w:bookmarkEnd w:id="112"/>
    <w:bookmarkEnd w:id="113"/>
    <w:bookmarkEnd w:id="114"/>
    <w:bookmarkEnd w:id="115"/>
    <w:p w14:paraId="13335359">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3.6工程照管与成品、半成品保护</w:t>
      </w:r>
    </w:p>
    <w:p w14:paraId="0BBC80FF">
      <w:pPr>
        <w:spacing w:line="360" w:lineRule="auto"/>
        <w:ind w:firstLine="400" w:firstLineChars="200"/>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承包人负责照管工程及工程相关的材料、工程设备的起始时间：</w:t>
      </w:r>
      <w:r>
        <w:rPr>
          <w:rFonts w:hint="eastAsia" w:ascii="仿宋" w:hAnsi="仿宋" w:eastAsia="仿宋" w:cs="仿宋"/>
          <w:color w:val="000000" w:themeColor="text1"/>
          <w:kern w:val="0"/>
          <w:sz w:val="20"/>
          <w:szCs w:val="20"/>
          <w:highlight w:val="none"/>
          <w:u w:val="single"/>
          <w14:textFill>
            <w14:solidFill>
              <w14:schemeClr w14:val="tx1"/>
            </w14:solidFill>
          </w14:textFill>
        </w:rPr>
        <w:t>项目正式开工至项目移交竣工验收并交付使用</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5032B9FF">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116" w:name="_Toc267251418"/>
      <w:bookmarkStart w:id="117" w:name="_Toc26627"/>
      <w:bookmarkStart w:id="118" w:name="_Toc351203637"/>
      <w:bookmarkStart w:id="119" w:name="_Toc18393"/>
      <w:r>
        <w:rPr>
          <w:rFonts w:hint="eastAsia" w:ascii="仿宋" w:hAnsi="仿宋" w:eastAsia="仿宋" w:cs="仿宋"/>
          <w:b/>
          <w:color w:val="000000" w:themeColor="text1"/>
          <w:sz w:val="20"/>
          <w:szCs w:val="20"/>
          <w:highlight w:val="none"/>
          <w14:textFill>
            <w14:solidFill>
              <w14:schemeClr w14:val="tx1"/>
            </w14:solidFill>
          </w14:textFill>
        </w:rPr>
        <w:t>5</w:t>
      </w:r>
      <w:bookmarkEnd w:id="116"/>
      <w:bookmarkStart w:id="120" w:name="_Toc296346664"/>
      <w:bookmarkStart w:id="121" w:name="_Toc296890991"/>
      <w:bookmarkStart w:id="122" w:name="_Toc296503163"/>
      <w:bookmarkStart w:id="123" w:name="_Toc296891203"/>
      <w:bookmarkStart w:id="124" w:name="_Toc296347162"/>
      <w:bookmarkStart w:id="125" w:name="_Toc292559367"/>
      <w:bookmarkStart w:id="126" w:name="_Toc292559872"/>
      <w:bookmarkStart w:id="127" w:name="_Toc297048349"/>
      <w:bookmarkStart w:id="128" w:name="_Toc297120463"/>
      <w:bookmarkStart w:id="129" w:name="_Toc296944502"/>
      <w:r>
        <w:rPr>
          <w:rFonts w:hint="eastAsia" w:ascii="仿宋" w:hAnsi="仿宋" w:eastAsia="仿宋" w:cs="仿宋"/>
          <w:b/>
          <w:color w:val="000000" w:themeColor="text1"/>
          <w:sz w:val="20"/>
          <w:szCs w:val="20"/>
          <w:highlight w:val="none"/>
          <w14:textFill>
            <w14:solidFill>
              <w14:schemeClr w14:val="tx1"/>
            </w14:solidFill>
          </w14:textFill>
        </w:rPr>
        <w:t>.工程质量</w:t>
      </w:r>
      <w:bookmarkEnd w:id="117"/>
      <w:bookmarkEnd w:id="118"/>
      <w:bookmarkEnd w:id="119"/>
    </w:p>
    <w:p w14:paraId="2ADE756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5.1质量要求</w:t>
      </w:r>
    </w:p>
    <w:p w14:paraId="2F93BDB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130" w:name="_Toc318581164"/>
      <w:bookmarkStart w:id="131" w:name="_Toc304295527"/>
      <w:bookmarkStart w:id="132" w:name="_Toc300934949"/>
      <w:bookmarkStart w:id="133" w:name="_Toc297216155"/>
      <w:bookmarkStart w:id="134" w:name="_Toc303539106"/>
      <w:bookmarkStart w:id="135" w:name="_Toc297123496"/>
      <w:bookmarkStart w:id="136" w:name="_Toc312677997"/>
      <w:r>
        <w:rPr>
          <w:rFonts w:hint="eastAsia" w:ascii="仿宋" w:hAnsi="仿宋" w:eastAsia="仿宋" w:cs="仿宋"/>
          <w:color w:val="000000" w:themeColor="text1"/>
          <w:sz w:val="20"/>
          <w:szCs w:val="20"/>
          <w:highlight w:val="none"/>
          <w14:textFill>
            <w14:solidFill>
              <w14:schemeClr w14:val="tx1"/>
            </w14:solidFill>
          </w14:textFill>
        </w:rPr>
        <w:t>5.1.1特殊质量标准和要求：</w:t>
      </w:r>
      <w:r>
        <w:rPr>
          <w:rFonts w:hint="eastAsia" w:ascii="仿宋" w:hAnsi="仿宋" w:eastAsia="仿宋" w:cs="仿宋"/>
          <w:color w:val="000000" w:themeColor="text1"/>
          <w:sz w:val="20"/>
          <w:szCs w:val="20"/>
          <w:highlight w:val="none"/>
          <w:u w:val="single"/>
          <w14:textFill>
            <w14:solidFill>
              <w14:schemeClr w14:val="tx1"/>
            </w14:solidFill>
          </w14:textFill>
        </w:rPr>
        <w:t>达到国家、省、市（行业）现行施工验收规范“合格”标准，本工程参照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陕西</w:t>
      </w:r>
      <w:r>
        <w:rPr>
          <w:rFonts w:hint="eastAsia" w:ascii="仿宋" w:hAnsi="仿宋" w:eastAsia="仿宋" w:cs="仿宋"/>
          <w:color w:val="000000" w:themeColor="text1"/>
          <w:sz w:val="20"/>
          <w:szCs w:val="20"/>
          <w:highlight w:val="none"/>
          <w:u w:val="single"/>
          <w14:textFill>
            <w14:solidFill>
              <w14:schemeClr w14:val="tx1"/>
            </w14:solidFill>
          </w14:textFill>
        </w:rPr>
        <w:t>省、</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西安</w:t>
      </w:r>
      <w:r>
        <w:rPr>
          <w:rFonts w:hint="eastAsia" w:ascii="仿宋" w:hAnsi="仿宋" w:eastAsia="仿宋" w:cs="仿宋"/>
          <w:color w:val="000000" w:themeColor="text1"/>
          <w:sz w:val="20"/>
          <w:szCs w:val="20"/>
          <w:highlight w:val="none"/>
          <w:u w:val="single"/>
          <w14:textFill>
            <w14:solidFill>
              <w14:schemeClr w14:val="tx1"/>
            </w14:solidFill>
          </w14:textFill>
        </w:rPr>
        <w:t>市级“文明工地”标准</w:t>
      </w:r>
      <w:r>
        <w:rPr>
          <w:rFonts w:hint="eastAsia" w:ascii="仿宋" w:hAnsi="仿宋" w:eastAsia="仿宋" w:cs="仿宋"/>
          <w:color w:val="000000" w:themeColor="text1"/>
          <w:sz w:val="20"/>
          <w:szCs w:val="20"/>
          <w:highlight w:val="none"/>
          <w14:textFill>
            <w14:solidFill>
              <w14:schemeClr w14:val="tx1"/>
            </w14:solidFill>
          </w14:textFill>
        </w:rPr>
        <w:t>。</w:t>
      </w:r>
    </w:p>
    <w:p w14:paraId="6BC75AD1">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137" w:name="_Toc23896"/>
      <w:bookmarkStart w:id="138" w:name="_Toc351203638"/>
      <w:bookmarkStart w:id="139" w:name="_Toc5851"/>
      <w:r>
        <w:rPr>
          <w:rFonts w:hint="eastAsia" w:ascii="仿宋" w:hAnsi="仿宋" w:eastAsia="仿宋" w:cs="仿宋"/>
          <w:b/>
          <w:color w:val="000000" w:themeColor="text1"/>
          <w:sz w:val="20"/>
          <w:szCs w:val="20"/>
          <w:highlight w:val="none"/>
          <w14:textFill>
            <w14:solidFill>
              <w14:schemeClr w14:val="tx1"/>
            </w14:solidFill>
          </w14:textFill>
        </w:rPr>
        <w:t>6.安全文明施工与环境保护</w:t>
      </w:r>
      <w:bookmarkEnd w:id="137"/>
      <w:bookmarkEnd w:id="138"/>
      <w:bookmarkEnd w:id="139"/>
    </w:p>
    <w:p w14:paraId="1ABA6019">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6.1安全文明施工</w:t>
      </w:r>
    </w:p>
    <w:p w14:paraId="2130863C">
      <w:pPr>
        <w:pStyle w:val="5"/>
        <w:snapToGrid w:val="0"/>
        <w:spacing w:line="360" w:lineRule="auto"/>
        <w:ind w:firstLine="400" w:firstLineChars="200"/>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6.1.1项目安全生产的达标目标及相应事项的约定：</w:t>
      </w:r>
      <w:r>
        <w:rPr>
          <w:rFonts w:hint="eastAsia" w:ascii="仿宋" w:hAnsi="仿宋" w:eastAsia="仿宋" w:cs="仿宋"/>
          <w:color w:val="000000" w:themeColor="text1"/>
          <w:sz w:val="20"/>
          <w:szCs w:val="20"/>
          <w:highlight w:val="none"/>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做好</w:t>
      </w:r>
      <w:r>
        <w:rPr>
          <w:rFonts w:hint="eastAsia" w:ascii="仿宋" w:hAnsi="仿宋" w:eastAsia="仿宋" w:cs="仿宋"/>
          <w:color w:val="000000" w:themeColor="text1"/>
          <w:sz w:val="20"/>
          <w:szCs w:val="20"/>
          <w:highlight w:val="none"/>
          <w:u w:val="single"/>
          <w14:textFill>
            <w14:solidFill>
              <w14:schemeClr w14:val="tx1"/>
            </w14:solidFill>
          </w14:textFill>
        </w:rPr>
        <w:t>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6B689AFB">
      <w:pPr>
        <w:spacing w:line="360" w:lineRule="auto"/>
        <w:ind w:firstLine="400" w:firstLineChars="200"/>
        <w:jc w:val="left"/>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w:t>
      </w:r>
    </w:p>
    <w:p w14:paraId="5D4297D8">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承包人</w:t>
      </w:r>
      <w:r>
        <w:rPr>
          <w:rFonts w:hint="eastAsia" w:ascii="仿宋" w:hAnsi="仿宋" w:eastAsia="仿宋" w:cs="仿宋"/>
          <w:color w:val="000000" w:themeColor="text1"/>
          <w:sz w:val="20"/>
          <w:szCs w:val="20"/>
          <w:highlight w:val="none"/>
          <w:lang w:val="zh-CN"/>
          <w14:textFill>
            <w14:solidFill>
              <w14:schemeClr w14:val="tx1"/>
            </w14:solidFill>
          </w14:textFill>
        </w:rPr>
        <w:t>对自有的施工人员人身及财产安全负责，对自己的人员和机械设备购买保险及相应的劳保用具。</w:t>
      </w:r>
    </w:p>
    <w:p w14:paraId="2354A662">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6.1.4关于治安保卫的特别约定：</w:t>
      </w:r>
      <w:r>
        <w:rPr>
          <w:rFonts w:hint="eastAsia" w:ascii="仿宋" w:hAnsi="仿宋" w:eastAsia="仿宋" w:cs="仿宋"/>
          <w:color w:val="000000" w:themeColor="text1"/>
          <w:sz w:val="20"/>
          <w:szCs w:val="20"/>
          <w:highlight w:val="none"/>
          <w:u w:val="single"/>
          <w14:textFill>
            <w14:solidFill>
              <w14:schemeClr w14:val="tx1"/>
            </w14:solidFill>
          </w14:textFill>
        </w:rPr>
        <w:t>（1）施工现场内外由本项目承包人提供的生产区、办公区、生活区治安保卫工作由承包人全面负责；（2）上述区域内若发生群殴、械斗等群体性</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突发</w:t>
      </w:r>
      <w:r>
        <w:rPr>
          <w:rFonts w:hint="eastAsia" w:ascii="仿宋" w:hAnsi="仿宋" w:eastAsia="仿宋" w:cs="仿宋"/>
          <w:color w:val="000000" w:themeColor="text1"/>
          <w:sz w:val="20"/>
          <w:szCs w:val="20"/>
          <w:highlight w:val="none"/>
          <w:u w:val="single"/>
          <w14:textFill>
            <w14:solidFill>
              <w14:schemeClr w14:val="tx1"/>
            </w14:solidFill>
          </w14:textFill>
        </w:rPr>
        <w:t>治安事件的，每发生一起承包人对发包人支付违约金</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sz w:val="20"/>
          <w:szCs w:val="20"/>
          <w:highlight w:val="none"/>
          <w:u w:val="single"/>
          <w14:textFill>
            <w14:solidFill>
              <w14:schemeClr w14:val="tx1"/>
            </w14:solidFill>
          </w14:textFill>
        </w:rPr>
        <w:t>000元。</w:t>
      </w:r>
    </w:p>
    <w:p w14:paraId="0D7288D0">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关于编制施工场地治安管理计划的约定：</w:t>
      </w:r>
      <w:r>
        <w:rPr>
          <w:rFonts w:hint="eastAsia" w:ascii="仿宋" w:hAnsi="仿宋" w:eastAsia="仿宋" w:cs="仿宋"/>
          <w:color w:val="000000" w:themeColor="text1"/>
          <w:sz w:val="20"/>
          <w:szCs w:val="20"/>
          <w:highlight w:val="none"/>
          <w:u w:val="single"/>
          <w14:textFill>
            <w14:solidFill>
              <w14:schemeClr w14:val="tx1"/>
            </w14:solidFill>
          </w14:textFill>
        </w:rPr>
        <w:t>由承包人在工程开工后7天内编制施工场地治安管理计划</w:t>
      </w:r>
      <w:r>
        <w:rPr>
          <w:rFonts w:hint="eastAsia" w:ascii="仿宋" w:hAnsi="仿宋" w:eastAsia="仿宋" w:cs="仿宋"/>
          <w:color w:val="000000" w:themeColor="text1"/>
          <w:sz w:val="20"/>
          <w:szCs w:val="20"/>
          <w:highlight w:val="none"/>
          <w14:textFill>
            <w14:solidFill>
              <w14:schemeClr w14:val="tx1"/>
            </w14:solidFill>
          </w14:textFill>
        </w:rPr>
        <w:t>。</w:t>
      </w:r>
    </w:p>
    <w:p w14:paraId="6213B31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6.1.5文明施工</w:t>
      </w:r>
    </w:p>
    <w:p w14:paraId="3F6D3CB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合同当事人对文明施工的要求：</w:t>
      </w:r>
      <w:r>
        <w:rPr>
          <w:rFonts w:hint="eastAsia" w:ascii="仿宋" w:hAnsi="仿宋" w:eastAsia="仿宋" w:cs="仿宋"/>
          <w:color w:val="000000" w:themeColor="text1"/>
          <w:sz w:val="20"/>
          <w:szCs w:val="20"/>
          <w:highlight w:val="none"/>
          <w:u w:val="single"/>
          <w14:textFill>
            <w14:solidFill>
              <w14:schemeClr w14:val="tx1"/>
            </w14:solidFill>
          </w14:textFill>
        </w:rPr>
        <w:t>参照陕西省和西安市对文明工地的要求。</w:t>
      </w:r>
    </w:p>
    <w:p w14:paraId="15F2C74F">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6.1.6关于安全文明施工费支付比例和支付期限的约定：</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216ABC4A">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6.1.9安全生产责任：</w:t>
      </w:r>
      <w:r>
        <w:rPr>
          <w:rFonts w:hint="eastAsia" w:ascii="仿宋" w:hAnsi="仿宋" w:eastAsia="仿宋" w:cs="仿宋"/>
          <w:color w:val="000000" w:themeColor="text1"/>
          <w:sz w:val="20"/>
          <w:szCs w:val="20"/>
          <w:highlight w:val="none"/>
          <w:u w:val="single"/>
          <w14:textFill>
            <w14:solidFill>
              <w14:schemeClr w14:val="tx1"/>
            </w14:solidFill>
          </w14:textFill>
        </w:rPr>
        <w:t>施工现场发生的一切安全事故由承包人承担全部责任及损失。</w:t>
      </w:r>
    </w:p>
    <w:bookmarkEnd w:id="130"/>
    <w:bookmarkEnd w:id="131"/>
    <w:bookmarkEnd w:id="132"/>
    <w:bookmarkEnd w:id="133"/>
    <w:bookmarkEnd w:id="134"/>
    <w:bookmarkEnd w:id="135"/>
    <w:bookmarkEnd w:id="136"/>
    <w:p w14:paraId="566CD2CD">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140" w:name="_Toc24747"/>
      <w:bookmarkStart w:id="141" w:name="_Toc29349"/>
      <w:bookmarkStart w:id="142" w:name="_Toc351203639"/>
      <w:r>
        <w:rPr>
          <w:rFonts w:hint="eastAsia" w:ascii="仿宋" w:hAnsi="仿宋" w:eastAsia="仿宋" w:cs="仿宋"/>
          <w:b/>
          <w:color w:val="000000" w:themeColor="text1"/>
          <w:sz w:val="20"/>
          <w:szCs w:val="20"/>
          <w:highlight w:val="none"/>
          <w14:textFill>
            <w14:solidFill>
              <w14:schemeClr w14:val="tx1"/>
            </w14:solidFill>
          </w14:textFill>
        </w:rPr>
        <w:t>7.工期和进度</w:t>
      </w:r>
      <w:bookmarkEnd w:id="140"/>
      <w:bookmarkEnd w:id="141"/>
      <w:bookmarkEnd w:id="142"/>
    </w:p>
    <w:p w14:paraId="2F9B4D2D">
      <w:pPr>
        <w:autoSpaceDE w:val="0"/>
        <w:autoSpaceDN w:val="0"/>
        <w:adjustRightInd w:val="0"/>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7.1.2</w:t>
      </w:r>
      <w:r>
        <w:rPr>
          <w:rFonts w:hint="eastAsia" w:ascii="仿宋" w:hAnsi="仿宋" w:eastAsia="仿宋" w:cs="仿宋"/>
          <w:color w:val="000000" w:themeColor="text1"/>
          <w:kern w:val="0"/>
          <w:sz w:val="20"/>
          <w:szCs w:val="20"/>
          <w:highlight w:val="none"/>
          <w14:textFill>
            <w14:solidFill>
              <w14:schemeClr w14:val="tx1"/>
            </w14:solidFill>
          </w14:textFill>
        </w:rPr>
        <w:t>施工组织设计的提交和修改</w:t>
      </w:r>
    </w:p>
    <w:p w14:paraId="1A4D03F6">
      <w:pPr>
        <w:autoSpaceDE w:val="0"/>
        <w:autoSpaceDN w:val="0"/>
        <w:adjustRightInd w:val="0"/>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承包人提交详细施工组织设计的期限的约定：</w:t>
      </w:r>
      <w:r>
        <w:rPr>
          <w:rFonts w:hint="eastAsia" w:ascii="仿宋" w:hAnsi="仿宋" w:eastAsia="仿宋" w:cs="仿宋"/>
          <w:color w:val="000000" w:themeColor="text1"/>
          <w:sz w:val="20"/>
          <w:szCs w:val="20"/>
          <w:highlight w:val="none"/>
          <w:u w:val="single"/>
          <w14:textFill>
            <w14:solidFill>
              <w14:schemeClr w14:val="tx1"/>
            </w14:solidFill>
          </w14:textFill>
        </w:rPr>
        <w:t>合同签订7天内</w:t>
      </w:r>
      <w:r>
        <w:rPr>
          <w:rFonts w:hint="eastAsia" w:ascii="仿宋" w:hAnsi="仿宋" w:eastAsia="仿宋" w:cs="仿宋"/>
          <w:color w:val="000000" w:themeColor="text1"/>
          <w:sz w:val="20"/>
          <w:szCs w:val="20"/>
          <w:highlight w:val="none"/>
          <w14:textFill>
            <w14:solidFill>
              <w14:schemeClr w14:val="tx1"/>
            </w14:solidFill>
          </w14:textFill>
        </w:rPr>
        <w:t>。</w:t>
      </w:r>
    </w:p>
    <w:p w14:paraId="7E736EA4">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发包人在收到详细的施工组织设计后确认或提出修改意见的期限：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5F0128B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43" w:name="_Toc312678005"/>
      <w:bookmarkStart w:id="144" w:name="_Toc303539123"/>
      <w:bookmarkStart w:id="145" w:name="_Toc312677479"/>
      <w:bookmarkStart w:id="146" w:name="_Toc297123514"/>
      <w:bookmarkStart w:id="147" w:name="_Toc297216173"/>
      <w:bookmarkStart w:id="148" w:name="_Toc304295541"/>
      <w:bookmarkStart w:id="149" w:name="_Toc300934966"/>
      <w:r>
        <w:rPr>
          <w:rFonts w:hint="eastAsia" w:ascii="仿宋" w:hAnsi="仿宋" w:eastAsia="仿宋" w:cs="仿宋"/>
          <w:color w:val="000000" w:themeColor="text1"/>
          <w:sz w:val="20"/>
          <w:szCs w:val="20"/>
          <w:highlight w:val="none"/>
          <w14:textFill>
            <w14:solidFill>
              <w14:schemeClr w14:val="tx1"/>
            </w14:solidFill>
          </w14:textFill>
        </w:rPr>
        <w:t>.2施工进度计划</w:t>
      </w:r>
    </w:p>
    <w:p w14:paraId="60F518B6">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7.2.2施工进度计划的修订</w:t>
      </w:r>
    </w:p>
    <w:p w14:paraId="7DC4ECCC">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发包人在收到修订的施工进度计划后确认或提出修改意见的期限：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6875F79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7.3开工</w:t>
      </w:r>
    </w:p>
    <w:p w14:paraId="597041F2">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7.3.1开工准备</w:t>
      </w:r>
    </w:p>
    <w:p w14:paraId="4EAA1881">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关于承包人提交</w:t>
      </w:r>
      <w:r>
        <w:rPr>
          <w:rFonts w:hint="eastAsia" w:ascii="仿宋" w:hAnsi="仿宋" w:eastAsia="仿宋" w:cs="仿宋"/>
          <w:color w:val="000000" w:themeColor="text1"/>
          <w:kern w:val="0"/>
          <w:sz w:val="20"/>
          <w:szCs w:val="20"/>
          <w:highlight w:val="none"/>
          <w14:textFill>
            <w14:solidFill>
              <w14:schemeClr w14:val="tx1"/>
            </w14:solidFill>
          </w14:textFill>
        </w:rPr>
        <w:t>工程开工报审表的期限：</w:t>
      </w:r>
      <w:r>
        <w:rPr>
          <w:rFonts w:hint="eastAsia" w:ascii="仿宋" w:hAnsi="仿宋" w:eastAsia="仿宋" w:cs="仿宋"/>
          <w:color w:val="000000" w:themeColor="text1"/>
          <w:sz w:val="20"/>
          <w:szCs w:val="20"/>
          <w:highlight w:val="none"/>
          <w:u w:val="single"/>
          <w14:textFill>
            <w14:solidFill>
              <w14:schemeClr w14:val="tx1"/>
            </w14:solidFill>
          </w14:textFill>
        </w:rPr>
        <w:t>合同签订后5天内，但不得晚于通用条款7.3.2项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开工通知</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载明的开工日期前10天</w:t>
      </w:r>
      <w:r>
        <w:rPr>
          <w:rFonts w:hint="eastAsia" w:ascii="仿宋" w:hAnsi="仿宋" w:eastAsia="仿宋" w:cs="仿宋"/>
          <w:color w:val="000000" w:themeColor="text1"/>
          <w:sz w:val="20"/>
          <w:szCs w:val="20"/>
          <w:highlight w:val="none"/>
          <w14:textFill>
            <w14:solidFill>
              <w14:schemeClr w14:val="tx1"/>
            </w14:solidFill>
          </w14:textFill>
        </w:rPr>
        <w:t>。</w:t>
      </w:r>
    </w:p>
    <w:p w14:paraId="4C01F693">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关于承包人应完成的其他开工准备工作及期限：</w:t>
      </w:r>
      <w:r>
        <w:rPr>
          <w:rFonts w:hint="eastAsia" w:ascii="仿宋" w:hAnsi="仿宋" w:eastAsia="仿宋" w:cs="仿宋"/>
          <w:color w:val="000000" w:themeColor="text1"/>
          <w:sz w:val="20"/>
          <w:szCs w:val="20"/>
          <w:highlight w:val="none"/>
          <w:u w:val="single"/>
          <w14:textFill>
            <w14:solidFill>
              <w14:schemeClr w14:val="tx1"/>
            </w14:solidFill>
          </w14:textFill>
        </w:rPr>
        <w:t>扬尘治理专项方案，合同签订后15个日历天内</w:t>
      </w:r>
      <w:r>
        <w:rPr>
          <w:rFonts w:hint="eastAsia" w:ascii="仿宋" w:hAnsi="仿宋" w:eastAsia="仿宋" w:cs="仿宋"/>
          <w:color w:val="000000" w:themeColor="text1"/>
          <w:sz w:val="20"/>
          <w:szCs w:val="20"/>
          <w:highlight w:val="none"/>
          <w14:textFill>
            <w14:solidFill>
              <w14:schemeClr w14:val="tx1"/>
            </w14:solidFill>
          </w14:textFill>
        </w:rPr>
        <w:t>。</w:t>
      </w:r>
    </w:p>
    <w:bookmarkEnd w:id="143"/>
    <w:bookmarkEnd w:id="144"/>
    <w:bookmarkEnd w:id="145"/>
    <w:bookmarkEnd w:id="146"/>
    <w:bookmarkEnd w:id="147"/>
    <w:bookmarkEnd w:id="148"/>
    <w:bookmarkEnd w:id="149"/>
    <w:p w14:paraId="33EDE16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50" w:name="_Toc312677484"/>
      <w:bookmarkStart w:id="151" w:name="_Toc304295546"/>
      <w:bookmarkStart w:id="152" w:name="_Toc297216175"/>
      <w:bookmarkStart w:id="153" w:name="_Toc312678010"/>
      <w:bookmarkStart w:id="154" w:name="_Toc297123516"/>
      <w:bookmarkStart w:id="155" w:name="_Toc300934968"/>
      <w:bookmarkStart w:id="156" w:name="_Toc303539125"/>
      <w:r>
        <w:rPr>
          <w:rFonts w:hint="eastAsia" w:ascii="仿宋" w:hAnsi="仿宋" w:eastAsia="仿宋" w:cs="仿宋"/>
          <w:color w:val="000000" w:themeColor="text1"/>
          <w:sz w:val="20"/>
          <w:szCs w:val="20"/>
          <w:highlight w:val="none"/>
          <w14:textFill>
            <w14:solidFill>
              <w14:schemeClr w14:val="tx1"/>
            </w14:solidFill>
          </w14:textFill>
        </w:rPr>
        <w:t>.5工期延误</w:t>
      </w:r>
    </w:p>
    <w:bookmarkEnd w:id="150"/>
    <w:bookmarkEnd w:id="151"/>
    <w:bookmarkEnd w:id="152"/>
    <w:bookmarkEnd w:id="153"/>
    <w:bookmarkEnd w:id="154"/>
    <w:bookmarkEnd w:id="155"/>
    <w:bookmarkEnd w:id="156"/>
    <w:p w14:paraId="29CDE432">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157" w:name="_Toc312678014"/>
      <w:bookmarkStart w:id="158" w:name="_Toc318581171"/>
      <w:r>
        <w:rPr>
          <w:rFonts w:hint="eastAsia" w:ascii="仿宋" w:hAnsi="仿宋" w:eastAsia="仿宋" w:cs="仿宋"/>
          <w:color w:val="000000" w:themeColor="text1"/>
          <w:sz w:val="20"/>
          <w:szCs w:val="20"/>
          <w:highlight w:val="none"/>
          <w14:textFill>
            <w14:solidFill>
              <w14:schemeClr w14:val="tx1"/>
            </w14:solidFill>
          </w14:textFill>
        </w:rPr>
        <w:t>7.5.1因发包人原因导致工期延误</w:t>
      </w:r>
    </w:p>
    <w:p w14:paraId="7638A6AC">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（7）因发包人原因导致工期延误的其他情形：</w:t>
      </w:r>
      <w:r>
        <w:rPr>
          <w:rFonts w:hint="eastAsia" w:ascii="仿宋" w:hAnsi="仿宋" w:eastAsia="仿宋" w:cs="仿宋"/>
          <w:color w:val="000000" w:themeColor="text1"/>
          <w:sz w:val="20"/>
          <w:szCs w:val="20"/>
          <w:highlight w:val="none"/>
          <w:u w:val="single"/>
          <w14:textFill>
            <w14:solidFill>
              <w14:schemeClr w14:val="tx1"/>
            </w14:solidFill>
          </w14:textFill>
        </w:rPr>
        <w:t>不可抗力，此延误工期须在发生后7天内办理延期申请，逾期不予认可</w:t>
      </w:r>
      <w:r>
        <w:rPr>
          <w:rFonts w:hint="eastAsia" w:ascii="仿宋" w:hAnsi="仿宋" w:eastAsia="仿宋" w:cs="仿宋"/>
          <w:color w:val="000000" w:themeColor="text1"/>
          <w:sz w:val="20"/>
          <w:szCs w:val="20"/>
          <w:highlight w:val="none"/>
          <w14:textFill>
            <w14:solidFill>
              <w14:schemeClr w14:val="tx1"/>
            </w14:solidFill>
          </w14:textFill>
        </w:rPr>
        <w:t>。</w:t>
      </w:r>
    </w:p>
    <w:p w14:paraId="300380BD">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59" w:name="_Toc312678012"/>
      <w:bookmarkStart w:id="160" w:name="_Toc318581169"/>
      <w:bookmarkStart w:id="161" w:name="_Toc312677486"/>
      <w:bookmarkStart w:id="162" w:name="_Toc303539127"/>
      <w:bookmarkStart w:id="163" w:name="_Toc300934970"/>
      <w:bookmarkStart w:id="164" w:name="_Toc297216177"/>
      <w:bookmarkStart w:id="165" w:name="_Toc304295548"/>
      <w:bookmarkStart w:id="166" w:name="_Toc297123518"/>
      <w:r>
        <w:rPr>
          <w:rFonts w:hint="eastAsia" w:ascii="仿宋" w:hAnsi="仿宋" w:eastAsia="仿宋" w:cs="仿宋"/>
          <w:color w:val="000000" w:themeColor="text1"/>
          <w:sz w:val="20"/>
          <w:szCs w:val="20"/>
          <w:highlight w:val="none"/>
          <w14:textFill>
            <w14:solidFill>
              <w14:schemeClr w14:val="tx1"/>
            </w14:solidFill>
          </w14:textFill>
        </w:rPr>
        <w:t>.5.2因承包人原因导致工期延误</w:t>
      </w:r>
    </w:p>
    <w:bookmarkEnd w:id="159"/>
    <w:bookmarkEnd w:id="160"/>
    <w:bookmarkEnd w:id="161"/>
    <w:p w14:paraId="68F210B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w:t>
      </w:r>
      <w:bookmarkStart w:id="167" w:name="_Toc312677487"/>
      <w:bookmarkStart w:id="168" w:name="_Toc312678013"/>
      <w:bookmarkStart w:id="169" w:name="_Toc318581170"/>
      <w:r>
        <w:rPr>
          <w:rFonts w:hint="eastAsia" w:ascii="仿宋" w:hAnsi="仿宋" w:eastAsia="仿宋" w:cs="仿宋"/>
          <w:color w:val="000000" w:themeColor="text1"/>
          <w:sz w:val="20"/>
          <w:szCs w:val="20"/>
          <w:highlight w:val="none"/>
          <w14:textFill>
            <w14:solidFill>
              <w14:schemeClr w14:val="tx1"/>
            </w14:solidFill>
          </w14:textFill>
        </w:rPr>
        <w:t>承包人原因造成工期延误，逾期竣工违约金的计算方法为：</w:t>
      </w:r>
      <w:bookmarkEnd w:id="162"/>
      <w:bookmarkEnd w:id="163"/>
      <w:bookmarkEnd w:id="164"/>
      <w:bookmarkEnd w:id="165"/>
      <w:bookmarkEnd w:id="166"/>
      <w:bookmarkEnd w:id="167"/>
      <w:bookmarkEnd w:id="168"/>
      <w:r>
        <w:rPr>
          <w:rFonts w:hint="eastAsia" w:ascii="仿宋" w:hAnsi="仿宋" w:eastAsia="仿宋" w:cs="仿宋"/>
          <w:color w:val="000000" w:themeColor="text1"/>
          <w:sz w:val="20"/>
          <w:szCs w:val="20"/>
          <w:highlight w:val="none"/>
          <w:u w:val="single"/>
          <w14:textFill>
            <w14:solidFill>
              <w14:schemeClr w14:val="tx1"/>
            </w14:solidFill>
          </w14:textFill>
        </w:rPr>
        <w:t>按</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u w:val="single"/>
          <w14:textFill>
            <w14:solidFill>
              <w14:schemeClr w14:val="tx1"/>
            </w14:solidFill>
          </w14:textFill>
        </w:rPr>
        <w:t>工期提前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完工</w:t>
      </w:r>
      <w:r>
        <w:rPr>
          <w:rFonts w:hint="eastAsia" w:ascii="仿宋" w:hAnsi="仿宋" w:eastAsia="仿宋" w:cs="仿宋"/>
          <w:color w:val="000000" w:themeColor="text1"/>
          <w:sz w:val="20"/>
          <w:szCs w:val="20"/>
          <w:highlight w:val="none"/>
          <w:u w:val="single"/>
          <w14:textFill>
            <w14:solidFill>
              <w14:schemeClr w14:val="tx1"/>
            </w14:solidFill>
          </w14:textFill>
        </w:rPr>
        <w:t>无奖励。1）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承包人</w:t>
      </w:r>
      <w:r>
        <w:rPr>
          <w:rFonts w:hint="eastAsia" w:ascii="仿宋" w:hAnsi="仿宋" w:eastAsia="仿宋" w:cs="仿宋"/>
          <w:color w:val="000000" w:themeColor="text1"/>
          <w:sz w:val="20"/>
          <w:szCs w:val="20"/>
          <w:highlight w:val="none"/>
          <w:u w:val="single"/>
          <w14:textFill>
            <w14:solidFill>
              <w14:schemeClr w14:val="tx1"/>
            </w14:solidFill>
          </w14:textFill>
        </w:rPr>
        <w:t>不能按期交工的，每逾期一日应向</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支付合同总价款2%的违约金，给</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造成损失的，应予以赔偿。2）因工程量变化引起的工期变化，本工程不予调整即总工期不变</w:t>
      </w:r>
      <w:r>
        <w:rPr>
          <w:rFonts w:hint="eastAsia" w:ascii="仿宋" w:hAnsi="仿宋" w:eastAsia="仿宋" w:cs="仿宋"/>
          <w:color w:val="000000" w:themeColor="text1"/>
          <w:sz w:val="20"/>
          <w:szCs w:val="20"/>
          <w:highlight w:val="none"/>
          <w:u w:val="single"/>
          <w14:textFill>
            <w14:solidFill>
              <w14:schemeClr w14:val="tx1"/>
            </w14:solidFill>
          </w14:textFill>
        </w:rPr>
        <w:t>。</w:t>
      </w:r>
    </w:p>
    <w:bookmarkEnd w:id="169"/>
    <w:p w14:paraId="2C75A04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因承包人原因造成工期延误，逾期竣工违约金的上限：</w:t>
      </w:r>
      <w:r>
        <w:rPr>
          <w:rFonts w:hint="eastAsia" w:ascii="仿宋" w:hAnsi="仿宋" w:eastAsia="仿宋" w:cs="仿宋"/>
          <w:color w:val="000000" w:themeColor="text1"/>
          <w:sz w:val="20"/>
          <w:szCs w:val="20"/>
          <w:highlight w:val="none"/>
          <w:u w:val="single"/>
          <w14:textFill>
            <w14:solidFill>
              <w14:schemeClr w14:val="tx1"/>
            </w14:solidFill>
          </w14:textFill>
        </w:rPr>
        <w:t>无上限</w:t>
      </w:r>
      <w:r>
        <w:rPr>
          <w:rFonts w:hint="eastAsia" w:ascii="仿宋" w:hAnsi="仿宋" w:eastAsia="仿宋" w:cs="仿宋"/>
          <w:color w:val="000000" w:themeColor="text1"/>
          <w:sz w:val="20"/>
          <w:szCs w:val="20"/>
          <w:highlight w:val="none"/>
          <w14:textFill>
            <w14:solidFill>
              <w14:schemeClr w14:val="tx1"/>
            </w14:solidFill>
          </w14:textFill>
        </w:rPr>
        <w:t>。</w:t>
      </w:r>
    </w:p>
    <w:bookmarkEnd w:id="157"/>
    <w:bookmarkEnd w:id="158"/>
    <w:p w14:paraId="03241823">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70" w:name="_Toc312678017"/>
      <w:bookmarkStart w:id="171" w:name="_Toc297123521"/>
      <w:bookmarkStart w:id="172" w:name="_Toc300934973"/>
      <w:bookmarkStart w:id="173" w:name="_Toc297216180"/>
      <w:bookmarkStart w:id="174" w:name="_Toc304295551"/>
      <w:bookmarkStart w:id="175" w:name="_Toc303539130"/>
      <w:r>
        <w:rPr>
          <w:rFonts w:hint="eastAsia" w:ascii="仿宋" w:hAnsi="仿宋" w:eastAsia="仿宋" w:cs="仿宋"/>
          <w:color w:val="000000" w:themeColor="text1"/>
          <w:sz w:val="20"/>
          <w:szCs w:val="20"/>
          <w:highlight w:val="none"/>
          <w14:textFill>
            <w14:solidFill>
              <w14:schemeClr w14:val="tx1"/>
            </w14:solidFill>
          </w14:textFill>
        </w:rPr>
        <w:t>.7异常恶劣的气候条件</w:t>
      </w:r>
    </w:p>
    <w:bookmarkEnd w:id="170"/>
    <w:bookmarkEnd w:id="171"/>
    <w:bookmarkEnd w:id="172"/>
    <w:bookmarkEnd w:id="173"/>
    <w:bookmarkEnd w:id="174"/>
    <w:bookmarkEnd w:id="175"/>
    <w:p w14:paraId="5E6F3713">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发包人和承包人同意以下情形视为异常恶劣的气候条件：</w:t>
      </w:r>
    </w:p>
    <w:p w14:paraId="6AA0A37D">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bCs/>
          <w:color w:val="000000" w:themeColor="text1"/>
          <w:sz w:val="20"/>
          <w:szCs w:val="20"/>
          <w:highlight w:val="none"/>
          <w:u w:val="single"/>
          <w14:textFill>
            <w14:solidFill>
              <w14:schemeClr w14:val="tx1"/>
            </w14:solidFill>
          </w14:textFill>
        </w:rPr>
        <w:t>7级以上大风</w:t>
      </w:r>
      <w:r>
        <w:rPr>
          <w:rFonts w:hint="eastAsia" w:ascii="仿宋" w:hAnsi="仿宋" w:eastAsia="仿宋" w:cs="仿宋"/>
          <w:color w:val="000000" w:themeColor="text1"/>
          <w:sz w:val="20"/>
          <w:szCs w:val="20"/>
          <w:highlight w:val="none"/>
          <w14:textFill>
            <w14:solidFill>
              <w14:schemeClr w14:val="tx1"/>
            </w14:solidFill>
          </w14:textFill>
        </w:rPr>
        <w:t>。</w:t>
      </w:r>
    </w:p>
    <w:p w14:paraId="5BD06878">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bCs/>
          <w:color w:val="000000" w:themeColor="text1"/>
          <w:sz w:val="20"/>
          <w:szCs w:val="20"/>
          <w:highlight w:val="none"/>
          <w:u w:val="single"/>
          <w14:textFill>
            <w14:solidFill>
              <w14:schemeClr w14:val="tx1"/>
            </w14:solidFill>
          </w14:textFill>
        </w:rPr>
        <w:t>3小时内降雨量将达50毫米以上，或者已达50毫米以上且降雨可能持续</w:t>
      </w:r>
      <w:r>
        <w:rPr>
          <w:rFonts w:hint="eastAsia" w:ascii="仿宋" w:hAnsi="仿宋" w:eastAsia="仿宋" w:cs="仿宋"/>
          <w:color w:val="000000" w:themeColor="text1"/>
          <w:sz w:val="20"/>
          <w:szCs w:val="20"/>
          <w:highlight w:val="none"/>
          <w14:textFill>
            <w14:solidFill>
              <w14:schemeClr w14:val="tx1"/>
            </w14:solidFill>
          </w14:textFill>
        </w:rPr>
        <w:t>。</w:t>
      </w:r>
    </w:p>
    <w:p w14:paraId="2E7CDCCC">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bCs/>
          <w:color w:val="000000" w:themeColor="text1"/>
          <w:sz w:val="20"/>
          <w:szCs w:val="20"/>
          <w:highlight w:val="none"/>
          <w:u w:val="single"/>
          <w14:textFill>
            <w14:solidFill>
              <w14:schemeClr w14:val="tx1"/>
            </w14:solidFill>
          </w14:textFill>
        </w:rPr>
        <w:t>雾霾红色预警</w:t>
      </w:r>
      <w:r>
        <w:rPr>
          <w:rFonts w:hint="eastAsia" w:ascii="仿宋" w:hAnsi="仿宋" w:eastAsia="仿宋" w:cs="仿宋"/>
          <w:color w:val="000000" w:themeColor="text1"/>
          <w:sz w:val="20"/>
          <w:szCs w:val="20"/>
          <w:highlight w:val="none"/>
          <w14:textFill>
            <w14:solidFill>
              <w14:schemeClr w14:val="tx1"/>
            </w14:solidFill>
          </w14:textFill>
        </w:rPr>
        <w:t>。</w:t>
      </w:r>
    </w:p>
    <w:p w14:paraId="703271B4">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176" w:name="_Toc351203640"/>
      <w:bookmarkStart w:id="177" w:name="_Toc7907"/>
      <w:bookmarkStart w:id="178" w:name="_Toc12877"/>
      <w:r>
        <w:rPr>
          <w:rFonts w:hint="eastAsia" w:ascii="仿宋" w:hAnsi="仿宋" w:eastAsia="仿宋" w:cs="仿宋"/>
          <w:b/>
          <w:color w:val="000000" w:themeColor="text1"/>
          <w:sz w:val="20"/>
          <w:szCs w:val="20"/>
          <w:highlight w:val="none"/>
          <w14:textFill>
            <w14:solidFill>
              <w14:schemeClr w14:val="tx1"/>
            </w14:solidFill>
          </w14:textFill>
        </w:rPr>
        <w:t>8.材料与设备</w:t>
      </w:r>
      <w:bookmarkEnd w:id="176"/>
      <w:bookmarkEnd w:id="177"/>
      <w:bookmarkEnd w:id="178"/>
    </w:p>
    <w:bookmarkEnd w:id="120"/>
    <w:bookmarkEnd w:id="121"/>
    <w:bookmarkEnd w:id="122"/>
    <w:bookmarkEnd w:id="123"/>
    <w:bookmarkEnd w:id="124"/>
    <w:bookmarkEnd w:id="125"/>
    <w:bookmarkEnd w:id="126"/>
    <w:bookmarkEnd w:id="127"/>
    <w:bookmarkEnd w:id="128"/>
    <w:bookmarkEnd w:id="129"/>
    <w:p w14:paraId="626882C1">
      <w:pPr>
        <w:spacing w:line="360" w:lineRule="auto"/>
        <w:ind w:firstLine="384" w:firstLineChars="192"/>
        <w:rPr>
          <w:rFonts w:hint="eastAsia" w:ascii="仿宋" w:hAnsi="仿宋" w:eastAsia="仿宋" w:cs="仿宋"/>
          <w:color w:val="000000" w:themeColor="text1"/>
          <w:sz w:val="20"/>
          <w:szCs w:val="20"/>
          <w:highlight w:val="none"/>
          <w14:textFill>
            <w14:solidFill>
              <w14:schemeClr w14:val="tx1"/>
            </w14:solidFill>
          </w14:textFill>
        </w:rPr>
      </w:pPr>
      <w:bookmarkStart w:id="179" w:name="_Toc303539137"/>
      <w:bookmarkStart w:id="180" w:name="_Toc297123528"/>
      <w:bookmarkStart w:id="181" w:name="_Toc312677494"/>
      <w:bookmarkStart w:id="182" w:name="_Toc296891208"/>
      <w:bookmarkStart w:id="183" w:name="_Toc296346669"/>
      <w:bookmarkStart w:id="184" w:name="_Toc312678020"/>
      <w:bookmarkStart w:id="185" w:name="_Toc296347167"/>
      <w:bookmarkStart w:id="186" w:name="_Toc297216187"/>
      <w:bookmarkStart w:id="187" w:name="_Toc280868655"/>
      <w:bookmarkStart w:id="188" w:name="_Toc280868656"/>
      <w:bookmarkStart w:id="189" w:name="_Toc267251424"/>
      <w:bookmarkStart w:id="190" w:name="_Toc297120468"/>
      <w:bookmarkStart w:id="191" w:name="_Toc296890996"/>
      <w:bookmarkStart w:id="192" w:name="_Toc297048354"/>
      <w:bookmarkStart w:id="193" w:name="_Toc318581173"/>
      <w:bookmarkStart w:id="194" w:name="_Toc296503168"/>
      <w:bookmarkStart w:id="195" w:name="_Toc296944507"/>
      <w:bookmarkStart w:id="196" w:name="_Toc300934980"/>
      <w:bookmarkStart w:id="197" w:name="_Toc304295557"/>
      <w:r>
        <w:rPr>
          <w:rFonts w:hint="eastAsia" w:ascii="仿宋" w:hAnsi="仿宋" w:eastAsia="仿宋" w:cs="仿宋"/>
          <w:color w:val="000000" w:themeColor="text1"/>
          <w:sz w:val="20"/>
          <w:szCs w:val="20"/>
          <w:highlight w:val="none"/>
          <w14:textFill>
            <w14:solidFill>
              <w14:schemeClr w14:val="tx1"/>
            </w14:solidFill>
          </w14:textFill>
        </w:rPr>
        <w:t>8.2承包人采购材料与工程设备：</w:t>
      </w:r>
    </w:p>
    <w:p w14:paraId="36A8B5B5">
      <w:pPr>
        <w:spacing w:line="360" w:lineRule="auto"/>
        <w:ind w:firstLine="384" w:firstLineChars="192"/>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由发包人暂定价的材料设备必须经发包人认质认价和供应商审批程序后承包人方可采购</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发包人暂定价或需认质认价的材料设备单价已包含全部费用（为工地出库价）。</w:t>
      </w:r>
    </w:p>
    <w:p w14:paraId="5FC5C132">
      <w:pPr>
        <w:spacing w:line="360" w:lineRule="auto"/>
        <w:ind w:firstLine="384" w:firstLineChars="192"/>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承包人采购的所有材料、设备，除满足采购文件要求外，且应达到国家规范或设计要求的“合格”及以上标准，且应符合国家、省市关于健康、节能、环保以及强制性认证等要求。由承包人自购的主要材料、设备必须经发包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认真</w:t>
      </w:r>
      <w:r>
        <w:rPr>
          <w:rFonts w:hint="eastAsia" w:ascii="仿宋" w:hAnsi="仿宋" w:eastAsia="仿宋" w:cs="仿宋"/>
          <w:color w:val="000000" w:themeColor="text1"/>
          <w:sz w:val="20"/>
          <w:szCs w:val="20"/>
          <w:highlight w:val="none"/>
          <w:u w:val="single"/>
          <w14:textFill>
            <w14:solidFill>
              <w14:schemeClr w14:val="tx1"/>
            </w14:solidFill>
          </w14:textFill>
        </w:rPr>
        <w:t>审批后，方可采购。</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因</w:t>
      </w:r>
      <w:r>
        <w:rPr>
          <w:rFonts w:hint="eastAsia" w:ascii="仿宋" w:hAnsi="仿宋" w:eastAsia="仿宋" w:cs="仿宋"/>
          <w:color w:val="000000" w:themeColor="text1"/>
          <w:sz w:val="20"/>
          <w:szCs w:val="20"/>
          <w:highlight w:val="none"/>
          <w:u w:val="single"/>
          <w14:textFill>
            <w14:solidFill>
              <w14:schemeClr w14:val="tx1"/>
            </w14:solidFill>
          </w14:textFill>
        </w:rPr>
        <w:t>材料、设备质量造成的工程损失由承包人负全部责任。</w:t>
      </w:r>
    </w:p>
    <w:p w14:paraId="619657D8">
      <w:pPr>
        <w:adjustRightInd w:val="0"/>
        <w:snapToGrid w:val="0"/>
        <w:spacing w:line="360" w:lineRule="auto"/>
        <w:ind w:firstLine="416" w:firstLineChars="208"/>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其他主要</w:t>
      </w:r>
      <w:r>
        <w:rPr>
          <w:rFonts w:hint="eastAsia" w:ascii="仿宋" w:hAnsi="仿宋" w:eastAsia="仿宋" w:cs="仿宋"/>
          <w:color w:val="000000" w:themeColor="text1"/>
          <w:sz w:val="20"/>
          <w:szCs w:val="20"/>
          <w:highlight w:val="none"/>
          <w14:textFill>
            <w14:solidFill>
              <w14:schemeClr w14:val="tx1"/>
            </w14:solidFill>
          </w14:textFill>
        </w:rPr>
        <w:t>材料价格调整约定：</w:t>
      </w:r>
    </w:p>
    <w:p w14:paraId="530EDF14">
      <w:pPr>
        <w:adjustRightInd w:val="0"/>
        <w:snapToGrid w:val="0"/>
        <w:spacing w:line="360" w:lineRule="auto"/>
        <w:ind w:firstLine="416" w:firstLineChars="208"/>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商品砼市场价中已含运费、泵送费、抗渗费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及其他所需</w:t>
      </w:r>
      <w:r>
        <w:rPr>
          <w:rFonts w:hint="eastAsia" w:ascii="仿宋" w:hAnsi="仿宋" w:eastAsia="仿宋" w:cs="仿宋"/>
          <w:color w:val="000000" w:themeColor="text1"/>
          <w:sz w:val="20"/>
          <w:szCs w:val="20"/>
          <w:highlight w:val="none"/>
          <w:u w:val="single"/>
          <w14:textFill>
            <w14:solidFill>
              <w14:schemeClr w14:val="tx1"/>
            </w14:solidFill>
          </w14:textFill>
        </w:rPr>
        <w:t>添加剂等一切费用。</w:t>
      </w:r>
    </w:p>
    <w:p w14:paraId="188BF0E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39981AF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bookmarkStart w:id="198" w:name="_Toc300934979"/>
      <w:bookmarkStart w:id="199" w:name="_Toc280868654"/>
      <w:bookmarkStart w:id="200" w:name="_Toc297123527"/>
      <w:bookmarkStart w:id="201" w:name="_Toc292559877"/>
      <w:bookmarkStart w:id="202" w:name="_Toc296346668"/>
      <w:bookmarkStart w:id="203" w:name="_Toc312678019"/>
      <w:bookmarkStart w:id="204" w:name="_Toc304295556"/>
      <w:bookmarkStart w:id="205" w:name="_Toc296347166"/>
      <w:bookmarkStart w:id="206" w:name="_Toc297216186"/>
      <w:bookmarkStart w:id="207" w:name="_Toc312677493"/>
      <w:bookmarkStart w:id="208" w:name="_Toc296891207"/>
      <w:bookmarkStart w:id="209" w:name="_Toc297048353"/>
      <w:bookmarkStart w:id="210" w:name="_Toc292559372"/>
      <w:bookmarkStart w:id="211" w:name="_Toc303539136"/>
      <w:bookmarkStart w:id="212" w:name="_Toc296944506"/>
      <w:bookmarkStart w:id="213" w:name="_Toc296890995"/>
      <w:bookmarkStart w:id="214" w:name="_Toc296503167"/>
      <w:bookmarkStart w:id="215" w:name="_Toc297120467"/>
      <w:r>
        <w:rPr>
          <w:rFonts w:hint="eastAsia" w:ascii="仿宋" w:hAnsi="仿宋" w:eastAsia="仿宋" w:cs="仿宋"/>
          <w:color w:val="000000" w:themeColor="text1"/>
          <w:sz w:val="20"/>
          <w:szCs w:val="20"/>
          <w:highlight w:val="none"/>
          <w14:textFill>
            <w14:solidFill>
              <w14:schemeClr w14:val="tx1"/>
            </w14:solidFill>
          </w14:textFill>
        </w:rPr>
        <w:t>.4材料与工程设备的保管与使用：</w:t>
      </w:r>
      <w:r>
        <w:rPr>
          <w:rFonts w:hint="eastAsia" w:ascii="仿宋" w:hAnsi="仿宋" w:eastAsia="仿宋" w:cs="仿宋"/>
          <w:color w:val="000000" w:themeColor="text1"/>
          <w:sz w:val="20"/>
          <w:szCs w:val="20"/>
          <w:highlight w:val="none"/>
          <w:u w:val="single"/>
          <w14:textFill>
            <w14:solidFill>
              <w14:schemeClr w14:val="tx1"/>
            </w14:solidFill>
          </w14:textFill>
        </w:rPr>
        <w:t>本项目采购材料与工程设备由承包人保管。</w:t>
      </w:r>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63AA4696">
      <w:pPr>
        <w:spacing w:line="360" w:lineRule="auto"/>
        <w:ind w:firstLine="384" w:firstLineChars="192"/>
        <w:rPr>
          <w:rFonts w:hint="eastAsia" w:ascii="仿宋" w:hAnsi="仿宋" w:eastAsia="仿宋" w:cs="仿宋"/>
          <w:color w:val="000000" w:themeColor="text1"/>
          <w:sz w:val="20"/>
          <w:szCs w:val="20"/>
          <w:highlight w:val="none"/>
          <w:u w:val="single"/>
          <w14:textFill>
            <w14:solidFill>
              <w14:schemeClr w14:val="tx1"/>
            </w14:solidFill>
          </w14:textFill>
        </w:rPr>
      </w:pPr>
      <w:bookmarkStart w:id="216" w:name="_Toc292559373"/>
      <w:bookmarkStart w:id="217" w:name="_Toc292559878"/>
      <w:r>
        <w:rPr>
          <w:rFonts w:hint="eastAsia" w:ascii="仿宋" w:hAnsi="仿宋" w:eastAsia="仿宋" w:cs="仿宋"/>
          <w:color w:val="000000" w:themeColor="text1"/>
          <w:kern w:val="0"/>
          <w:sz w:val="20"/>
          <w:szCs w:val="20"/>
          <w:highlight w:val="none"/>
          <w14:textFill>
            <w14:solidFill>
              <w14:schemeClr w14:val="tx1"/>
            </w14:solidFill>
          </w14:textFill>
        </w:rPr>
        <w:t>8.4.2承包人采购</w:t>
      </w:r>
      <w:r>
        <w:rPr>
          <w:rFonts w:hint="eastAsia" w:ascii="仿宋" w:hAnsi="仿宋" w:eastAsia="仿宋" w:cs="仿宋"/>
          <w:color w:val="000000" w:themeColor="text1"/>
          <w:sz w:val="20"/>
          <w:szCs w:val="20"/>
          <w:highlight w:val="none"/>
          <w14:textFill>
            <w14:solidFill>
              <w14:schemeClr w14:val="tx1"/>
            </w14:solidFill>
          </w14:textFill>
        </w:rPr>
        <w:t>材料与</w:t>
      </w:r>
      <w:r>
        <w:rPr>
          <w:rFonts w:hint="eastAsia" w:ascii="仿宋" w:hAnsi="仿宋" w:eastAsia="仿宋" w:cs="仿宋"/>
          <w:color w:val="000000" w:themeColor="text1"/>
          <w:kern w:val="0"/>
          <w:sz w:val="20"/>
          <w:szCs w:val="20"/>
          <w:highlight w:val="none"/>
          <w14:textFill>
            <w14:solidFill>
              <w14:schemeClr w14:val="tx1"/>
            </w14:solidFill>
          </w14:textFill>
        </w:rPr>
        <w:t>工程</w:t>
      </w:r>
      <w:r>
        <w:rPr>
          <w:rFonts w:hint="eastAsia" w:ascii="仿宋" w:hAnsi="仿宋" w:eastAsia="仿宋" w:cs="仿宋"/>
          <w:color w:val="000000" w:themeColor="text1"/>
          <w:sz w:val="20"/>
          <w:szCs w:val="20"/>
          <w:highlight w:val="none"/>
          <w14:textFill>
            <w14:solidFill>
              <w14:schemeClr w14:val="tx1"/>
            </w14:solidFill>
          </w14:textFill>
        </w:rPr>
        <w:t>设备的保管与使用：</w:t>
      </w:r>
      <w:bookmarkEnd w:id="216"/>
      <w:bookmarkEnd w:id="217"/>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6DA33081">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218" w:name="_Toc296503173"/>
      <w:bookmarkStart w:id="219" w:name="_Toc296347172"/>
      <w:bookmarkStart w:id="220" w:name="_Toc297048359"/>
      <w:bookmarkStart w:id="221" w:name="_Toc296891213"/>
      <w:bookmarkStart w:id="222" w:name="_Toc296346674"/>
      <w:bookmarkStart w:id="223" w:name="_Toc297120473"/>
      <w:bookmarkStart w:id="224" w:name="_Toc292559378"/>
      <w:bookmarkStart w:id="225" w:name="_Toc296891001"/>
      <w:bookmarkStart w:id="226" w:name="_Toc267251427"/>
      <w:bookmarkStart w:id="227" w:name="_Toc296944512"/>
      <w:bookmarkStart w:id="228" w:name="_Toc292559883"/>
      <w:bookmarkStart w:id="229" w:name="_Toc267251428"/>
      <w:bookmarkStart w:id="230" w:name="_Toc12765"/>
      <w:bookmarkStart w:id="231" w:name="_Toc351203642"/>
      <w:bookmarkStart w:id="232" w:name="_Toc30001"/>
      <w:r>
        <w:rPr>
          <w:rFonts w:hint="eastAsia" w:ascii="仿宋" w:hAnsi="仿宋" w:eastAsia="仿宋" w:cs="仿宋"/>
          <w:b/>
          <w:color w:val="000000" w:themeColor="text1"/>
          <w:sz w:val="20"/>
          <w:szCs w:val="20"/>
          <w:highlight w:val="none"/>
          <w14:textFill>
            <w14:solidFill>
              <w14:schemeClr w14:val="tx1"/>
            </w14:solidFill>
          </w14:textFill>
        </w:rPr>
        <w:t>1</w:t>
      </w:r>
      <w:bookmarkEnd w:id="218"/>
      <w:bookmarkEnd w:id="219"/>
      <w:bookmarkEnd w:id="220"/>
      <w:bookmarkEnd w:id="221"/>
      <w:bookmarkEnd w:id="222"/>
      <w:bookmarkEnd w:id="223"/>
      <w:bookmarkEnd w:id="224"/>
      <w:bookmarkEnd w:id="225"/>
      <w:bookmarkEnd w:id="226"/>
      <w:bookmarkEnd w:id="227"/>
      <w:bookmarkEnd w:id="228"/>
      <w:bookmarkEnd w:id="229"/>
      <w:bookmarkStart w:id="233" w:name="_Toc296891021"/>
      <w:bookmarkStart w:id="234" w:name="_Toc297216199"/>
      <w:bookmarkStart w:id="235" w:name="_Toc292559903"/>
      <w:bookmarkStart w:id="236" w:name="_Toc304295566"/>
      <w:bookmarkStart w:id="237" w:name="_Toc296503193"/>
      <w:bookmarkStart w:id="238" w:name="_Toc297048379"/>
      <w:bookmarkStart w:id="239" w:name="_Toc296346694"/>
      <w:bookmarkStart w:id="240" w:name="_Toc300934989"/>
      <w:bookmarkStart w:id="241" w:name="_Toc296944532"/>
      <w:bookmarkStart w:id="242" w:name="_Toc297123540"/>
      <w:bookmarkStart w:id="243" w:name="_Toc297120493"/>
      <w:bookmarkStart w:id="244" w:name="_Toc296347192"/>
      <w:bookmarkStart w:id="245" w:name="_Toc292559398"/>
      <w:bookmarkStart w:id="246" w:name="_Toc303539146"/>
      <w:bookmarkStart w:id="247" w:name="_Toc296891233"/>
      <w:bookmarkStart w:id="248" w:name="_Toc312678025"/>
      <w:bookmarkStart w:id="249" w:name="_Toc312677499"/>
      <w:bookmarkStart w:id="250" w:name="_Toc267251440"/>
      <w:bookmarkStart w:id="251" w:name="_Toc267251437"/>
      <w:bookmarkStart w:id="252" w:name="_Toc267251441"/>
      <w:bookmarkStart w:id="253" w:name="_Toc267251435"/>
      <w:bookmarkStart w:id="254" w:name="_Toc267251433"/>
      <w:bookmarkStart w:id="255" w:name="_Toc267251439"/>
      <w:r>
        <w:rPr>
          <w:rFonts w:hint="eastAsia" w:ascii="仿宋" w:hAnsi="仿宋" w:eastAsia="仿宋" w:cs="仿宋"/>
          <w:b/>
          <w:color w:val="000000" w:themeColor="text1"/>
          <w:sz w:val="20"/>
          <w:szCs w:val="20"/>
          <w:highlight w:val="none"/>
          <w14:textFill>
            <w14:solidFill>
              <w14:schemeClr w14:val="tx1"/>
            </w14:solidFill>
          </w14:textFill>
        </w:rPr>
        <w:t>0.变更</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bookmarkEnd w:id="249"/>
    <w:p w14:paraId="704AA236">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bookmarkStart w:id="256" w:name="_Toc296347193"/>
      <w:bookmarkStart w:id="257" w:name="_Toc292559904"/>
      <w:bookmarkStart w:id="258" w:name="_Toc296503194"/>
      <w:bookmarkStart w:id="259" w:name="_Toc304295567"/>
      <w:bookmarkStart w:id="260" w:name="_Toc297216200"/>
      <w:bookmarkStart w:id="261" w:name="_Toc297123541"/>
      <w:bookmarkStart w:id="262" w:name="_Toc312677500"/>
      <w:bookmarkStart w:id="263" w:name="_Toc296891022"/>
      <w:bookmarkStart w:id="264" w:name="_Toc303539147"/>
      <w:bookmarkStart w:id="265" w:name="_Toc312678026"/>
      <w:bookmarkStart w:id="266" w:name="_Toc300934990"/>
      <w:bookmarkStart w:id="267" w:name="_Toc297048380"/>
      <w:bookmarkStart w:id="268" w:name="_Toc296891234"/>
      <w:bookmarkStart w:id="269" w:name="_Toc296944533"/>
      <w:bookmarkStart w:id="270" w:name="_Toc292559399"/>
      <w:bookmarkStart w:id="271" w:name="_Toc297120494"/>
      <w:bookmarkStart w:id="272" w:name="_Toc296346695"/>
      <w:r>
        <w:rPr>
          <w:rFonts w:hint="eastAsia" w:ascii="仿宋" w:hAnsi="仿宋" w:eastAsia="仿宋" w:cs="仿宋"/>
          <w:color w:val="000000" w:themeColor="text1"/>
          <w:sz w:val="20"/>
          <w:szCs w:val="20"/>
          <w:highlight w:val="none"/>
          <w14:textFill>
            <w14:solidFill>
              <w14:schemeClr w14:val="tx1"/>
            </w14:solidFill>
          </w14:textFill>
        </w:rPr>
        <w:t>10.1变更的范围</w:t>
      </w:r>
    </w:p>
    <w:p w14:paraId="202A57D0">
      <w:pPr>
        <w:spacing w:line="360" w:lineRule="auto"/>
        <w:ind w:firstLine="6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关于变更的范围的约定</w:t>
      </w:r>
      <w:r>
        <w:rPr>
          <w:rFonts w:hint="eastAsia" w:ascii="仿宋" w:hAnsi="仿宋" w:eastAsia="仿宋" w:cs="仿宋"/>
          <w:color w:val="000000" w:themeColor="text1"/>
          <w:sz w:val="20"/>
          <w:szCs w:val="20"/>
          <w:highlight w:val="none"/>
          <w:u w:val="single"/>
          <w14:textFill>
            <w14:solidFill>
              <w14:schemeClr w14:val="tx1"/>
            </w14:solidFill>
          </w14:textFill>
        </w:rPr>
        <w:t>：除通用条款外，承包人在施工中提出的合理化建议</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涉及</w:t>
      </w:r>
      <w:r>
        <w:rPr>
          <w:rFonts w:hint="eastAsia" w:ascii="仿宋" w:hAnsi="仿宋" w:eastAsia="仿宋" w:cs="仿宋"/>
          <w:color w:val="000000" w:themeColor="text1"/>
          <w:sz w:val="20"/>
          <w:szCs w:val="20"/>
          <w:highlight w:val="none"/>
          <w:u w:val="single"/>
          <w14:textFill>
            <w14:solidFill>
              <w14:schemeClr w14:val="tx1"/>
            </w14:solidFill>
          </w14:textFill>
        </w:rPr>
        <w:t>对设计图纸或施工组织设计的更改及对材料、设备的换用，须经报发包人批准后以设计变更单的形式通知承包人实施，否则不作为工程设计变更对待。</w:t>
      </w:r>
    </w:p>
    <w:p w14:paraId="078356B9">
      <w:pPr>
        <w:spacing w:line="360" w:lineRule="auto"/>
        <w:ind w:firstLine="6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任何变更的提出都应当依据合同或国家有关规范和标准提出。任何变更都必须取得发包人的确认。</w:t>
      </w:r>
    </w:p>
    <w:p w14:paraId="74EB768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10.4变更估价</w:t>
      </w:r>
    </w:p>
    <w:p w14:paraId="394FE26A">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10.4.1变更估价原则</w:t>
      </w:r>
    </w:p>
    <w:p w14:paraId="49F098CD">
      <w:pPr>
        <w:widowControl/>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关于变更估价的约定：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7E52445">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Start w:id="273" w:name="_Toc296346698"/>
      <w:bookmarkStart w:id="274" w:name="_Toc296503197"/>
      <w:bookmarkStart w:id="275" w:name="_Toc292559907"/>
      <w:bookmarkStart w:id="276" w:name="_Toc292559402"/>
      <w:bookmarkStart w:id="277" w:name="_Toc296944536"/>
      <w:bookmarkStart w:id="278" w:name="_Toc303539150"/>
      <w:bookmarkStart w:id="279" w:name="_Toc296891025"/>
      <w:bookmarkStart w:id="280" w:name="_Toc297120497"/>
      <w:bookmarkStart w:id="281" w:name="_Toc297048383"/>
      <w:bookmarkStart w:id="282" w:name="_Toc297123544"/>
      <w:bookmarkStart w:id="283" w:name="_Toc300934993"/>
      <w:bookmarkStart w:id="284" w:name="_Toc296347196"/>
      <w:bookmarkStart w:id="285" w:name="_Toc297216203"/>
      <w:bookmarkStart w:id="286" w:name="_Toc296891237"/>
      <w:bookmarkStart w:id="287" w:name="_Toc312677503"/>
      <w:bookmarkStart w:id="288" w:name="_Toc304295570"/>
      <w:bookmarkStart w:id="289" w:name="_Toc312678029"/>
      <w:r>
        <w:rPr>
          <w:rFonts w:hint="eastAsia" w:ascii="仿宋" w:hAnsi="仿宋" w:eastAsia="仿宋" w:cs="仿宋"/>
          <w:color w:val="000000" w:themeColor="text1"/>
          <w:sz w:val="20"/>
          <w:szCs w:val="20"/>
          <w:highlight w:val="none"/>
          <w14:textFill>
            <w14:solidFill>
              <w14:schemeClr w14:val="tx1"/>
            </w14:solidFill>
          </w14:textFill>
        </w:rPr>
        <w:t>0.5承</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Start w:id="290" w:name="_Toc297123545"/>
      <w:bookmarkStart w:id="291" w:name="_Toc292559408"/>
      <w:bookmarkStart w:id="292" w:name="_Toc296891243"/>
      <w:bookmarkStart w:id="293" w:name="_Toc292559913"/>
      <w:bookmarkStart w:id="294" w:name="_Toc297216204"/>
      <w:bookmarkStart w:id="295" w:name="_Toc300934994"/>
      <w:bookmarkStart w:id="296" w:name="_Toc296346704"/>
      <w:bookmarkStart w:id="297" w:name="_Toc296891031"/>
      <w:bookmarkStart w:id="298" w:name="_Toc297120503"/>
      <w:bookmarkStart w:id="299" w:name="_Toc296347202"/>
      <w:bookmarkStart w:id="300" w:name="_Toc296503203"/>
      <w:bookmarkStart w:id="301" w:name="_Toc303539151"/>
      <w:bookmarkStart w:id="302" w:name="_Toc297048389"/>
      <w:bookmarkStart w:id="303" w:name="_Toc296944542"/>
      <w:r>
        <w:rPr>
          <w:rFonts w:hint="eastAsia" w:ascii="仿宋" w:hAnsi="仿宋" w:eastAsia="仿宋" w:cs="仿宋"/>
          <w:color w:val="000000" w:themeColor="text1"/>
          <w:sz w:val="20"/>
          <w:szCs w:val="20"/>
          <w:highlight w:val="none"/>
          <w14:textFill>
            <w14:solidFill>
              <w14:schemeClr w14:val="tx1"/>
            </w14:solidFill>
          </w14:textFill>
        </w:rPr>
        <w:t>包人的合理化建议</w:t>
      </w:r>
    </w:p>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14:paraId="78E6411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发包人审批承包人合理化建议的期限：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7</w:t>
      </w:r>
      <w:r>
        <w:rPr>
          <w:rFonts w:hint="eastAsia" w:ascii="仿宋" w:hAnsi="仿宋" w:eastAsia="仿宋" w:cs="仿宋"/>
          <w:color w:val="000000" w:themeColor="text1"/>
          <w:sz w:val="20"/>
          <w:szCs w:val="20"/>
          <w:highlight w:val="none"/>
          <w:u w:val="single"/>
          <w14:textFill>
            <w14:solidFill>
              <w14:schemeClr w14:val="tx1"/>
            </w14:solidFill>
          </w14:textFill>
        </w:rPr>
        <w:t>天内审核完毕</w:t>
      </w:r>
      <w:r>
        <w:rPr>
          <w:rFonts w:hint="eastAsia" w:ascii="仿宋" w:hAnsi="仿宋" w:eastAsia="仿宋" w:cs="仿宋"/>
          <w:color w:val="000000" w:themeColor="text1"/>
          <w:sz w:val="20"/>
          <w:szCs w:val="20"/>
          <w:highlight w:val="none"/>
          <w14:textFill>
            <w14:solidFill>
              <w14:schemeClr w14:val="tx1"/>
            </w14:solidFill>
          </w14:textFill>
        </w:rPr>
        <w:t>。</w:t>
      </w:r>
    </w:p>
    <w:p w14:paraId="1EB94EEC">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w:t>
      </w:r>
      <w:bookmarkStart w:id="304" w:name="_Toc297048390"/>
      <w:bookmarkStart w:id="305" w:name="_Toc292559409"/>
      <w:bookmarkStart w:id="306" w:name="_Toc297216205"/>
      <w:bookmarkStart w:id="307" w:name="_Toc296891244"/>
      <w:bookmarkStart w:id="308" w:name="_Toc312678030"/>
      <w:bookmarkStart w:id="309" w:name="_Toc297120504"/>
      <w:bookmarkStart w:id="310" w:name="_Toc296944543"/>
      <w:bookmarkStart w:id="311" w:name="_Toc296346705"/>
      <w:bookmarkStart w:id="312" w:name="_Toc296891032"/>
      <w:bookmarkStart w:id="313" w:name="_Toc303539152"/>
      <w:bookmarkStart w:id="314" w:name="_Toc318581175"/>
      <w:bookmarkStart w:id="315" w:name="_Toc312677504"/>
      <w:bookmarkStart w:id="316" w:name="_Toc304295571"/>
      <w:bookmarkStart w:id="317" w:name="_Toc296347203"/>
      <w:bookmarkStart w:id="318" w:name="_Toc296503204"/>
      <w:bookmarkStart w:id="319" w:name="_Toc292559914"/>
      <w:bookmarkStart w:id="320" w:name="_Toc300934995"/>
      <w:bookmarkStart w:id="321" w:name="_Toc297123546"/>
      <w:r>
        <w:rPr>
          <w:rFonts w:hint="eastAsia" w:ascii="仿宋" w:hAnsi="仿宋" w:eastAsia="仿宋" w:cs="仿宋"/>
          <w:color w:val="000000" w:themeColor="text1"/>
          <w:sz w:val="20"/>
          <w:szCs w:val="20"/>
          <w:highlight w:val="none"/>
          <w14:textFill>
            <w14:solidFill>
              <w14:schemeClr w14:val="tx1"/>
            </w14:solidFill>
          </w14:textFill>
        </w:rPr>
        <w:t>包人提出的合理化建议降低了合同价格或者提高了工程经济效益的奖励的方法和金额为：</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14:paraId="33590169">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322" w:name="_Toc21393"/>
      <w:bookmarkStart w:id="323" w:name="_Toc351203643"/>
      <w:bookmarkStart w:id="324" w:name="_Toc7"/>
      <w:r>
        <w:rPr>
          <w:rFonts w:hint="eastAsia" w:ascii="仿宋" w:hAnsi="仿宋" w:eastAsia="仿宋" w:cs="仿宋"/>
          <w:b/>
          <w:color w:val="000000" w:themeColor="text1"/>
          <w:sz w:val="20"/>
          <w:szCs w:val="20"/>
          <w:highlight w:val="none"/>
          <w14:textFill>
            <w14:solidFill>
              <w14:schemeClr w14:val="tx1"/>
            </w14:solidFill>
          </w14:textFill>
        </w:rPr>
        <w:t>11.价格调整</w:t>
      </w:r>
      <w:bookmarkEnd w:id="322"/>
      <w:bookmarkEnd w:id="323"/>
      <w:bookmarkEnd w:id="324"/>
    </w:p>
    <w:bookmarkEnd w:id="250"/>
    <w:bookmarkEnd w:id="251"/>
    <w:bookmarkEnd w:id="252"/>
    <w:bookmarkEnd w:id="253"/>
    <w:bookmarkEnd w:id="254"/>
    <w:bookmarkEnd w:id="255"/>
    <w:p w14:paraId="69DCC3AC">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bookmarkStart w:id="325" w:name="_Toc297048387"/>
      <w:bookmarkStart w:id="326" w:name="_Toc296891029"/>
      <w:bookmarkStart w:id="327" w:name="_Toc296503201"/>
      <w:bookmarkStart w:id="328" w:name="_Toc297216209"/>
      <w:bookmarkStart w:id="329" w:name="_Toc296944540"/>
      <w:bookmarkStart w:id="330" w:name="_Toc292559911"/>
      <w:bookmarkStart w:id="331" w:name="_Toc303539157"/>
      <w:bookmarkStart w:id="332" w:name="_Toc292559406"/>
      <w:bookmarkStart w:id="333" w:name="_Toc297123550"/>
      <w:bookmarkStart w:id="334" w:name="_Toc304295577"/>
      <w:bookmarkStart w:id="335" w:name="_Toc296347200"/>
      <w:bookmarkStart w:id="336" w:name="_Toc312678039"/>
      <w:bookmarkStart w:id="337" w:name="_Toc297120501"/>
      <w:bookmarkStart w:id="338" w:name="_Toc296891241"/>
      <w:bookmarkStart w:id="339" w:name="_Toc300935000"/>
      <w:bookmarkStart w:id="340" w:name="_Toc296346702"/>
      <w:r>
        <w:rPr>
          <w:rFonts w:hint="eastAsia" w:ascii="仿宋" w:hAnsi="仿宋" w:eastAsia="仿宋" w:cs="仿宋"/>
          <w:color w:val="000000" w:themeColor="text1"/>
          <w:sz w:val="20"/>
          <w:szCs w:val="20"/>
          <w:highlight w:val="none"/>
          <w14:textFill>
            <w14:solidFill>
              <w14:schemeClr w14:val="tx1"/>
            </w14:solidFill>
          </w14:textFill>
        </w:rPr>
        <w:t>11.1市场价格波动引起的调整</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555848D4">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市场价格波动是否调整合同价格的约定：</w:t>
      </w:r>
      <w:r>
        <w:rPr>
          <w:rFonts w:hint="eastAsia" w:ascii="仿宋" w:hAnsi="仿宋" w:eastAsia="仿宋" w:cs="仿宋"/>
          <w:color w:val="000000" w:themeColor="text1"/>
          <w:sz w:val="20"/>
          <w:szCs w:val="20"/>
          <w:highlight w:val="none"/>
          <w:u w:val="single"/>
          <w14:textFill>
            <w14:solidFill>
              <w14:schemeClr w14:val="tx1"/>
            </w14:solidFill>
          </w14:textFill>
        </w:rPr>
        <w:t>不调整</w:t>
      </w:r>
      <w:r>
        <w:rPr>
          <w:rFonts w:hint="eastAsia" w:ascii="仿宋" w:hAnsi="仿宋" w:eastAsia="仿宋" w:cs="仿宋"/>
          <w:color w:val="000000" w:themeColor="text1"/>
          <w:sz w:val="20"/>
          <w:szCs w:val="20"/>
          <w:highlight w:val="none"/>
          <w14:textFill>
            <w14:solidFill>
              <w14:schemeClr w14:val="tx1"/>
            </w14:solidFill>
          </w14:textFill>
        </w:rPr>
        <w:t>。</w:t>
      </w:r>
    </w:p>
    <w:p w14:paraId="35AD48CE">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341" w:name="_Toc21929"/>
      <w:bookmarkStart w:id="342" w:name="_Toc6148"/>
      <w:r>
        <w:rPr>
          <w:rFonts w:hint="eastAsia" w:ascii="仿宋" w:hAnsi="仿宋" w:eastAsia="仿宋" w:cs="仿宋"/>
          <w:b/>
          <w:color w:val="000000" w:themeColor="text1"/>
          <w:sz w:val="20"/>
          <w:szCs w:val="20"/>
          <w:highlight w:val="none"/>
          <w14:textFill>
            <w14:solidFill>
              <w14:schemeClr w14:val="tx1"/>
            </w14:solidFill>
          </w14:textFill>
        </w:rPr>
        <w:t>12.合同价格、计量与支付</w:t>
      </w:r>
      <w:bookmarkEnd w:id="341"/>
      <w:bookmarkEnd w:id="342"/>
    </w:p>
    <w:p w14:paraId="74E40E4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343" w:name="_Toc267251461"/>
      <w:bookmarkStart w:id="344" w:name="_Toc292559916"/>
      <w:bookmarkStart w:id="345" w:name="_Toc292559411"/>
      <w:bookmarkStart w:id="346" w:name="_Toc296891246"/>
      <w:bookmarkStart w:id="347" w:name="_Toc296944545"/>
      <w:bookmarkStart w:id="348" w:name="_Toc296346707"/>
      <w:bookmarkStart w:id="349" w:name="_Toc296503206"/>
      <w:bookmarkStart w:id="350" w:name="_Toc296891034"/>
      <w:bookmarkStart w:id="351" w:name="_Toc297048392"/>
      <w:bookmarkStart w:id="352" w:name="_Toc297120506"/>
      <w:bookmarkStart w:id="353" w:name="_Toc296347205"/>
      <w:r>
        <w:rPr>
          <w:rFonts w:hint="eastAsia" w:ascii="仿宋" w:hAnsi="仿宋" w:eastAsia="仿宋" w:cs="仿宋"/>
          <w:color w:val="000000" w:themeColor="text1"/>
          <w:sz w:val="20"/>
          <w:szCs w:val="20"/>
          <w:highlight w:val="none"/>
          <w14:textFill>
            <w14:solidFill>
              <w14:schemeClr w14:val="tx1"/>
            </w14:solidFill>
          </w14:textFill>
        </w:rPr>
        <w:t>12.1合</w:t>
      </w:r>
      <w:bookmarkEnd w:id="343"/>
      <w:bookmarkEnd w:id="344"/>
      <w:bookmarkEnd w:id="345"/>
      <w:r>
        <w:rPr>
          <w:rFonts w:hint="eastAsia" w:ascii="仿宋" w:hAnsi="仿宋" w:eastAsia="仿宋" w:cs="仿宋"/>
          <w:color w:val="000000" w:themeColor="text1"/>
          <w:sz w:val="20"/>
          <w:szCs w:val="20"/>
          <w:highlight w:val="none"/>
          <w14:textFill>
            <w14:solidFill>
              <w14:schemeClr w14:val="tx1"/>
            </w14:solidFill>
          </w14:textFill>
        </w:rPr>
        <w:t>同价</w:t>
      </w:r>
      <w:bookmarkEnd w:id="346"/>
      <w:bookmarkEnd w:id="347"/>
      <w:bookmarkEnd w:id="348"/>
      <w:bookmarkEnd w:id="349"/>
      <w:bookmarkEnd w:id="350"/>
      <w:bookmarkEnd w:id="351"/>
      <w:bookmarkEnd w:id="352"/>
      <w:bookmarkEnd w:id="353"/>
      <w:r>
        <w:rPr>
          <w:rFonts w:hint="eastAsia" w:ascii="仿宋" w:hAnsi="仿宋" w:eastAsia="仿宋" w:cs="仿宋"/>
          <w:color w:val="000000" w:themeColor="text1"/>
          <w:sz w:val="20"/>
          <w:szCs w:val="20"/>
          <w:highlight w:val="none"/>
          <w14:textFill>
            <w14:solidFill>
              <w14:schemeClr w14:val="tx1"/>
            </w14:solidFill>
          </w14:textFill>
        </w:rPr>
        <w:t>格形式</w:t>
      </w:r>
    </w:p>
    <w:p w14:paraId="692B458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354" w:name="_Toc292559917"/>
      <w:bookmarkStart w:id="355" w:name="_Toc297120507"/>
      <w:bookmarkStart w:id="356" w:name="_Toc296346708"/>
      <w:bookmarkStart w:id="357" w:name="_Toc292559412"/>
      <w:bookmarkStart w:id="358" w:name="_Toc297048393"/>
      <w:bookmarkStart w:id="359" w:name="_Toc296503207"/>
      <w:bookmarkStart w:id="360" w:name="_Toc296347206"/>
      <w:bookmarkStart w:id="361" w:name="_Toc296891035"/>
      <w:bookmarkStart w:id="362" w:name="_Toc296944546"/>
      <w:bookmarkStart w:id="363" w:name="_Toc296891247"/>
      <w:r>
        <w:rPr>
          <w:rFonts w:hint="eastAsia" w:ascii="仿宋" w:hAnsi="仿宋" w:eastAsia="仿宋" w:cs="仿宋"/>
          <w:color w:val="000000" w:themeColor="text1"/>
          <w:sz w:val="20"/>
          <w:szCs w:val="20"/>
          <w:highlight w:val="none"/>
          <w14:textFill>
            <w14:solidFill>
              <w14:schemeClr w14:val="tx1"/>
            </w14:solidFill>
          </w14:textFill>
        </w:rPr>
        <w:t>12.1.1</w:t>
      </w:r>
      <w:r>
        <w:rPr>
          <w:rFonts w:hint="eastAsia" w:ascii="仿宋" w:hAnsi="仿宋" w:eastAsia="仿宋" w:cs="仿宋"/>
          <w:color w:val="000000" w:themeColor="text1"/>
          <w:sz w:val="20"/>
          <w:szCs w:val="20"/>
          <w:highlight w:val="none"/>
          <w:lang w:val="en-US" w:eastAsia="zh-CN"/>
          <w14:textFill>
            <w14:solidFill>
              <w14:schemeClr w14:val="tx1"/>
            </w14:solidFill>
          </w14:textFill>
        </w:rPr>
        <w:t>总价</w:t>
      </w:r>
      <w:r>
        <w:rPr>
          <w:rFonts w:hint="eastAsia" w:ascii="仿宋" w:hAnsi="仿宋" w:eastAsia="仿宋" w:cs="仿宋"/>
          <w:color w:val="000000" w:themeColor="text1"/>
          <w:sz w:val="20"/>
          <w:szCs w:val="20"/>
          <w:highlight w:val="none"/>
          <w14:textFill>
            <w14:solidFill>
              <w14:schemeClr w14:val="tx1"/>
            </w14:solidFill>
          </w14:textFill>
        </w:rPr>
        <w:t>合同。</w:t>
      </w:r>
    </w:p>
    <w:p w14:paraId="1A5524BD">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价款</w:t>
      </w:r>
      <w:r>
        <w:rPr>
          <w:rFonts w:hint="eastAsia" w:ascii="仿宋" w:hAnsi="仿宋" w:eastAsia="仿宋" w:cs="仿宋"/>
          <w:color w:val="000000" w:themeColor="text1"/>
          <w:sz w:val="20"/>
          <w:szCs w:val="20"/>
          <w:highlight w:val="none"/>
          <w14:textFill>
            <w14:solidFill>
              <w14:schemeClr w14:val="tx1"/>
            </w14:solidFill>
          </w14:textFill>
        </w:rPr>
        <w:t>包含范围：</w:t>
      </w:r>
      <w:r>
        <w:rPr>
          <w:rFonts w:hint="eastAsia" w:ascii="仿宋" w:hAnsi="仿宋" w:eastAsia="仿宋" w:cs="仿宋"/>
          <w:color w:val="000000" w:themeColor="text1"/>
          <w:sz w:val="20"/>
          <w:szCs w:val="20"/>
          <w:highlight w:val="none"/>
          <w:u w:val="single"/>
          <w14:textFill>
            <w14:solidFill>
              <w14:schemeClr w14:val="tx1"/>
            </w14:solidFill>
          </w14:textFill>
        </w:rPr>
        <w:t>结算工程量高于工程量清单的总价包干，</w:t>
      </w:r>
      <w:bookmarkStart w:id="495" w:name="_GoBack"/>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包含但不限于施工机械使用费、人工费、材料与设备费、其他（运杂费、质检费、安装费、缺陷修复费、质保期内设备维护费、保险费，以及合同明示或暗示的风险、责任和义务等）以及管理费、税金、利润、采购代理服务费等所有费用</w:t>
      </w:r>
      <w:r>
        <w:rPr>
          <w:rFonts w:hint="eastAsia" w:ascii="仿宋" w:hAnsi="仿宋" w:eastAsia="仿宋" w:cs="仿宋"/>
          <w:color w:val="000000" w:themeColor="text1"/>
          <w:sz w:val="20"/>
          <w:szCs w:val="20"/>
          <w:highlight w:val="none"/>
          <w:u w:val="single"/>
          <w14:textFill>
            <w14:solidFill>
              <w14:schemeClr w14:val="tx1"/>
            </w14:solidFill>
          </w14:textFill>
        </w:rPr>
        <w:t>，并符合建设工程计价规则</w:t>
      </w:r>
      <w:r>
        <w:rPr>
          <w:rFonts w:hint="eastAsia" w:ascii="仿宋" w:hAnsi="仿宋" w:eastAsia="仿宋" w:cs="仿宋"/>
          <w:color w:val="000000" w:themeColor="text1"/>
          <w:sz w:val="20"/>
          <w:szCs w:val="20"/>
          <w:highlight w:val="none"/>
          <w:u w:val="none"/>
          <w14:textFill>
            <w14:solidFill>
              <w14:schemeClr w14:val="tx1"/>
            </w14:solidFill>
          </w14:textFill>
        </w:rPr>
        <w:t>。</w:t>
      </w:r>
    </w:p>
    <w:bookmarkEnd w:id="495"/>
    <w:p w14:paraId="4B4CCEC5">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风险费用的计算方法：</w:t>
      </w:r>
      <w:r>
        <w:rPr>
          <w:rFonts w:hint="eastAsia" w:ascii="仿宋" w:hAnsi="仿宋" w:eastAsia="仿宋" w:cs="仿宋"/>
          <w:color w:val="000000" w:themeColor="text1"/>
          <w:sz w:val="20"/>
          <w:szCs w:val="20"/>
          <w:highlight w:val="none"/>
          <w:u w:val="single"/>
          <w14:textFill>
            <w14:solidFill>
              <w14:schemeClr w14:val="tx1"/>
            </w14:solidFill>
          </w14:textFill>
        </w:rPr>
        <w:t>应由承包人承担的风险费用已由承包人根据自身经验</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做</w:t>
      </w:r>
      <w:r>
        <w:rPr>
          <w:rFonts w:hint="eastAsia" w:ascii="仿宋" w:hAnsi="仿宋" w:eastAsia="仿宋" w:cs="仿宋"/>
          <w:color w:val="000000" w:themeColor="text1"/>
          <w:sz w:val="20"/>
          <w:szCs w:val="20"/>
          <w:highlight w:val="none"/>
          <w:u w:val="single"/>
          <w14:textFill>
            <w14:solidFill>
              <w14:schemeClr w14:val="tx1"/>
            </w14:solidFill>
          </w14:textFill>
        </w:rPr>
        <w:t>了充分估计并已计入合同协议确定的合同价款中</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5580EF1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风险范围以外合同价格的调整方法：</w:t>
      </w:r>
      <w:r>
        <w:rPr>
          <w:rFonts w:hint="eastAsia" w:ascii="仿宋" w:hAnsi="仿宋" w:eastAsia="仿宋" w:cs="仿宋"/>
          <w:color w:val="000000" w:themeColor="text1"/>
          <w:sz w:val="20"/>
          <w:szCs w:val="20"/>
          <w:highlight w:val="none"/>
          <w:u w:val="single"/>
          <w14:textFill>
            <w14:solidFill>
              <w14:schemeClr w14:val="tx1"/>
            </w14:solidFill>
          </w14:textFill>
        </w:rPr>
        <w:t>结算工程量高于工程量清单的不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作调整</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7F743E7A">
      <w:pPr>
        <w:spacing w:line="360" w:lineRule="auto"/>
        <w:ind w:firstLine="384" w:firstLineChars="192"/>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12.1.2合同价款调整：</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低于工程量清单的按实结算</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结算根据成交供应商最后响应总报价，结合首次报价提供的已标价工程量清单，综合单价按降价比例（最后一次总报价/首次总报价）进行调整，降价比例公式中的总报价不包含暂估价、暂列金额、安全文明施工费、税金等不可竞争费用，调整后综合单价在合同执行过程中，除合同约定的价格调整范围外，其余情形均是固定不变的，不得以任何理由予以变更）</w:t>
      </w:r>
      <w:r>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t>。</w:t>
      </w:r>
    </w:p>
    <w:p w14:paraId="1525807D">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12.2预付款</w:t>
      </w:r>
    </w:p>
    <w:bookmarkEnd w:id="354"/>
    <w:bookmarkEnd w:id="355"/>
    <w:bookmarkEnd w:id="356"/>
    <w:bookmarkEnd w:id="357"/>
    <w:bookmarkEnd w:id="358"/>
    <w:bookmarkEnd w:id="359"/>
    <w:bookmarkEnd w:id="360"/>
    <w:bookmarkEnd w:id="361"/>
    <w:bookmarkEnd w:id="362"/>
    <w:bookmarkEnd w:id="363"/>
    <w:p w14:paraId="37A4899D">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12.2.1预付款的支付</w:t>
      </w:r>
    </w:p>
    <w:p w14:paraId="4582B9A1">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预付款支付比例或金额：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9FF484A">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预付款支付期限：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A56CBA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预付款扣回的方式：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A77EB94">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12.2.2预付款担保</w:t>
      </w:r>
    </w:p>
    <w:p w14:paraId="7CD4D3A8">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承包人提交预付款担保的期限及比例：</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CDBAA2A">
      <w:pPr>
        <w:tabs>
          <w:tab w:val="left" w:pos="3686"/>
        </w:tabs>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担保时效：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6A12A93">
      <w:pPr>
        <w:tabs>
          <w:tab w:val="left" w:pos="3686"/>
        </w:tabs>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预付款担保的形式为：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BE9CB7D">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12.3计量</w:t>
      </w:r>
    </w:p>
    <w:p w14:paraId="7C89639B">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12.3.1计量原则</w:t>
      </w:r>
    </w:p>
    <w:p w14:paraId="5EB0CA3E">
      <w:pPr>
        <w:keepNext w:val="0"/>
        <w:keepLines w:val="0"/>
        <w:pageBreakBefore w:val="0"/>
        <w:kinsoku/>
        <w:wordWrap/>
        <w:overflowPunct/>
        <w:topLinePunct w:val="0"/>
        <w:autoSpaceDE/>
        <w:autoSpaceDN/>
        <w:bidi w:val="0"/>
        <w:adjustRightInd/>
        <w:snapToGrid/>
        <w:spacing w:line="300"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工程量计算规则：</w:t>
      </w:r>
      <w:r>
        <w:rPr>
          <w:rFonts w:hint="eastAsia" w:ascii="仿宋" w:hAnsi="仿宋" w:eastAsia="仿宋" w:cs="仿宋"/>
          <w:color w:val="000000" w:themeColor="text1"/>
          <w:sz w:val="20"/>
          <w:szCs w:val="20"/>
          <w:highlight w:val="none"/>
          <w:u w:val="single"/>
          <w14:textFill>
            <w14:solidFill>
              <w14:schemeClr w14:val="tx1"/>
            </w14:solidFill>
          </w14:textFill>
        </w:rPr>
        <w:t>《陕西省建设工程工程量清单计价计算标准》(2025)、《陕西省建设工程费用规则》(2025)、《陕西省房屋建筑与装饰工程基价表》(2025)、《陕西省通用安装工程基价表》(2025)、《陕西省房屋建筑与装饰工程消耗量定额》(2025)、《陕西省通用安装工程消耗量定额》(2025)、《陕西省市政工程消耗量定额》(2025)、《陕西省绿色建筑工程消耗量定额》(2025)、《陕西省建设工程施工机械台班费用定额》(2025)、《陕西省建设工程施工仪器仪表台班费用定额》(2025)、《陕西省住房和城乡建设厅关于印发2025陕西省建设工程费用规则等计价依据的通知》(陕建管发</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〔2025〕10号</w:t>
      </w:r>
      <w:r>
        <w:rPr>
          <w:rFonts w:hint="eastAsia" w:ascii="仿宋" w:hAnsi="仿宋" w:eastAsia="仿宋" w:cs="仿宋"/>
          <w:color w:val="000000" w:themeColor="text1"/>
          <w:sz w:val="20"/>
          <w:szCs w:val="20"/>
          <w:highlight w:val="none"/>
          <w:u w:val="single"/>
          <w14:textFill>
            <w14:solidFill>
              <w14:schemeClr w14:val="tx1"/>
            </w14:solidFill>
          </w14:textFill>
        </w:rPr>
        <w:t>文件)、其他工程相关资料</w:t>
      </w:r>
      <w:r>
        <w:rPr>
          <w:rFonts w:hint="eastAsia" w:ascii="仿宋" w:hAnsi="仿宋" w:eastAsia="仿宋" w:cs="仿宋"/>
          <w:color w:val="000000" w:themeColor="text1"/>
          <w:sz w:val="20"/>
          <w:szCs w:val="20"/>
          <w:highlight w:val="none"/>
          <w:u w:val="single"/>
          <w14:textFill>
            <w14:solidFill>
              <w14:schemeClr w14:val="tx1"/>
            </w14:solidFill>
          </w14:textFill>
        </w:rPr>
        <w: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912E889">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364" w:name="_Toc351203648"/>
      <w:bookmarkStart w:id="365" w:name="_Toc280868717"/>
      <w:bookmarkStart w:id="366" w:name="_Toc267251502"/>
      <w:bookmarkStart w:id="367" w:name="_Toc267251495"/>
      <w:bookmarkStart w:id="368" w:name="_Toc267251499"/>
      <w:bookmarkStart w:id="369" w:name="_Toc267251501"/>
      <w:bookmarkStart w:id="370" w:name="_Toc267251493"/>
      <w:bookmarkStart w:id="371" w:name="_Toc267251496"/>
      <w:bookmarkStart w:id="372" w:name="_Toc280868718"/>
      <w:bookmarkStart w:id="373" w:name="_Toc267251497"/>
      <w:bookmarkStart w:id="374" w:name="_Toc267251492"/>
      <w:bookmarkStart w:id="375" w:name="_Toc267251494"/>
      <w:bookmarkStart w:id="376" w:name="_Toc267251491"/>
      <w:bookmarkStart w:id="377" w:name="_Toc267251498"/>
      <w:bookmarkStart w:id="378" w:name="_Toc267251503"/>
      <w:bookmarkStart w:id="379" w:name="_Toc267251504"/>
      <w:bookmarkStart w:id="380" w:name="_Toc267251507"/>
      <w:bookmarkStart w:id="381" w:name="_Toc267251506"/>
      <w:bookmarkStart w:id="382" w:name="_Toc267251508"/>
      <w:bookmarkStart w:id="383" w:name="_Toc267251513"/>
      <w:bookmarkStart w:id="384" w:name="_Toc267251515"/>
      <w:bookmarkStart w:id="385" w:name="_Toc267251514"/>
      <w:bookmarkStart w:id="386" w:name="_Toc267251511"/>
      <w:bookmarkStart w:id="387" w:name="_Toc267251510"/>
      <w:bookmarkStart w:id="388" w:name="_Toc267251509"/>
      <w:r>
        <w:rPr>
          <w:rFonts w:hint="eastAsia" w:ascii="仿宋" w:hAnsi="仿宋" w:eastAsia="仿宋" w:cs="仿宋"/>
          <w:color w:val="000000" w:themeColor="text1"/>
          <w:sz w:val="20"/>
          <w:szCs w:val="20"/>
          <w:highlight w:val="none"/>
          <w14:textFill>
            <w14:solidFill>
              <w14:schemeClr w14:val="tx1"/>
            </w14:solidFill>
          </w14:textFill>
        </w:rPr>
        <w:t>12.3.2计量周期</w:t>
      </w:r>
    </w:p>
    <w:p w14:paraId="3DF39DD8">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关于计量周期的约定：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0D8A476A">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12.3.3单价合同的计量</w:t>
      </w:r>
    </w:p>
    <w:p w14:paraId="584FAA0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关于单价合同计量的约定：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32EC4149">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bookmarkStart w:id="389" w:name="_Toc296891251"/>
      <w:bookmarkStart w:id="390" w:name="_Toc297048397"/>
      <w:bookmarkStart w:id="391" w:name="_Toc296944550"/>
      <w:bookmarkStart w:id="392" w:name="_Toc292559416"/>
      <w:bookmarkStart w:id="393" w:name="_Toc297123556"/>
      <w:bookmarkStart w:id="394" w:name="_Toc296346712"/>
      <w:bookmarkStart w:id="395" w:name="_Toc303539163"/>
      <w:bookmarkStart w:id="396" w:name="_Toc296347210"/>
      <w:bookmarkStart w:id="397" w:name="_Toc296891039"/>
      <w:bookmarkStart w:id="398" w:name="_Toc300935006"/>
      <w:bookmarkStart w:id="399" w:name="_Toc292559921"/>
      <w:bookmarkStart w:id="400" w:name="_Toc297120511"/>
      <w:bookmarkStart w:id="401" w:name="_Toc296503211"/>
      <w:bookmarkStart w:id="402" w:name="_Toc297216215"/>
      <w:r>
        <w:rPr>
          <w:rFonts w:hint="eastAsia" w:ascii="仿宋" w:hAnsi="仿宋" w:eastAsia="仿宋" w:cs="仿宋"/>
          <w:color w:val="000000" w:themeColor="text1"/>
          <w:sz w:val="20"/>
          <w:szCs w:val="20"/>
          <w:highlight w:val="none"/>
          <w14:textFill>
            <w14:solidFill>
              <w14:schemeClr w14:val="tx1"/>
            </w14:solidFill>
          </w14:textFill>
        </w:rPr>
        <w:t>12.4工程进度款支付</w:t>
      </w:r>
    </w:p>
    <w:p w14:paraId="30D9326F">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12.4.1付款周期</w:t>
      </w:r>
    </w:p>
    <w:p w14:paraId="196D559C">
      <w:pPr>
        <w:spacing w:line="360" w:lineRule="auto"/>
        <w:ind w:firstLine="400" w:firstLineChars="200"/>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关于付款周期的约定：</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Start w:id="403" w:name="_Toc24653"/>
      <w:bookmarkStart w:id="404" w:name="_Toc24998"/>
      <w:r>
        <w:rPr>
          <w:rFonts w:hint="eastAsia" w:ascii="仿宋" w:hAnsi="仿宋" w:eastAsia="仿宋" w:cs="仿宋"/>
          <w:color w:val="000000" w:themeColor="text1"/>
          <w:sz w:val="20"/>
          <w:szCs w:val="20"/>
          <w:highlight w:val="none"/>
          <w:u w:val="single"/>
          <w14:textFill>
            <w14:solidFill>
              <w14:schemeClr w14:val="tx1"/>
            </w14:solidFill>
          </w14:textFill>
        </w:rPr>
        <w:t>工程竣工验收合格，</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财政审批资金到位后，承包人</w:t>
      </w:r>
      <w:r>
        <w:rPr>
          <w:rFonts w:hint="eastAsia" w:ascii="仿宋" w:hAnsi="仿宋" w:eastAsia="仿宋" w:cs="仿宋"/>
          <w:color w:val="000000" w:themeColor="text1"/>
          <w:sz w:val="20"/>
          <w:szCs w:val="20"/>
          <w:highlight w:val="none"/>
          <w:u w:val="single"/>
          <w14:textFill>
            <w14:solidFill>
              <w14:schemeClr w14:val="tx1"/>
            </w14:solidFill>
          </w14:textFill>
        </w:rPr>
        <w:t>开具符合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要求的全额发票</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收到发票后1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个工作日内</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以银行转账形式</w:t>
      </w:r>
      <w:r>
        <w:rPr>
          <w:rFonts w:hint="eastAsia" w:ascii="仿宋" w:hAnsi="仿宋" w:eastAsia="仿宋" w:cs="仿宋"/>
          <w:color w:val="000000" w:themeColor="text1"/>
          <w:sz w:val="20"/>
          <w:szCs w:val="20"/>
          <w:highlight w:val="none"/>
          <w:u w:val="single"/>
          <w14:textFill>
            <w14:solidFill>
              <w14:schemeClr w14:val="tx1"/>
            </w14:solidFill>
          </w14:textFill>
        </w:rPr>
        <w:t>一次性支付合同总价款</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本合同履行期间，非因发包人故意拖延付款申请流程造成的逾期付款的，承包人对此予以谅解不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予以</w:t>
      </w:r>
      <w:r>
        <w:rPr>
          <w:rFonts w:hint="eastAsia" w:ascii="仿宋" w:hAnsi="仿宋" w:eastAsia="仿宋" w:cs="仿宋"/>
          <w:color w:val="000000" w:themeColor="text1"/>
          <w:sz w:val="20"/>
          <w:szCs w:val="20"/>
          <w:highlight w:val="none"/>
          <w:u w:val="single"/>
          <w14:textFill>
            <w14:solidFill>
              <w14:schemeClr w14:val="tx1"/>
            </w14:solidFill>
          </w14:textFill>
        </w:rPr>
        <w:t>追究发包人的逾期付款责任</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p>
    <w:p w14:paraId="324C5041">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13.验收和工程试车</w:t>
      </w:r>
      <w:bookmarkEnd w:id="403"/>
      <w:bookmarkEnd w:id="404"/>
    </w:p>
    <w:p w14:paraId="4A2828D2">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bookmarkStart w:id="405" w:name="_Toc312678056"/>
      <w:bookmarkStart w:id="406" w:name="_Toc296891263"/>
      <w:bookmarkStart w:id="407" w:name="_Toc303539173"/>
      <w:bookmarkStart w:id="408" w:name="_Toc296944562"/>
      <w:bookmarkStart w:id="409" w:name="_Toc296346724"/>
      <w:bookmarkStart w:id="410" w:name="_Toc296503223"/>
      <w:bookmarkStart w:id="411" w:name="_Toc292559933"/>
      <w:bookmarkStart w:id="412" w:name="_Toc300935016"/>
      <w:bookmarkStart w:id="413" w:name="_Toc297048409"/>
      <w:bookmarkStart w:id="414" w:name="_Toc297123565"/>
      <w:bookmarkStart w:id="415" w:name="_Toc304295596"/>
      <w:bookmarkStart w:id="416" w:name="_Toc297216224"/>
      <w:bookmarkStart w:id="417" w:name="_Toc296891051"/>
      <w:bookmarkStart w:id="418" w:name="_Toc292559428"/>
      <w:bookmarkStart w:id="419" w:name="_Toc297120523"/>
      <w:bookmarkStart w:id="420" w:name="_Toc296347222"/>
      <w:bookmarkStart w:id="421" w:name="_Toc267251471"/>
      <w:bookmarkStart w:id="422" w:name="_Toc267251476"/>
      <w:bookmarkStart w:id="423" w:name="_Toc267251470"/>
      <w:bookmarkStart w:id="424" w:name="_Toc267251475"/>
      <w:bookmarkStart w:id="425" w:name="_Toc267251472"/>
      <w:bookmarkStart w:id="426" w:name="_Toc267251473"/>
      <w:bookmarkStart w:id="427" w:name="_Toc267251474"/>
      <w:r>
        <w:rPr>
          <w:rFonts w:hint="eastAsia" w:ascii="仿宋" w:hAnsi="仿宋" w:eastAsia="仿宋" w:cs="仿宋"/>
          <w:color w:val="000000" w:themeColor="text1"/>
          <w:sz w:val="20"/>
          <w:szCs w:val="20"/>
          <w:highlight w:val="none"/>
          <w14:textFill>
            <w14:solidFill>
              <w14:schemeClr w14:val="tx1"/>
            </w14:solidFill>
          </w14:textFill>
        </w:rPr>
        <w:t>13.2竣工验收</w:t>
      </w: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0B8C8361">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bookmarkStart w:id="428" w:name="_Toc280868704"/>
      <w:bookmarkStart w:id="429" w:name="_Toc280868705"/>
      <w:bookmarkStart w:id="430" w:name="_Toc280868706"/>
      <w:bookmarkStart w:id="431" w:name="_Toc280868707"/>
      <w:bookmarkStart w:id="432" w:name="_Toc280868708"/>
      <w:bookmarkStart w:id="433" w:name="_Toc280868709"/>
      <w:r>
        <w:rPr>
          <w:rFonts w:hint="eastAsia" w:ascii="仿宋" w:hAnsi="仿宋" w:eastAsia="仿宋" w:cs="仿宋"/>
          <w:color w:val="000000" w:themeColor="text1"/>
          <w:sz w:val="20"/>
          <w:szCs w:val="20"/>
          <w:highlight w:val="none"/>
          <w14:textFill>
            <w14:solidFill>
              <w14:schemeClr w14:val="tx1"/>
            </w14:solidFill>
          </w14:textFill>
        </w:rPr>
        <w:t>13.2.2竣工验收程序</w:t>
      </w:r>
    </w:p>
    <w:bookmarkEnd w:id="428"/>
    <w:p w14:paraId="3A9BD9C7">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关于竣工验收程序的约定：</w:t>
      </w:r>
      <w:r>
        <w:rPr>
          <w:rFonts w:hint="eastAsia" w:ascii="仿宋" w:hAnsi="仿宋" w:eastAsia="仿宋" w:cs="仿宋"/>
          <w:color w:val="000000" w:themeColor="text1"/>
          <w:sz w:val="20"/>
          <w:szCs w:val="20"/>
          <w:highlight w:val="none"/>
          <w:u w:val="single"/>
          <w14:textFill>
            <w14:solidFill>
              <w14:schemeClr w14:val="tx1"/>
            </w14:solidFill>
          </w14:textFill>
        </w:rPr>
        <w:t>承包人按国家、陕西省、西安市相关规定，完成验收后，进行工程竣工验收。竣工验收后一个月内，提交竣工图及完整资料。</w:t>
      </w:r>
    </w:p>
    <w:p w14:paraId="070295E9">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发包人不按照本项约定组织竣工验收、颁发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工程验收</w:t>
      </w:r>
      <w:r>
        <w:rPr>
          <w:rFonts w:hint="eastAsia" w:ascii="仿宋" w:hAnsi="仿宋" w:eastAsia="仿宋" w:cs="仿宋"/>
          <w:color w:val="000000" w:themeColor="text1"/>
          <w:kern w:val="0"/>
          <w:sz w:val="20"/>
          <w:szCs w:val="20"/>
          <w:highlight w:val="none"/>
          <w14:textFill>
            <w14:solidFill>
              <w14:schemeClr w14:val="tx1"/>
            </w14:solidFill>
          </w14:textFill>
        </w:rPr>
        <w:t>证书的违约金的计算方法：</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429"/>
    <w:p w14:paraId="0193D098">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13.2.5移交、接收全部与部分工程</w:t>
      </w:r>
    </w:p>
    <w:bookmarkEnd w:id="430"/>
    <w:p w14:paraId="439BCE21">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承包人向发包人移交工程的期限：</w:t>
      </w:r>
      <w:r>
        <w:rPr>
          <w:rFonts w:hint="eastAsia" w:ascii="仿宋" w:hAnsi="仿宋" w:eastAsia="仿宋" w:cs="仿宋"/>
          <w:color w:val="000000" w:themeColor="text1"/>
          <w:kern w:val="0"/>
          <w:sz w:val="20"/>
          <w:szCs w:val="20"/>
          <w:highlight w:val="none"/>
          <w:u w:val="single"/>
          <w14:textFill>
            <w14:solidFill>
              <w14:schemeClr w14:val="tx1"/>
            </w14:solidFill>
          </w14:textFill>
        </w:rPr>
        <w:t>颁发工程接收证书后7天内</w:t>
      </w:r>
      <w:r>
        <w:rPr>
          <w:rFonts w:hint="eastAsia" w:ascii="仿宋" w:hAnsi="仿宋" w:eastAsia="仿宋" w:cs="仿宋"/>
          <w:color w:val="000000" w:themeColor="text1"/>
          <w:sz w:val="20"/>
          <w:szCs w:val="20"/>
          <w:highlight w:val="none"/>
          <w14:textFill>
            <w14:solidFill>
              <w14:schemeClr w14:val="tx1"/>
            </w14:solidFill>
          </w14:textFill>
        </w:rPr>
        <w:t>。</w:t>
      </w:r>
    </w:p>
    <w:p w14:paraId="5FF857C6">
      <w:pPr>
        <w:spacing w:line="360" w:lineRule="auto"/>
        <w:ind w:firstLine="400" w:firstLineChars="200"/>
        <w:jc w:val="left"/>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发包人未按本合同约定接收全部或部分工程的，违约金的计算方法为：</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431"/>
    <w:p w14:paraId="216745E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承包人未按时移交工程的，违约金的计算方法为：</w:t>
      </w:r>
      <w:r>
        <w:rPr>
          <w:rFonts w:hint="eastAsia" w:ascii="仿宋" w:hAnsi="仿宋" w:eastAsia="仿宋" w:cs="仿宋"/>
          <w:color w:val="000000" w:themeColor="text1"/>
          <w:sz w:val="20"/>
          <w:szCs w:val="20"/>
          <w:highlight w:val="none"/>
          <w:u w:val="single"/>
          <w14:textFill>
            <w14:solidFill>
              <w14:schemeClr w14:val="tx1"/>
            </w14:solidFill>
          </w14:textFill>
        </w:rPr>
        <w:t>按专用条款执行</w:t>
      </w:r>
      <w:r>
        <w:rPr>
          <w:rFonts w:hint="eastAsia" w:ascii="仿宋" w:hAnsi="仿宋" w:eastAsia="仿宋" w:cs="仿宋"/>
          <w:color w:val="000000" w:themeColor="text1"/>
          <w:sz w:val="20"/>
          <w:szCs w:val="20"/>
          <w:highlight w:val="none"/>
          <w14:textFill>
            <w14:solidFill>
              <w14:schemeClr w14:val="tx1"/>
            </w14:solidFill>
          </w14:textFill>
        </w:rPr>
        <w:t>。</w:t>
      </w:r>
    </w:p>
    <w:bookmarkEnd w:id="432"/>
    <w:p w14:paraId="4AEEDCE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13.6竣工退场</w:t>
      </w:r>
    </w:p>
    <w:p w14:paraId="787F0195">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13.6.1竣工退场</w:t>
      </w:r>
    </w:p>
    <w:p w14:paraId="481DDC81">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承包人完成竣工退场的期限：</w:t>
      </w:r>
      <w:r>
        <w:rPr>
          <w:rFonts w:hint="eastAsia" w:ascii="仿宋" w:hAnsi="仿宋" w:eastAsia="仿宋" w:cs="仿宋"/>
          <w:color w:val="000000" w:themeColor="text1"/>
          <w:sz w:val="20"/>
          <w:szCs w:val="20"/>
          <w:highlight w:val="none"/>
          <w:u w:val="single"/>
          <w14:textFill>
            <w14:solidFill>
              <w14:schemeClr w14:val="tx1"/>
            </w14:solidFill>
          </w14:textFill>
        </w:rPr>
        <w:t>工程竣工移交后，以发包人书面指令为准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69D9FD50">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bookmarkStart w:id="434" w:name="_Toc24256"/>
      <w:bookmarkStart w:id="435" w:name="_Toc351203646"/>
      <w:bookmarkStart w:id="436" w:name="_Toc31222"/>
      <w:r>
        <w:rPr>
          <w:rFonts w:hint="eastAsia" w:ascii="仿宋" w:hAnsi="仿宋" w:eastAsia="仿宋" w:cs="仿宋"/>
          <w:b/>
          <w:color w:val="000000" w:themeColor="text1"/>
          <w:sz w:val="20"/>
          <w:szCs w:val="20"/>
          <w:highlight w:val="none"/>
          <w14:textFill>
            <w14:solidFill>
              <w14:schemeClr w14:val="tx1"/>
            </w14:solidFill>
          </w14:textFill>
        </w:rPr>
        <w:t>14.竣工结算</w:t>
      </w:r>
      <w:bookmarkEnd w:id="434"/>
      <w:bookmarkEnd w:id="435"/>
      <w:bookmarkEnd w:id="436"/>
    </w:p>
    <w:p w14:paraId="4B7D3A0F">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14.1竣工付款申请</w:t>
      </w:r>
    </w:p>
    <w:p w14:paraId="1A108745">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承包人提交竣工付款申请单的期限：</w:t>
      </w:r>
      <w:r>
        <w:rPr>
          <w:rFonts w:hint="eastAsia" w:ascii="仿宋" w:hAnsi="仿宋" w:eastAsia="仿宋" w:cs="仿宋"/>
          <w:color w:val="000000" w:themeColor="text1"/>
          <w:sz w:val="20"/>
          <w:szCs w:val="20"/>
          <w:highlight w:val="none"/>
          <w:u w:val="single"/>
          <w14:textFill>
            <w14:solidFill>
              <w14:schemeClr w14:val="tx1"/>
            </w14:solidFill>
          </w14:textFill>
        </w:rPr>
        <w:t>提交的竣工验收报告获得发包人批准后，承包人应在30个工作日内办理并提交“竣工结算资料”</w:t>
      </w:r>
      <w:r>
        <w:rPr>
          <w:rFonts w:hint="eastAsia" w:ascii="仿宋" w:hAnsi="仿宋" w:eastAsia="仿宋" w:cs="仿宋"/>
          <w:color w:val="000000" w:themeColor="text1"/>
          <w:sz w:val="20"/>
          <w:szCs w:val="20"/>
          <w:highlight w:val="none"/>
          <w14:textFill>
            <w14:solidFill>
              <w14:schemeClr w14:val="tx1"/>
            </w14:solidFill>
          </w14:textFill>
        </w:rPr>
        <w:t>。</w:t>
      </w:r>
    </w:p>
    <w:p w14:paraId="6EBC2EE5">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竣工付款申请单应包括的内容：</w:t>
      </w:r>
      <w:r>
        <w:rPr>
          <w:rFonts w:hint="eastAsia" w:ascii="仿宋" w:hAnsi="仿宋" w:eastAsia="仿宋" w:cs="仿宋"/>
          <w:color w:val="000000" w:themeColor="text1"/>
          <w:sz w:val="20"/>
          <w:szCs w:val="20"/>
          <w:highlight w:val="none"/>
          <w:u w:val="single"/>
          <w14:textFill>
            <w14:solidFill>
              <w14:schemeClr w14:val="tx1"/>
            </w14:solidFill>
          </w14:textFill>
        </w:rPr>
        <w:t>竣工结算合同总价、已支付的工程价款、应扣留的质量保证金、应支付的竣工付款金额及相关证明材料等</w:t>
      </w:r>
      <w:r>
        <w:rPr>
          <w:rFonts w:hint="eastAsia" w:ascii="仿宋" w:hAnsi="仿宋" w:eastAsia="仿宋" w:cs="仿宋"/>
          <w:color w:val="000000" w:themeColor="text1"/>
          <w:sz w:val="20"/>
          <w:szCs w:val="20"/>
          <w:highlight w:val="none"/>
          <w14:textFill>
            <w14:solidFill>
              <w14:schemeClr w14:val="tx1"/>
            </w14:solidFill>
          </w14:textFill>
        </w:rPr>
        <w:t>。</w:t>
      </w:r>
    </w:p>
    <w:p w14:paraId="278DFC72">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14.2竣工结算审核</w:t>
      </w:r>
    </w:p>
    <w:p w14:paraId="31FF9D1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发包人审批竣工付款申请单的期限：</w:t>
      </w:r>
      <w:r>
        <w:rPr>
          <w:rFonts w:hint="eastAsia" w:ascii="仿宋" w:hAnsi="仿宋" w:eastAsia="仿宋" w:cs="仿宋"/>
          <w:color w:val="000000" w:themeColor="text1"/>
          <w:sz w:val="20"/>
          <w:szCs w:val="20"/>
          <w:highlight w:val="none"/>
          <w:u w:val="single"/>
          <w14:textFill>
            <w14:solidFill>
              <w14:schemeClr w14:val="tx1"/>
            </w14:solidFill>
          </w14:textFill>
        </w:rPr>
        <w:t>结算审查期限，从收到承包人上报的完整的竣工结算资料（竣工图、变更、签证、认价单、结算书、结算申请单）之日起，1个月内审核完成或提出修改意见，结算时间最长不超过12个月</w:t>
      </w:r>
      <w:r>
        <w:rPr>
          <w:rFonts w:hint="eastAsia" w:ascii="仿宋" w:hAnsi="仿宋" w:eastAsia="仿宋" w:cs="仿宋"/>
          <w:color w:val="000000" w:themeColor="text1"/>
          <w:sz w:val="20"/>
          <w:szCs w:val="20"/>
          <w:highlight w:val="none"/>
          <w14:textFill>
            <w14:solidFill>
              <w14:schemeClr w14:val="tx1"/>
            </w14:solidFill>
          </w14:textFill>
        </w:rPr>
        <w:t>。</w:t>
      </w:r>
    </w:p>
    <w:p w14:paraId="1D209971">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发包人完成竣工付款的期限：</w:t>
      </w:r>
      <w:r>
        <w:rPr>
          <w:rFonts w:hint="eastAsia" w:ascii="仿宋" w:hAnsi="仿宋" w:eastAsia="仿宋" w:cs="仿宋"/>
          <w:color w:val="000000" w:themeColor="text1"/>
          <w:sz w:val="20"/>
          <w:szCs w:val="20"/>
          <w:highlight w:val="none"/>
          <w:u w:val="single"/>
          <w14:textFill>
            <w14:solidFill>
              <w14:schemeClr w14:val="tx1"/>
            </w14:solidFill>
          </w14:textFill>
        </w:rPr>
        <w:t>发包人委托的第三方造价审计机构出具正式结算报告后1个月内</w:t>
      </w:r>
      <w:r>
        <w:rPr>
          <w:rFonts w:hint="eastAsia" w:ascii="仿宋" w:hAnsi="仿宋" w:eastAsia="仿宋" w:cs="仿宋"/>
          <w:color w:val="000000" w:themeColor="text1"/>
          <w:sz w:val="20"/>
          <w:szCs w:val="20"/>
          <w:highlight w:val="none"/>
          <w14:textFill>
            <w14:solidFill>
              <w14:schemeClr w14:val="tx1"/>
            </w14:solidFill>
          </w14:textFill>
        </w:rPr>
        <w:t>。</w:t>
      </w:r>
    </w:p>
    <w:p w14:paraId="2DB69ADA">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关于竣工付款证书异议部分复核的方式和程序：</w:t>
      </w:r>
      <w:r>
        <w:rPr>
          <w:rFonts w:hint="eastAsia" w:ascii="仿宋" w:hAnsi="仿宋" w:eastAsia="仿宋" w:cs="仿宋"/>
          <w:color w:val="000000" w:themeColor="text1"/>
          <w:sz w:val="20"/>
          <w:szCs w:val="20"/>
          <w:highlight w:val="none"/>
          <w:u w:val="single"/>
          <w14:textFill>
            <w14:solidFill>
              <w14:schemeClr w14:val="tx1"/>
            </w14:solidFill>
          </w14:textFill>
        </w:rPr>
        <w:t>由发包人委托的第三方造价审计机构进行复核</w:t>
      </w:r>
      <w:r>
        <w:rPr>
          <w:rFonts w:hint="eastAsia" w:ascii="仿宋" w:hAnsi="仿宋" w:eastAsia="仿宋" w:cs="仿宋"/>
          <w:color w:val="000000" w:themeColor="text1"/>
          <w:sz w:val="20"/>
          <w:szCs w:val="20"/>
          <w:highlight w:val="none"/>
          <w14:textFill>
            <w14:solidFill>
              <w14:schemeClr w14:val="tx1"/>
            </w14:solidFill>
          </w14:textFill>
        </w:rPr>
        <w:t>。</w:t>
      </w:r>
    </w:p>
    <w:p w14:paraId="712AC31D">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14.4最终结清</w:t>
      </w:r>
    </w:p>
    <w:p w14:paraId="43200A42">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14.4.1最终结清申请单</w:t>
      </w:r>
    </w:p>
    <w:p w14:paraId="0A8D41B9">
      <w:pPr>
        <w:spacing w:line="360" w:lineRule="auto"/>
        <w:ind w:firstLine="400" w:firstLineChars="200"/>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承包人提交最终结清申请单的份数：</w:t>
      </w:r>
      <w:r>
        <w:rPr>
          <w:rFonts w:hint="eastAsia" w:ascii="仿宋" w:hAnsi="仿宋" w:eastAsia="仿宋" w:cs="仿宋"/>
          <w:color w:val="000000" w:themeColor="text1"/>
          <w:sz w:val="20"/>
          <w:szCs w:val="20"/>
          <w:highlight w:val="none"/>
          <w14:textFill>
            <w14:solidFill>
              <w14:schemeClr w14:val="tx1"/>
            </w14:solidFill>
          </w14:textFill>
        </w:rPr>
        <w:t>。</w:t>
      </w:r>
    </w:p>
    <w:p w14:paraId="092CC769">
      <w:pPr>
        <w:spacing w:line="360" w:lineRule="auto"/>
        <w:ind w:firstLine="400" w:firstLineChars="200"/>
        <w:jc w:val="left"/>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承包人提交最终结算申请单的期限：</w:t>
      </w:r>
      <w:r>
        <w:rPr>
          <w:rFonts w:hint="eastAsia" w:ascii="仿宋" w:hAnsi="仿宋" w:eastAsia="仿宋" w:cs="仿宋"/>
          <w:color w:val="000000" w:themeColor="text1"/>
          <w:sz w:val="20"/>
          <w:szCs w:val="20"/>
          <w:highlight w:val="none"/>
          <w:u w:val="single"/>
          <w14:textFill>
            <w14:solidFill>
              <w14:schemeClr w14:val="tx1"/>
            </w14:solidFill>
          </w14:textFill>
        </w:rPr>
        <w:t>在缺陷责任期终止证书颁发后10天内</w:t>
      </w:r>
      <w:r>
        <w:rPr>
          <w:rFonts w:hint="eastAsia" w:ascii="仿宋" w:hAnsi="仿宋" w:eastAsia="仿宋" w:cs="仿宋"/>
          <w:color w:val="000000" w:themeColor="text1"/>
          <w:sz w:val="20"/>
          <w:szCs w:val="20"/>
          <w:highlight w:val="none"/>
          <w14:textFill>
            <w14:solidFill>
              <w14:schemeClr w14:val="tx1"/>
            </w14:solidFill>
          </w14:textFill>
        </w:rPr>
        <w:t>。</w:t>
      </w:r>
    </w:p>
    <w:p w14:paraId="7811A896">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14.4.2最终结清证书和支付</w:t>
      </w:r>
    </w:p>
    <w:p w14:paraId="63B71C89">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（1）发包人完成最终结清申请单的审批并颁发最终结清证书的期限：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5F09C967">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（2）发包人完成支付的期限：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bookmarkEnd w:id="421"/>
      <w:bookmarkEnd w:id="422"/>
      <w:bookmarkEnd w:id="423"/>
      <w:bookmarkEnd w:id="424"/>
      <w:bookmarkEnd w:id="425"/>
      <w:bookmarkEnd w:id="426"/>
      <w:bookmarkEnd w:id="427"/>
      <w:bookmarkEnd w:id="433"/>
      <w:bookmarkStart w:id="437" w:name="_Toc15523"/>
      <w:bookmarkStart w:id="438" w:name="_Toc11183"/>
      <w:bookmarkStart w:id="439" w:name="_Toc351203647"/>
      <w:bookmarkStart w:id="440" w:name="_Toc267251486"/>
      <w:bookmarkStart w:id="441" w:name="_Toc267251483"/>
      <w:bookmarkStart w:id="442" w:name="_Toc267251490"/>
      <w:bookmarkStart w:id="443" w:name="_Toc267251488"/>
      <w:bookmarkStart w:id="444" w:name="_Toc267251484"/>
      <w:bookmarkStart w:id="445" w:name="_Toc267251489"/>
      <w:bookmarkStart w:id="446" w:name="_Toc267251485"/>
      <w:bookmarkStart w:id="447" w:name="_Toc267251482"/>
    </w:p>
    <w:p w14:paraId="68A16C1B">
      <w:pPr>
        <w:pStyle w:val="6"/>
        <w:ind w:firstLine="0" w:firstLineChars="0"/>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15.缺陷责任期与保修</w:t>
      </w:r>
      <w:bookmarkEnd w:id="437"/>
      <w:bookmarkEnd w:id="438"/>
      <w:bookmarkEnd w:id="439"/>
    </w:p>
    <w:bookmarkEnd w:id="440"/>
    <w:bookmarkEnd w:id="441"/>
    <w:bookmarkEnd w:id="442"/>
    <w:bookmarkEnd w:id="443"/>
    <w:bookmarkEnd w:id="444"/>
    <w:bookmarkEnd w:id="445"/>
    <w:bookmarkEnd w:id="446"/>
    <w:bookmarkEnd w:id="447"/>
    <w:p w14:paraId="510EBFD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15.2缺陷责任期</w:t>
      </w:r>
    </w:p>
    <w:p w14:paraId="54B79770">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缺陷责任期的具体期限：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2D238DDD">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15.3质量保证金</w:t>
      </w:r>
    </w:p>
    <w:p w14:paraId="3BA88F5A">
      <w:pPr>
        <w:spacing w:line="360" w:lineRule="auto"/>
        <w:ind w:firstLine="400" w:firstLineChars="200"/>
        <w:jc w:val="left"/>
        <w:rPr>
          <w:rFonts w:hint="default"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关于是否扣留质量保证金的约定：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2BE95421">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15.3.1承包人提供质量保证金的方式</w:t>
      </w:r>
    </w:p>
    <w:p w14:paraId="6B484DCE">
      <w:pPr>
        <w:spacing w:line="360" w:lineRule="auto"/>
        <w:ind w:firstLine="400" w:firstLineChars="2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质量保证金采用以下第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种方式：</w:t>
      </w:r>
    </w:p>
    <w:p w14:paraId="079C0D3C">
      <w:pPr>
        <w:spacing w:line="360" w:lineRule="auto"/>
        <w:ind w:firstLine="400" w:firstLineChars="20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（1）质量保证金保函，保证金额为：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477664D8">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%的工程款；</w:t>
      </w:r>
    </w:p>
    <w:p w14:paraId="0089036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（3）其他方式：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229AEE5">
      <w:pPr>
        <w:spacing w:line="360" w:lineRule="auto"/>
        <w:ind w:firstLine="400" w:firstLineChars="20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15.3.2质量保证金的扣留</w:t>
      </w:r>
    </w:p>
    <w:p w14:paraId="74E5DC7A">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质量保证金的扣留采取以下第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种方式：</w:t>
      </w:r>
    </w:p>
    <w:p w14:paraId="0E3C1E3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（1）在支付工程进度款时逐次扣留，在此情形下，质量保证金的计算基数不包括预付款的支付、扣回以及价格调整的金额；</w:t>
      </w:r>
    </w:p>
    <w:p w14:paraId="01FA04E4">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（2）工程竣工结算时一次性扣留质量保证金；</w:t>
      </w:r>
    </w:p>
    <w:p w14:paraId="37EED9A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（3）其他扣留方式：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DB5849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关于质量保证金的补充约定：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254600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15.4保修</w:t>
      </w:r>
    </w:p>
    <w:p w14:paraId="2F33B4B7">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15.4.1保修责任</w:t>
      </w:r>
    </w:p>
    <w:p w14:paraId="223B60E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工程保修期为：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1F693CB">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15.4.3修复通知</w:t>
      </w:r>
    </w:p>
    <w:p w14:paraId="5748023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承包人收到保修通知并到达工程现场的合理时间：。</w:t>
      </w:r>
    </w:p>
    <w:p w14:paraId="37F9792D">
      <w:pPr>
        <w:keepLines w:val="0"/>
        <w:pageBreakBefore w:val="0"/>
        <w:kinsoku/>
        <w:wordWrap/>
        <w:overflowPunct/>
        <w:topLinePunct w:val="0"/>
        <w:bidi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48" w:name="_Toc22553"/>
      <w:bookmarkStart w:id="449" w:name="_Toc14801"/>
      <w:r>
        <w:rPr>
          <w:rFonts w:hint="eastAsia" w:ascii="仿宋" w:hAnsi="仿宋" w:eastAsia="仿宋" w:cs="仿宋"/>
          <w:b/>
          <w:color w:val="000000" w:themeColor="text1"/>
          <w:sz w:val="20"/>
          <w:szCs w:val="20"/>
          <w:highlight w:val="none"/>
          <w14:textFill>
            <w14:solidFill>
              <w14:schemeClr w14:val="tx1"/>
            </w14:solidFill>
          </w14:textFill>
        </w:rPr>
        <w:t>16.违约</w:t>
      </w:r>
      <w:bookmarkEnd w:id="364"/>
      <w:bookmarkEnd w:id="448"/>
      <w:bookmarkEnd w:id="449"/>
    </w:p>
    <w:p w14:paraId="67BD63D7">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16.1发包人违约</w:t>
      </w:r>
    </w:p>
    <w:p w14:paraId="1B73D9CD">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16.1.1发包人违约的情形</w:t>
      </w:r>
    </w:p>
    <w:p w14:paraId="4C6C0838">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发包人违约的其他情形：</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u w:val="single"/>
          <w14:textFill>
            <w14:solidFill>
              <w14:schemeClr w14:val="tx1"/>
            </w14:solidFill>
          </w14:textFill>
        </w:rPr>
        <w:t>/</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57FB190F">
      <w:pPr>
        <w:keepLines w:val="0"/>
        <w:pageBreakBefore w:val="0"/>
        <w:kinsoku/>
        <w:wordWrap/>
        <w:overflowPunct/>
        <w:topLinePunct w:val="0"/>
        <w:bidi w:val="0"/>
        <w:spacing w:line="300" w:lineRule="auto"/>
        <w:ind w:left="1050" w:hanging="1000" w:hangingChars="5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16.1.2发包人违约的责任</w:t>
      </w:r>
    </w:p>
    <w:p w14:paraId="4801B023">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发包人违约责任的承担方式和计算方法：</w:t>
      </w:r>
    </w:p>
    <w:p w14:paraId="53119A7C">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（1）因发包人原因未能在计划开工日期前7天内下达开工通知的违约责任：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工期顺延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47D9D72F">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（2）因发包人原因未能按合同约定支付合同价款的违约责任：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双方另行协商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3E68DBC">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（3）发包人违反第10.1款〔变更的范围〕第（2）项约定，自行实施被取消的工作或转由他人实施的违约责任：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双方另行协商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187E800E">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（4）因发包人违反合同约定造成暂停施工的违约责任：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若影响工期的，工期予以顺延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C036AB5">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（5）发包人无正当理由没有在约定期限内发出复工指示，导致承包人无法复工的违约责任：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若影响工期的，工期予以顺延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75DCA3C">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lang w:val="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（6）</w:t>
      </w:r>
      <w:r>
        <w:rPr>
          <w:rFonts w:hint="eastAsia" w:ascii="仿宋" w:hAnsi="仿宋" w:eastAsia="仿宋" w:cs="仿宋"/>
          <w:color w:val="000000" w:themeColor="text1"/>
          <w:kern w:val="0"/>
          <w:sz w:val="20"/>
          <w:szCs w:val="20"/>
          <w:highlight w:val="none"/>
          <w:lang w:val="zh-CN"/>
          <w14:textFill>
            <w14:solidFill>
              <w14:schemeClr w14:val="tx1"/>
            </w14:solidFill>
          </w14:textFill>
        </w:rPr>
        <w:t>发包人不履行合同义务或不按合同约定履行义务的其他情况。</w:t>
      </w:r>
    </w:p>
    <w:p w14:paraId="0CCDA047">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val="zh-CN"/>
          <w14:textFill>
            <w14:solidFill>
              <w14:schemeClr w14:val="tx1"/>
            </w14:solidFill>
          </w14:textFill>
        </w:rPr>
        <w:t>发包人承担违约责任，并赔偿因其违约给承包人造成的经济损失，顺延延误的工期。双方在专用条款内约定发包人赔偿承包人损失的计算方法或者发包人应当支付违约金的数额和计算方法。</w:t>
      </w:r>
    </w:p>
    <w:p w14:paraId="10A23A99">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16.1.3因发包人违约解除合同</w:t>
      </w:r>
    </w:p>
    <w:p w14:paraId="38A40D3B">
      <w:pPr>
        <w:keepLines w:val="0"/>
        <w:pageBreakBefore w:val="0"/>
        <w:kinsoku/>
        <w:wordWrap/>
        <w:overflowPunct/>
        <w:topLinePunct w:val="0"/>
        <w:autoSpaceDE w:val="0"/>
        <w:autoSpaceDN w:val="0"/>
        <w:bidi w:val="0"/>
        <w:adjustRightInd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承包人按16.1.1项〔发包人违约的情形〕约定暂停施工满天后发包人仍不纠正其违约行为并致使合同目的不能实现的，承包人有权解除合同。</w:t>
      </w:r>
    </w:p>
    <w:p w14:paraId="6A82CD02">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16.2承包人违约</w:t>
      </w:r>
    </w:p>
    <w:p w14:paraId="400EE469">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16.2.1承包人违约的情形</w:t>
      </w:r>
    </w:p>
    <w:p w14:paraId="6F710E4A">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承包人违约的其他情形：</w:t>
      </w:r>
      <w:r>
        <w:rPr>
          <w:rFonts w:hint="eastAsia" w:ascii="仿宋" w:hAnsi="仿宋" w:eastAsia="仿宋" w:cs="仿宋"/>
          <w:color w:val="000000" w:themeColor="text1"/>
          <w:kern w:val="0"/>
          <w:sz w:val="20"/>
          <w:szCs w:val="20"/>
          <w:highlight w:val="none"/>
          <w:u w:val="single"/>
          <w14:textFill>
            <w14:solidFill>
              <w14:schemeClr w14:val="tx1"/>
            </w14:solidFill>
          </w14:textFill>
        </w:rPr>
        <w:t>1）擅自更换项目经理的；2）未经发包人许可，擅自采购材料设备表以外设备及材料的或未经准用批准使用的</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AA67906">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16.2.2承包人违约的责任</w:t>
      </w:r>
    </w:p>
    <w:p w14:paraId="446003BE">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承包人违约责任的承担方式和计算方法：（1）</w:t>
      </w:r>
      <w:r>
        <w:rPr>
          <w:rFonts w:hint="eastAsia" w:ascii="仿宋" w:hAnsi="仿宋" w:eastAsia="仿宋" w:cs="仿宋"/>
          <w:color w:val="000000" w:themeColor="text1"/>
          <w:sz w:val="20"/>
          <w:szCs w:val="20"/>
          <w:highlight w:val="none"/>
          <w:u w:val="single"/>
          <w14:textFill>
            <w14:solidFill>
              <w14:schemeClr w14:val="tx1"/>
            </w14:solidFill>
          </w14:textFill>
        </w:rPr>
        <w:t>建设过程中分部分项工程质量若达不到合格标准，承包人应按要求整改至合格（整改费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用由</w:t>
      </w:r>
      <w:r>
        <w:rPr>
          <w:rFonts w:hint="eastAsia" w:ascii="仿宋" w:hAnsi="仿宋" w:eastAsia="仿宋" w:cs="仿宋"/>
          <w:color w:val="000000" w:themeColor="text1"/>
          <w:sz w:val="20"/>
          <w:szCs w:val="20"/>
          <w:highlight w:val="none"/>
          <w:u w:val="single"/>
          <w14:textFill>
            <w14:solidFill>
              <w14:schemeClr w14:val="tx1"/>
            </w14:solidFill>
          </w14:textFill>
        </w:rPr>
        <w:t>承包人自行承担），并承担</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sz w:val="20"/>
          <w:szCs w:val="20"/>
          <w:highlight w:val="none"/>
          <w:u w:val="single"/>
          <w14:textFill>
            <w14:solidFill>
              <w14:schemeClr w14:val="tx1"/>
            </w14:solidFill>
          </w14:textFill>
        </w:rPr>
        <w:t>000-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000元/次的违约金。</w:t>
      </w:r>
    </w:p>
    <w:p w14:paraId="535945EE">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u w:val="single"/>
          <w14:textFill>
            <w14:solidFill>
              <w14:schemeClr w14:val="tx1"/>
            </w14:solidFill>
          </w14:textFill>
        </w:rPr>
        <w:t>确保现场劳务人员基本权益，保证劳务工资按月发放，若发生讨薪投诉事件，承包人承担</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kern w:val="0"/>
          <w:sz w:val="20"/>
          <w:szCs w:val="20"/>
          <w:highlight w:val="none"/>
          <w:u w:val="single"/>
          <w14:textFill>
            <w14:solidFill>
              <w14:schemeClr w14:val="tx1"/>
            </w14:solidFill>
          </w14:textFill>
        </w:rPr>
        <w:t>000元/次的违约金。</w:t>
      </w:r>
    </w:p>
    <w:p w14:paraId="2F9B0F10">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u w:val="single"/>
          <w14:textFill>
            <w14:solidFill>
              <w14:schemeClr w14:val="tx1"/>
            </w14:solidFill>
          </w14:textFill>
        </w:rPr>
        <w:t>（3）工程建设过程中，承包人没有按照发包人要求进度实施工程建设的，发包人有权对承包人收取</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kern w:val="0"/>
          <w:sz w:val="20"/>
          <w:szCs w:val="20"/>
          <w:highlight w:val="none"/>
          <w:u w:val="single"/>
          <w14:textFill>
            <w14:solidFill>
              <w14:schemeClr w14:val="tx1"/>
            </w14:solidFill>
          </w14:textFill>
        </w:rPr>
        <w:t>000-</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kern w:val="0"/>
          <w:sz w:val="20"/>
          <w:szCs w:val="20"/>
          <w:highlight w:val="none"/>
          <w:u w:val="single"/>
          <w14:textFill>
            <w14:solidFill>
              <w14:schemeClr w14:val="tx1"/>
            </w14:solidFill>
          </w14:textFill>
        </w:rPr>
        <w:t>000元/天的违约金。</w:t>
      </w:r>
    </w:p>
    <w:p w14:paraId="06BE20B8">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4</w:t>
      </w:r>
      <w:r>
        <w:rPr>
          <w:rFonts w:hint="eastAsia" w:ascii="仿宋" w:hAnsi="仿宋" w:eastAsia="仿宋" w:cs="仿宋"/>
          <w:color w:val="000000" w:themeColor="text1"/>
          <w:sz w:val="20"/>
          <w:szCs w:val="20"/>
          <w:highlight w:val="none"/>
          <w:u w:val="single"/>
          <w14:textFill>
            <w14:solidFill>
              <w14:schemeClr w14:val="tx1"/>
            </w14:solidFill>
          </w14:textFill>
        </w:rPr>
        <w:t>）本工程要求工程质量达到国家规定的合格标准，竣工验收达不到合格标准的，除按国家规定对承包人予以处罚外，承包</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人</w:t>
      </w:r>
      <w:r>
        <w:rPr>
          <w:rFonts w:hint="eastAsia" w:ascii="仿宋" w:hAnsi="仿宋" w:eastAsia="仿宋" w:cs="仿宋"/>
          <w:color w:val="000000" w:themeColor="text1"/>
          <w:sz w:val="20"/>
          <w:szCs w:val="20"/>
          <w:highlight w:val="none"/>
          <w:u w:val="single"/>
          <w14:textFill>
            <w14:solidFill>
              <w14:schemeClr w14:val="tx1"/>
            </w14:solidFill>
          </w14:textFill>
        </w:rPr>
        <w:t>按合同价的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%向发包人支付质量违约金并修复至达到验收合格标准。中间验收时如果出现局部或分部或分项质量不合格，承包人除免费立即纠正、修复外，还要按该局部或分部或分项工程的合同价的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%向发包人支付质量违约金</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3FE7E4FA">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5</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zh-CN"/>
          <w14:textFill>
            <w14:solidFill>
              <w14:schemeClr w14:val="tx1"/>
            </w14:solidFill>
          </w14:textFill>
        </w:rPr>
        <w:t>因承包人原因不能按照协议书约定的竣工日期或工程师同意顺延的工期竣工</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0DCA162B">
      <w:pPr>
        <w:pStyle w:val="4"/>
        <w:keepLines w:val="0"/>
        <w:pageBreakBefore w:val="0"/>
        <w:tabs>
          <w:tab w:val="left" w:pos="600"/>
        </w:tabs>
        <w:kinsoku/>
        <w:wordWrap/>
        <w:overflowPunct/>
        <w:topLinePunct w:val="0"/>
        <w:bidi w:val="0"/>
        <w:spacing w:after="0" w:line="300" w:lineRule="auto"/>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6</w:t>
      </w: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u w:val="single"/>
          <w:lang w:val="zh-CN"/>
          <w14:textFill>
            <w14:solidFill>
              <w14:schemeClr w14:val="tx1"/>
            </w14:solidFill>
          </w14:textFill>
        </w:rPr>
        <w:t>承包人不履行合同义务或不按合同约定履行义务的其他情况</w:t>
      </w:r>
      <w:r>
        <w:rPr>
          <w:rFonts w:hint="eastAsia" w:ascii="仿宋" w:hAnsi="仿宋" w:eastAsia="仿宋" w:cs="仿宋"/>
          <w:color w:val="000000" w:themeColor="text1"/>
          <w:sz w:val="20"/>
          <w:szCs w:val="20"/>
          <w:highlight w:val="none"/>
          <w:lang w:val="zh-CN"/>
          <w14:textFill>
            <w14:solidFill>
              <w14:schemeClr w14:val="tx1"/>
            </w14:solidFill>
          </w14:textFill>
        </w:rPr>
        <w:t>。</w:t>
      </w:r>
    </w:p>
    <w:p w14:paraId="245BE50A">
      <w:pPr>
        <w:pStyle w:val="4"/>
        <w:keepLines w:val="0"/>
        <w:pageBreakBefore w:val="0"/>
        <w:tabs>
          <w:tab w:val="left" w:pos="600"/>
        </w:tabs>
        <w:kinsoku/>
        <w:wordWrap/>
        <w:overflowPunct/>
        <w:topLinePunct w:val="0"/>
        <w:bidi w:val="0"/>
        <w:spacing w:after="0" w:line="300" w:lineRule="auto"/>
        <w:textAlignment w:val="auto"/>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t>（7）</w:t>
      </w:r>
      <w:r>
        <w:rPr>
          <w:rFonts w:hint="eastAsia" w:ascii="仿宋" w:hAnsi="仿宋" w:eastAsia="仿宋" w:cs="仿宋"/>
          <w:color w:val="000000" w:themeColor="text1"/>
          <w:sz w:val="20"/>
          <w:szCs w:val="20"/>
          <w:highlight w:val="none"/>
          <w:u w:val="single"/>
          <w:lang w:val="zh-CN"/>
          <w14:textFill>
            <w14:solidFill>
              <w14:schemeClr w14:val="tx1"/>
            </w14:solidFill>
          </w14:textFill>
        </w:rPr>
        <w:t>承包人</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未按要求提供货物、质量、环保标准不能满足技术要求的，承包人方必须无条件更换，否则，发包人有权终止合同，并对承包人的违约行为报监管机构进行相应的处罚</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3D5A1364">
      <w:pPr>
        <w:pStyle w:val="4"/>
        <w:keepLines w:val="0"/>
        <w:pageBreakBefore w:val="0"/>
        <w:tabs>
          <w:tab w:val="left" w:pos="600"/>
        </w:tabs>
        <w:kinsoku/>
        <w:wordWrap/>
        <w:overflowPunct/>
        <w:topLinePunct w:val="0"/>
        <w:bidi w:val="0"/>
        <w:spacing w:after="0" w:line="300" w:lineRule="auto"/>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t>（8）</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与本工程相关的其他违约情形按照《中华人民共和国民法典》和《中华人民共和国建筑法》中的相关条款执行</w:t>
      </w:r>
      <w:r>
        <w:rPr>
          <w:rFonts w:hint="eastAsia" w:ascii="仿宋" w:hAnsi="仿宋" w:eastAsia="仿宋" w:cs="仿宋"/>
          <w:color w:val="000000" w:themeColor="text1"/>
          <w:kern w:val="2"/>
          <w:sz w:val="20"/>
          <w:szCs w:val="20"/>
          <w:highlight w:val="none"/>
          <w:u w:val="none"/>
          <w:lang w:val="en-US" w:eastAsia="zh-CN" w:bidi="ar-SA"/>
          <w14:textFill>
            <w14:solidFill>
              <w14:schemeClr w14:val="tx1"/>
            </w14:solidFill>
          </w14:textFill>
        </w:rPr>
        <w:t>。</w:t>
      </w:r>
    </w:p>
    <w:p w14:paraId="58970A77">
      <w:pPr>
        <w:pStyle w:val="4"/>
        <w:keepLines w:val="0"/>
        <w:pageBreakBefore w:val="0"/>
        <w:tabs>
          <w:tab w:val="left" w:pos="600"/>
        </w:tabs>
        <w:kinsoku/>
        <w:wordWrap/>
        <w:overflowPunct/>
        <w:topLinePunct w:val="0"/>
        <w:bidi w:val="0"/>
        <w:spacing w:after="0" w:line="300" w:lineRule="auto"/>
        <w:ind w:firstLine="400" w:firstLineChars="200"/>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承包人承担违约责任，并赔偿因其违约给发包人造成的损失。双方在专用条款内约定承包人赔偿发包人损失的计算方法或者承包人应当支付违约金的数额和计算方法。</w:t>
      </w:r>
    </w:p>
    <w:p w14:paraId="36ED7EFB">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16.2.3因承包人违约解除合同</w:t>
      </w:r>
    </w:p>
    <w:p w14:paraId="3163A117">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关于承包人违约解除合同的特别约定：</w:t>
      </w:r>
      <w:r>
        <w:rPr>
          <w:rFonts w:hint="eastAsia" w:ascii="仿宋" w:hAnsi="仿宋" w:eastAsia="仿宋" w:cs="仿宋"/>
          <w:color w:val="000000" w:themeColor="text1"/>
          <w:sz w:val="20"/>
          <w:szCs w:val="20"/>
          <w:highlight w:val="none"/>
          <w:u w:val="single"/>
          <w14:textFill>
            <w14:solidFill>
              <w14:schemeClr w14:val="tx1"/>
            </w14:solidFill>
          </w14:textFill>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000000" w:themeColor="text1"/>
          <w:kern w:val="0"/>
          <w:sz w:val="20"/>
          <w:szCs w:val="20"/>
          <w:highlight w:val="none"/>
          <w:u w:val="single"/>
          <w14:textFill>
            <w14:solidFill>
              <w14:schemeClr w14:val="tx1"/>
            </w14:solidFill>
          </w14:textFill>
        </w:rPr>
        <w:t>。</w:t>
      </w:r>
    </w:p>
    <w:p w14:paraId="3BD0BB22">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仿宋" w:hAnsi="仿宋" w:eastAsia="仿宋" w:cs="仿宋"/>
          <w:color w:val="000000" w:themeColor="text1"/>
          <w:kern w:val="0"/>
          <w:sz w:val="20"/>
          <w:szCs w:val="20"/>
          <w:highlight w:val="none"/>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w:t>
      </w: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文件</w:t>
      </w:r>
      <w:r>
        <w:rPr>
          <w:rFonts w:hint="eastAsia" w:ascii="仿宋" w:hAnsi="仿宋" w:eastAsia="仿宋" w:cs="仿宋"/>
          <w:color w:val="000000" w:themeColor="text1"/>
          <w:kern w:val="0"/>
          <w:sz w:val="20"/>
          <w:szCs w:val="20"/>
          <w:highlight w:val="none"/>
          <w:u w:val="single"/>
          <w14:textFill>
            <w14:solidFill>
              <w14:schemeClr w14:val="tx1"/>
            </w14:solidFill>
          </w14:textFill>
        </w:rPr>
        <w:t>由发包人免费使用，由承包人负责维护、拆除及退场并承担费用</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2DA0833">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16.3一方违约后，另一方要求违约方继续履行合同时，违约方承担上述违约责任后仍应继续履行合同。</w:t>
      </w:r>
    </w:p>
    <w:p w14:paraId="3AC52A16">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bookmarkStart w:id="450" w:name="_Toc5388"/>
      <w:bookmarkStart w:id="451" w:name="_Toc31345"/>
      <w:bookmarkStart w:id="452" w:name="_Toc351203649"/>
      <w:r>
        <w:rPr>
          <w:rFonts w:hint="eastAsia" w:ascii="仿宋" w:hAnsi="仿宋" w:eastAsia="仿宋" w:cs="仿宋"/>
          <w:b/>
          <w:color w:val="000000" w:themeColor="text1"/>
          <w:sz w:val="20"/>
          <w:szCs w:val="20"/>
          <w:highlight w:val="none"/>
          <w14:textFill>
            <w14:solidFill>
              <w14:schemeClr w14:val="tx1"/>
            </w14:solidFill>
          </w14:textFill>
        </w:rPr>
        <w:t>17.不可抗力</w:t>
      </w:r>
      <w:bookmarkEnd w:id="365"/>
      <w:bookmarkEnd w:id="450"/>
      <w:bookmarkEnd w:id="451"/>
      <w:bookmarkEnd w:id="452"/>
    </w:p>
    <w:p w14:paraId="620A762D">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17.1不可抗力的确认</w:t>
      </w:r>
    </w:p>
    <w:p w14:paraId="4F76207B">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除通用合同条款约定的不可抗力事件之外，视为不可抗力的其他情形：</w:t>
      </w:r>
      <w:r>
        <w:rPr>
          <w:rFonts w:hint="eastAsia" w:ascii="仿宋" w:hAnsi="仿宋" w:eastAsia="仿宋" w:cs="仿宋"/>
          <w:color w:val="000000" w:themeColor="text1"/>
          <w:sz w:val="20"/>
          <w:szCs w:val="20"/>
          <w:highlight w:val="none"/>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作为</w:t>
      </w:r>
      <w:r>
        <w:rPr>
          <w:rFonts w:hint="eastAsia" w:ascii="仿宋" w:hAnsi="仿宋" w:eastAsia="仿宋" w:cs="仿宋"/>
          <w:color w:val="000000" w:themeColor="text1"/>
          <w:sz w:val="20"/>
          <w:szCs w:val="20"/>
          <w:highlight w:val="none"/>
          <w:u w:val="single"/>
          <w14:textFill>
            <w14:solidFill>
              <w14:schemeClr w14:val="tx1"/>
            </w14:solidFill>
          </w14:textFill>
        </w:rPr>
        <w:t>不可抗力事件对待；高考、中考、运动会以及政府部门发出的有碍于施工的临时性指令均不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作为</w:t>
      </w:r>
      <w:r>
        <w:rPr>
          <w:rFonts w:hint="eastAsia" w:ascii="仿宋" w:hAnsi="仿宋" w:eastAsia="仿宋" w:cs="仿宋"/>
          <w:color w:val="000000" w:themeColor="text1"/>
          <w:sz w:val="20"/>
          <w:szCs w:val="20"/>
          <w:highlight w:val="none"/>
          <w:u w:val="single"/>
          <w14:textFill>
            <w14:solidFill>
              <w14:schemeClr w14:val="tx1"/>
            </w14:solidFill>
          </w14:textFill>
        </w:rPr>
        <w:t>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0B85088C">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17.4因不可抗力解除合同</w:t>
      </w:r>
    </w:p>
    <w:p w14:paraId="00DC0E52">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合同解除后，发包人应在商定或确定发包人应支付款项后</w:t>
      </w:r>
      <w:r>
        <w:rPr>
          <w:rFonts w:hint="eastAsia" w:ascii="仿宋" w:hAnsi="仿宋" w:eastAsia="仿宋" w:cs="仿宋"/>
          <w:color w:val="000000" w:themeColor="text1"/>
          <w:sz w:val="20"/>
          <w:szCs w:val="20"/>
          <w:highlight w:val="none"/>
          <w:u w:val="single"/>
          <w14:textFill>
            <w14:solidFill>
              <w14:schemeClr w14:val="tx1"/>
            </w14:solidFill>
          </w14:textFill>
        </w:rPr>
        <w:t>30</w:t>
      </w:r>
      <w:r>
        <w:rPr>
          <w:rFonts w:hint="eastAsia" w:ascii="仿宋" w:hAnsi="仿宋" w:eastAsia="仿宋" w:cs="仿宋"/>
          <w:color w:val="000000" w:themeColor="text1"/>
          <w:sz w:val="20"/>
          <w:szCs w:val="20"/>
          <w:highlight w:val="none"/>
          <w14:textFill>
            <w14:solidFill>
              <w14:schemeClr w14:val="tx1"/>
            </w14:solidFill>
          </w14:textFill>
        </w:rPr>
        <w:t>天内完成款项的支付。</w:t>
      </w:r>
    </w:p>
    <w:bookmarkEnd w:id="366"/>
    <w:bookmarkEnd w:id="367"/>
    <w:bookmarkEnd w:id="368"/>
    <w:bookmarkEnd w:id="369"/>
    <w:bookmarkEnd w:id="370"/>
    <w:bookmarkEnd w:id="371"/>
    <w:bookmarkEnd w:id="372"/>
    <w:bookmarkEnd w:id="373"/>
    <w:bookmarkEnd w:id="374"/>
    <w:bookmarkEnd w:id="375"/>
    <w:bookmarkEnd w:id="376"/>
    <w:bookmarkEnd w:id="377"/>
    <w:bookmarkEnd w:id="378"/>
    <w:p w14:paraId="6DC98541">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53" w:name="_Toc17103"/>
      <w:bookmarkStart w:id="454" w:name="_Toc351203651"/>
      <w:bookmarkStart w:id="455" w:name="_Toc23046"/>
      <w:r>
        <w:rPr>
          <w:rFonts w:hint="eastAsia" w:ascii="仿宋" w:hAnsi="仿宋" w:eastAsia="仿宋" w:cs="仿宋"/>
          <w:b/>
          <w:color w:val="000000" w:themeColor="text1"/>
          <w:sz w:val="20"/>
          <w:szCs w:val="20"/>
          <w:highlight w:val="none"/>
          <w14:textFill>
            <w14:solidFill>
              <w14:schemeClr w14:val="tx1"/>
            </w14:solidFill>
          </w14:textFill>
        </w:rPr>
        <w:t>20.争议解决</w:t>
      </w:r>
      <w:bookmarkEnd w:id="453"/>
      <w:bookmarkEnd w:id="454"/>
      <w:bookmarkEnd w:id="455"/>
    </w:p>
    <w:bookmarkEnd w:id="379"/>
    <w:bookmarkEnd w:id="380"/>
    <w:bookmarkEnd w:id="381"/>
    <w:p w14:paraId="1AB167B5">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20.4仲裁或诉讼</w:t>
      </w:r>
      <w:bookmarkEnd w:id="382"/>
    </w:p>
    <w:p w14:paraId="1EEB7E95">
      <w:pPr>
        <w:keepLines w:val="0"/>
        <w:pageBreakBefore w:val="0"/>
        <w:kinsoku/>
        <w:wordWrap/>
        <w:overflowPunct/>
        <w:topLinePunct w:val="0"/>
        <w:bidi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14:textFill>
            <w14:solidFill>
              <w14:schemeClr w14:val="tx1"/>
            </w14:solidFill>
          </w14:textFill>
        </w:rPr>
        <w:t>种方式解决：</w:t>
      </w:r>
    </w:p>
    <w:p w14:paraId="39AEDEA0">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w:t>
      </w:r>
      <w:r>
        <w:rPr>
          <w:rFonts w:hint="eastAsia" w:ascii="仿宋" w:hAnsi="仿宋" w:eastAsia="仿宋" w:cs="仿宋"/>
          <w:color w:val="000000" w:themeColor="text1"/>
          <w:sz w:val="20"/>
          <w:szCs w:val="20"/>
          <w:highlight w:val="none"/>
          <w:u w:val="single"/>
          <w14:textFill>
            <w14:solidFill>
              <w14:schemeClr w14:val="tx1"/>
            </w14:solidFill>
          </w14:textFill>
        </w:rPr>
        <w:t>西安</w:t>
      </w:r>
      <w:r>
        <w:rPr>
          <w:rFonts w:hint="eastAsia" w:ascii="仿宋" w:hAnsi="仿宋" w:eastAsia="仿宋" w:cs="仿宋"/>
          <w:color w:val="000000" w:themeColor="text1"/>
          <w:sz w:val="20"/>
          <w:szCs w:val="20"/>
          <w:highlight w:val="none"/>
          <w14:textFill>
            <w14:solidFill>
              <w14:schemeClr w14:val="tx1"/>
            </w14:solidFill>
          </w14:textFill>
        </w:rPr>
        <w:t>仲裁委员会申请仲裁；</w:t>
      </w:r>
    </w:p>
    <w:p w14:paraId="42102FA8">
      <w:pPr>
        <w:keepLines w:val="0"/>
        <w:pageBreakBefore w:val="0"/>
        <w:kinsoku/>
        <w:wordWrap/>
        <w:overflowPunct/>
        <w:topLinePunct w:val="0"/>
        <w:bidi w:val="0"/>
        <w:spacing w:line="300" w:lineRule="auto"/>
        <w:ind w:firstLine="400"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（2）向人民法院起诉。</w:t>
      </w:r>
      <w:bookmarkEnd w:id="383"/>
      <w:bookmarkEnd w:id="384"/>
      <w:bookmarkEnd w:id="385"/>
      <w:bookmarkEnd w:id="386"/>
      <w:bookmarkEnd w:id="387"/>
      <w:bookmarkEnd w:id="388"/>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w:t>
      </w:r>
    </w:p>
    <w:p w14:paraId="6F4683E6">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协议书附件：</w:t>
      </w:r>
    </w:p>
    <w:p w14:paraId="7FB9587A">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专用合同条款附件（根据实际自行增减）：</w:t>
      </w:r>
    </w:p>
    <w:p w14:paraId="2298FB9B">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6" w:name="_Toc6782_WPSOffice_Level2"/>
      <w:r>
        <w:rPr>
          <w:rFonts w:hint="eastAsia" w:ascii="仿宋" w:hAnsi="仿宋" w:eastAsia="仿宋" w:cs="仿宋"/>
          <w:color w:val="000000" w:themeColor="text1"/>
          <w:sz w:val="20"/>
          <w:szCs w:val="20"/>
          <w:highlight w:val="none"/>
          <w14:textFill>
            <w14:solidFill>
              <w14:schemeClr w14:val="tx1"/>
            </w14:solidFill>
          </w14:textFill>
        </w:rPr>
        <w:t>附件1：发包人供应材料设备一览表</w:t>
      </w:r>
      <w:bookmarkEnd w:id="456"/>
    </w:p>
    <w:p w14:paraId="3FCAA186">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7" w:name="_Toc4615_WPSOffice_Level2"/>
      <w:r>
        <w:rPr>
          <w:rFonts w:hint="eastAsia" w:ascii="仿宋" w:hAnsi="仿宋" w:eastAsia="仿宋" w:cs="仿宋"/>
          <w:color w:val="000000" w:themeColor="text1"/>
          <w:sz w:val="20"/>
          <w:szCs w:val="20"/>
          <w:highlight w:val="none"/>
          <w14:textFill>
            <w14:solidFill>
              <w14:schemeClr w14:val="tx1"/>
            </w14:solidFill>
          </w14:textFill>
        </w:rPr>
        <w:t>附件2：工程质量保修书</w:t>
      </w:r>
      <w:bookmarkEnd w:id="457"/>
    </w:p>
    <w:p w14:paraId="5757A481">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8" w:name="_Toc24155_WPSOffice_Level2"/>
      <w:r>
        <w:rPr>
          <w:rFonts w:hint="eastAsia" w:ascii="仿宋" w:hAnsi="仿宋" w:eastAsia="仿宋" w:cs="仿宋"/>
          <w:color w:val="000000" w:themeColor="text1"/>
          <w:sz w:val="20"/>
          <w:szCs w:val="20"/>
          <w:highlight w:val="none"/>
          <w14:textFill>
            <w14:solidFill>
              <w14:schemeClr w14:val="tx1"/>
            </w14:solidFill>
          </w14:textFill>
        </w:rPr>
        <w:t>附件3：主要建设工程文件目录</w:t>
      </w:r>
      <w:bookmarkEnd w:id="458"/>
    </w:p>
    <w:p w14:paraId="00354352">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9" w:name="_Toc8967_WPSOffice_Level2"/>
      <w:r>
        <w:rPr>
          <w:rFonts w:hint="eastAsia" w:ascii="仿宋" w:hAnsi="仿宋" w:eastAsia="仿宋" w:cs="仿宋"/>
          <w:color w:val="000000" w:themeColor="text1"/>
          <w:sz w:val="20"/>
          <w:szCs w:val="20"/>
          <w:highlight w:val="none"/>
          <w14:textFill>
            <w14:solidFill>
              <w14:schemeClr w14:val="tx1"/>
            </w14:solidFill>
          </w14:textFill>
        </w:rPr>
        <w:t>附件4：承包人用于本工程施工的机械设备表</w:t>
      </w:r>
      <w:bookmarkEnd w:id="459"/>
    </w:p>
    <w:p w14:paraId="0527AF82">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0" w:name="_Toc20672_WPSOffice_Level2"/>
      <w:r>
        <w:rPr>
          <w:rFonts w:hint="eastAsia" w:ascii="仿宋" w:hAnsi="仿宋" w:eastAsia="仿宋" w:cs="仿宋"/>
          <w:color w:val="000000" w:themeColor="text1"/>
          <w:sz w:val="20"/>
          <w:szCs w:val="20"/>
          <w:highlight w:val="none"/>
          <w14:textFill>
            <w14:solidFill>
              <w14:schemeClr w14:val="tx1"/>
            </w14:solidFill>
          </w14:textFill>
        </w:rPr>
        <w:t>附件5：承包人主要施工管理人员表</w:t>
      </w:r>
      <w:bookmarkEnd w:id="460"/>
    </w:p>
    <w:p w14:paraId="1EC52328">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1" w:name="_Toc10831_WPSOffice_Level2"/>
      <w:r>
        <w:rPr>
          <w:rFonts w:hint="eastAsia" w:ascii="仿宋" w:hAnsi="仿宋" w:eastAsia="仿宋" w:cs="仿宋"/>
          <w:color w:val="000000" w:themeColor="text1"/>
          <w:sz w:val="20"/>
          <w:szCs w:val="20"/>
          <w:highlight w:val="none"/>
          <w14:textFill>
            <w14:solidFill>
              <w14:schemeClr w14:val="tx1"/>
            </w14:solidFill>
          </w14:textFill>
        </w:rPr>
        <w:t>附件6：分包人主要施工管理人员表</w:t>
      </w:r>
      <w:bookmarkEnd w:id="461"/>
    </w:p>
    <w:p w14:paraId="1068FE60">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2" w:name="_Toc32020_WPSOffice_Level2"/>
      <w:r>
        <w:rPr>
          <w:rFonts w:hint="eastAsia" w:ascii="仿宋" w:hAnsi="仿宋" w:eastAsia="仿宋" w:cs="仿宋"/>
          <w:color w:val="000000" w:themeColor="text1"/>
          <w:sz w:val="20"/>
          <w:szCs w:val="20"/>
          <w:highlight w:val="none"/>
          <w14:textFill>
            <w14:solidFill>
              <w14:schemeClr w14:val="tx1"/>
            </w14:solidFill>
          </w14:textFill>
        </w:rPr>
        <w:t>附件7：暂估价一览表</w:t>
      </w:r>
      <w:bookmarkEnd w:id="462"/>
    </w:p>
    <w:p w14:paraId="691F8A88">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w:t>
      </w:r>
      <w:bookmarkStart w:id="463" w:name="_Toc296891265"/>
      <w:bookmarkStart w:id="464" w:name="_Toc296347224"/>
      <w:bookmarkStart w:id="465" w:name="_Toc296346726"/>
      <w:bookmarkStart w:id="466" w:name="_Toc296891053"/>
      <w:bookmarkStart w:id="467" w:name="_Toc296944564"/>
      <w:bookmarkStart w:id="468" w:name="_Toc267261692"/>
      <w:bookmarkStart w:id="469" w:name="_Toc296503225"/>
      <w:r>
        <w:rPr>
          <w:rFonts w:hint="eastAsia" w:ascii="仿宋" w:hAnsi="仿宋" w:eastAsia="仿宋" w:cs="仿宋"/>
          <w:b/>
          <w:color w:val="000000" w:themeColor="text1"/>
          <w:sz w:val="20"/>
          <w:szCs w:val="20"/>
          <w:highlight w:val="none"/>
          <w14:textFill>
            <w14:solidFill>
              <w14:schemeClr w14:val="tx1"/>
            </w14:solidFill>
          </w14:textFill>
        </w:rPr>
        <w:t>件1：</w:t>
      </w:r>
    </w:p>
    <w:bookmarkEnd w:id="463"/>
    <w:bookmarkEnd w:id="464"/>
    <w:bookmarkEnd w:id="465"/>
    <w:bookmarkEnd w:id="466"/>
    <w:bookmarkEnd w:id="467"/>
    <w:bookmarkEnd w:id="468"/>
    <w:bookmarkEnd w:id="469"/>
    <w:p w14:paraId="7475629E">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发包人供应材料设备一览表</w:t>
      </w:r>
    </w:p>
    <w:tbl>
      <w:tblPr>
        <w:tblStyle w:val="7"/>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2"/>
        <w:gridCol w:w="1276"/>
        <w:gridCol w:w="1418"/>
        <w:gridCol w:w="940"/>
        <w:gridCol w:w="851"/>
        <w:gridCol w:w="1044"/>
        <w:gridCol w:w="992"/>
        <w:gridCol w:w="851"/>
        <w:gridCol w:w="1270"/>
        <w:gridCol w:w="850"/>
      </w:tblGrid>
      <w:tr w14:paraId="51E1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0" w:hRule="atLeast"/>
          <w:jc w:val="center"/>
        </w:trPr>
        <w:tc>
          <w:tcPr>
            <w:tcW w:w="572" w:type="dxa"/>
            <w:noWrap w:val="0"/>
            <w:vAlign w:val="center"/>
          </w:tcPr>
          <w:p w14:paraId="136110A5">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276" w:type="dxa"/>
            <w:noWrap w:val="0"/>
            <w:vAlign w:val="center"/>
          </w:tcPr>
          <w:p w14:paraId="4BB03FFF">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材料、设备品种</w:t>
            </w:r>
          </w:p>
        </w:tc>
        <w:tc>
          <w:tcPr>
            <w:tcW w:w="1418" w:type="dxa"/>
            <w:noWrap w:val="0"/>
            <w:vAlign w:val="center"/>
          </w:tcPr>
          <w:p w14:paraId="0E56A49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规格型号</w:t>
            </w:r>
          </w:p>
        </w:tc>
        <w:tc>
          <w:tcPr>
            <w:tcW w:w="940" w:type="dxa"/>
            <w:noWrap w:val="0"/>
            <w:vAlign w:val="center"/>
          </w:tcPr>
          <w:p w14:paraId="30751BEF">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851" w:type="dxa"/>
            <w:noWrap w:val="0"/>
            <w:vAlign w:val="center"/>
          </w:tcPr>
          <w:p w14:paraId="12016C9A">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044" w:type="dxa"/>
            <w:noWrap w:val="0"/>
            <w:vAlign w:val="center"/>
          </w:tcPr>
          <w:p w14:paraId="433C404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w:t>
            </w:r>
          </w:p>
          <w:p w14:paraId="6A723921">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（元）</w:t>
            </w:r>
          </w:p>
        </w:tc>
        <w:tc>
          <w:tcPr>
            <w:tcW w:w="992" w:type="dxa"/>
            <w:noWrap w:val="0"/>
            <w:vAlign w:val="center"/>
          </w:tcPr>
          <w:p w14:paraId="5AABE50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质量</w:t>
            </w:r>
          </w:p>
          <w:p w14:paraId="0D6D1E7F">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等级</w:t>
            </w:r>
          </w:p>
        </w:tc>
        <w:tc>
          <w:tcPr>
            <w:tcW w:w="851" w:type="dxa"/>
            <w:noWrap w:val="0"/>
            <w:vAlign w:val="center"/>
          </w:tcPr>
          <w:p w14:paraId="406DAABA">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供应时间</w:t>
            </w:r>
          </w:p>
        </w:tc>
        <w:tc>
          <w:tcPr>
            <w:tcW w:w="1270" w:type="dxa"/>
            <w:noWrap w:val="0"/>
            <w:vAlign w:val="center"/>
          </w:tcPr>
          <w:p w14:paraId="7B6E103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送达地点</w:t>
            </w:r>
          </w:p>
        </w:tc>
        <w:tc>
          <w:tcPr>
            <w:tcW w:w="850" w:type="dxa"/>
            <w:noWrap w:val="0"/>
            <w:vAlign w:val="center"/>
          </w:tcPr>
          <w:p w14:paraId="7B1E1B7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0369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1419DC5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4896D04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CC6439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00D6208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35B95E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144C24B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6D23502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551C8B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1C2AB44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C59672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36A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287988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EAC249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819D14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08BA673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3356B7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73A9BD7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77A7BF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6F9FF33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46F71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3E96B0C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A94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3639B0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538ACD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17FB09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1F693C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ADEC86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24243D1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752D667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9DFF5F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2551F6D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43A558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B46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26EA16B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00855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C64E4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914458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80E4F2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7AAD2A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208522C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D7431C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62CA5BC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167FC0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264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1694659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6D9AD67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CE967D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43EC13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B792E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466FB3A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56A9C6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EF41D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08530D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AA0181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F4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39943DD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8ACD2B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42571A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1F2C7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A225E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5F423B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4690AB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43B1D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099F78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70ED78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B24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3DDE17C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3A296B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048EF0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44DDFD3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1AF957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28355E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9A91B0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DC2BA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0866E3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41AA06C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2E5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169F3BA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877752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B66AFD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ED053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91A71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6CF33E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34EE9F1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9AE05D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6D0FFF4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5FE0FAB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9E3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33D633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C4FE5E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22FD66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5B7B618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8855F0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5D61397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D1240C2">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135F3F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2340A9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440CBD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A7E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6779AB4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197F91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4E0651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6994CC2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246789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BAEF81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D8C202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EABF1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643C20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137B2A9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73F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5DC36E9D">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5584D4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7D524A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D34B75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3E3D8A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2004015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72BB83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DA9025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3C52A8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44C9BC5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3F3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39414E0D">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B77FDF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1AAF79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44905B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28A0117">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2756F8E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459CD8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D41BE7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0956291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C3EBA92">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E0D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11573A0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65465B1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23F55F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70F8FB1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94BF8B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265708A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2E4CE4E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170F00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7705AD7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C1598E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FBE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122F65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5A7421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92427F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D10A10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8D7D33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56794B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CDA3C0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296E65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369CC97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D11932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561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3C62255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777A25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57971B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447B2C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9B1B9B2">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546910E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2B7C188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6D3463E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4D9F94A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15E1752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7DA78404">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15F2ED4A">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附件2：</w:t>
      </w:r>
    </w:p>
    <w:p w14:paraId="16328F8C">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工程质量保修书</w:t>
      </w:r>
    </w:p>
    <w:p w14:paraId="1B2C1898">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（招标人）</w:t>
      </w:r>
    </w:p>
    <w:p w14:paraId="4CE174D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（供应商）</w:t>
      </w:r>
    </w:p>
    <w:p w14:paraId="1222793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为保证</w:t>
      </w:r>
      <w:r>
        <w:rPr>
          <w:rFonts w:hint="eastAsia" w:ascii="仿宋" w:hAnsi="仿宋" w:eastAsia="仿宋" w:cs="仿宋"/>
          <w:color w:val="000000" w:themeColor="text1"/>
          <w:sz w:val="20"/>
          <w:szCs w:val="20"/>
          <w:highlight w:val="none"/>
          <w:u w:val="single"/>
          <w14:textFill>
            <w14:solidFill>
              <w14:schemeClr w14:val="tx1"/>
            </w14:solidFill>
          </w14:textFill>
        </w:rPr>
        <w:t>（工程名称）</w:t>
      </w:r>
      <w:r>
        <w:rPr>
          <w:rFonts w:hint="eastAsia" w:ascii="仿宋" w:hAnsi="仿宋" w:eastAsia="仿宋" w:cs="仿宋"/>
          <w:color w:val="000000" w:themeColor="text1"/>
          <w:sz w:val="20"/>
          <w:szCs w:val="20"/>
          <w:highlight w:val="none"/>
          <w14:textFill>
            <w14:solidFill>
              <w14:schemeClr w14:val="tx1"/>
            </w14:solidFill>
          </w14:textFill>
        </w:rPr>
        <w:t>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687F701E">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1.质量保修范围</w:t>
      </w:r>
    </w:p>
    <w:p w14:paraId="1C8EF626">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修范围包括地基基础工程、主体结构工程、屋面防水工程、有防水要求的卫生间、房间、外墙面的防渗漏工程、电气管线工程、给排水管道工程、设备安装工程、供热、供冷系统工程、装饰装修工程以及双方约</w:t>
      </w:r>
      <w:r>
        <w:rPr>
          <w:rFonts w:hint="eastAsia" w:ascii="仿宋" w:hAnsi="仿宋" w:eastAsia="仿宋" w:cs="仿宋"/>
          <w:color w:val="000000" w:themeColor="text1"/>
          <w:sz w:val="20"/>
          <w:szCs w:val="20"/>
          <w:highlight w:val="none"/>
          <w:lang w:eastAsia="zh-CN"/>
          <w14:textFill>
            <w14:solidFill>
              <w14:schemeClr w14:val="tx1"/>
            </w14:solidFill>
          </w14:textFill>
        </w:rPr>
        <w:t>定的</w:t>
      </w:r>
      <w:r>
        <w:rPr>
          <w:rFonts w:hint="eastAsia" w:ascii="仿宋" w:hAnsi="仿宋" w:eastAsia="仿宋" w:cs="仿宋"/>
          <w:color w:val="000000" w:themeColor="text1"/>
          <w:sz w:val="20"/>
          <w:szCs w:val="20"/>
          <w:highlight w:val="none"/>
          <w14:textFill>
            <w14:solidFill>
              <w14:schemeClr w14:val="tx1"/>
            </w14:solidFill>
          </w14:textFill>
        </w:rPr>
        <w:t>其他项目。具体质量保修范围，双方约定如下：</w:t>
      </w:r>
    </w:p>
    <w:p w14:paraId="78771EF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p>
    <w:p w14:paraId="18AFB343">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p>
    <w:p w14:paraId="3D08936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p>
    <w:p w14:paraId="13E825DC">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2.质量保修期</w:t>
      </w:r>
    </w:p>
    <w:p w14:paraId="2F6D824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双方根据《建设工程质量管理条例》及有关规定，约定本工程质量保修期如下：</w:t>
      </w:r>
    </w:p>
    <w:p w14:paraId="4469C906">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（1）地基基础工程、主体结构工程为设计文件规定的合理使用年限；</w:t>
      </w:r>
    </w:p>
    <w:p w14:paraId="0948C6CB">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（2）屋面防水工程、有防水要求的卫生间、房间和外墙面的防渗漏工程为：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1BAA4325">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（3）电气管线工程、给排水管道、设备安装工程为：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75CEA59D">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（4）供热、供冷系统工程为：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个采暖期、供冷期；</w:t>
      </w:r>
    </w:p>
    <w:p w14:paraId="7E942931">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（5）装饰装修工程为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5A296A97">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（6）其他项目为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092650AC">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3.质量保修责任</w:t>
      </w:r>
    </w:p>
    <w:p w14:paraId="11EFD3C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3.1属于保修范围的项目，承包人应在接到通知后的7天内派人保修，承包人不在约定期限内派人保修，发包人可自行或指派第三方保修。</w:t>
      </w:r>
    </w:p>
    <w:p w14:paraId="2F3B2224">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3.2发生紧急抢修事故的，承包人在接到通知后，应立即到达事故现场抢修。</w:t>
      </w:r>
    </w:p>
    <w:p w14:paraId="65A2C05D">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3.3在国家规定的工程合理使用期限内，承包人应确保地基基础工程和主体结构的安全和质量。凡</w:t>
      </w:r>
      <w:r>
        <w:rPr>
          <w:rFonts w:hint="eastAsia" w:ascii="仿宋" w:hAnsi="仿宋" w:eastAsia="仿宋" w:cs="仿宋"/>
          <w:color w:val="000000" w:themeColor="text1"/>
          <w:sz w:val="20"/>
          <w:szCs w:val="20"/>
          <w:highlight w:val="none"/>
          <w:lang w:eastAsia="zh-CN"/>
          <w14:textFill>
            <w14:solidFill>
              <w14:schemeClr w14:val="tx1"/>
            </w14:solidFill>
          </w14:textFill>
        </w:rPr>
        <w:t>出现</w:t>
      </w:r>
      <w:r>
        <w:rPr>
          <w:rFonts w:hint="eastAsia" w:ascii="仿宋" w:hAnsi="仿宋" w:eastAsia="仿宋" w:cs="仿宋"/>
          <w:color w:val="000000" w:themeColor="text1"/>
          <w:sz w:val="20"/>
          <w:szCs w:val="20"/>
          <w:highlight w:val="none"/>
          <w14:textFill>
            <w14:solidFill>
              <w14:schemeClr w14:val="tx1"/>
            </w14:solidFill>
          </w14:textFill>
        </w:rPr>
        <w:t>质量问题，应立即报告当地建设行政主管部门，由设计单位提出保修方案，承包人应立即实施保修。</w:t>
      </w:r>
    </w:p>
    <w:p w14:paraId="1ED31466">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3.4质量保修完成后，由发包人组织验收。</w:t>
      </w:r>
    </w:p>
    <w:p w14:paraId="300B0DCC">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4.质量保修费用</w:t>
      </w:r>
    </w:p>
    <w:p w14:paraId="122ED021">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质量保修费用及相关的损害赔偿费，由造成质量缺陷的责任方承担。</w:t>
      </w:r>
    </w:p>
    <w:p w14:paraId="5DB2F30F">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5.质量保证金</w:t>
      </w:r>
    </w:p>
    <w:p w14:paraId="3738FC90">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质量保证金的使用、约定、支付、返还与本合同的质量保证金赋予的约定一致。</w:t>
      </w:r>
    </w:p>
    <w:p w14:paraId="47AF44AC">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6.其他</w:t>
      </w:r>
    </w:p>
    <w:p w14:paraId="4A592CB3">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6.1双方约定的</w:t>
      </w:r>
      <w:r>
        <w:rPr>
          <w:rFonts w:hint="eastAsia" w:ascii="仿宋" w:hAnsi="仿宋" w:eastAsia="仿宋" w:cs="仿宋"/>
          <w:color w:val="000000" w:themeColor="text1"/>
          <w:sz w:val="20"/>
          <w:szCs w:val="20"/>
          <w:highlight w:val="none"/>
          <w:lang w:eastAsia="zh-CN"/>
          <w14:textFill>
            <w14:solidFill>
              <w14:schemeClr w14:val="tx1"/>
            </w14:solidFill>
          </w14:textFill>
        </w:rPr>
        <w:t>其他</w:t>
      </w:r>
      <w:r>
        <w:rPr>
          <w:rFonts w:hint="eastAsia" w:ascii="仿宋" w:hAnsi="仿宋" w:eastAsia="仿宋" w:cs="仿宋"/>
          <w:color w:val="000000" w:themeColor="text1"/>
          <w:sz w:val="20"/>
          <w:szCs w:val="20"/>
          <w:highlight w:val="none"/>
          <w14:textFill>
            <w14:solidFill>
              <w14:schemeClr w14:val="tx1"/>
            </w14:solidFill>
          </w14:textFill>
        </w:rPr>
        <w:t>工程质量保修事项：</w:t>
      </w:r>
    </w:p>
    <w:p w14:paraId="09122DC3">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6.2本工程质量保修书，由发包人承包人在工程竣工验收前签署，作为合同附件，其有效期限至保修期满。</w:t>
      </w:r>
    </w:p>
    <w:p w14:paraId="527F2EA5">
      <w:pPr>
        <w:keepLines w:val="0"/>
        <w:pageBreakBefore w:val="0"/>
        <w:kinsoku/>
        <w:wordWrap/>
        <w:overflowPunct/>
        <w:topLinePunct w:val="0"/>
        <w:bidi w:val="0"/>
        <w:adjustRightInd w:val="0"/>
        <w:snapToGrid w:val="0"/>
        <w:spacing w:line="300" w:lineRule="auto"/>
        <w:ind w:firstLine="48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32D99B31">
      <w:pPr>
        <w:keepLines w:val="0"/>
        <w:pageBreakBefore w:val="0"/>
        <w:kinsoku/>
        <w:wordWrap/>
        <w:overflowPunct/>
        <w:topLinePunct w:val="0"/>
        <w:bidi w:val="0"/>
        <w:adjustRightInd w:val="0"/>
        <w:snapToGrid w:val="0"/>
        <w:spacing w:line="300" w:lineRule="auto"/>
        <w:ind w:firstLine="1200" w:firstLineChars="6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发包人（公章）：</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承包人（公章）：</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p>
    <w:p w14:paraId="21B19B6D">
      <w:pPr>
        <w:keepLines w:val="0"/>
        <w:pageBreakBefore w:val="0"/>
        <w:kinsoku/>
        <w:wordWrap/>
        <w:overflowPunct/>
        <w:topLinePunct w:val="0"/>
        <w:bidi w:val="0"/>
        <w:adjustRightInd w:val="0"/>
        <w:snapToGrid w:val="0"/>
        <w:spacing w:line="300" w:lineRule="auto"/>
        <w:ind w:firstLine="1200" w:firstLineChars="6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法定代表人（签名）：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法定代表人（签名）：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p>
    <w:p w14:paraId="7B008DC8">
      <w:pPr>
        <w:keepLines w:val="0"/>
        <w:pageBreakBefore w:val="0"/>
        <w:kinsoku/>
        <w:wordWrap/>
        <w:overflowPunct/>
        <w:topLinePunct w:val="0"/>
        <w:bidi w:val="0"/>
        <w:adjustRightInd w:val="0"/>
        <w:snapToGrid w:val="0"/>
        <w:spacing w:line="300" w:lineRule="auto"/>
        <w:ind w:firstLine="1200" w:firstLineChars="600"/>
        <w:textAlignment w:val="auto"/>
        <w:rPr>
          <w:rFonts w:hint="default" w:ascii="仿宋" w:hAnsi="仿宋" w:eastAsia="仿宋" w:cs="仿宋"/>
          <w:b/>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1162A72E">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附件3：</w:t>
      </w:r>
    </w:p>
    <w:p w14:paraId="33311E98">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主要建设工程文件目录</w:t>
      </w:r>
    </w:p>
    <w:tbl>
      <w:tblPr>
        <w:tblStyle w:val="7"/>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00B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1" w:hRule="atLeast"/>
          <w:jc w:val="center"/>
        </w:trPr>
        <w:tc>
          <w:tcPr>
            <w:tcW w:w="1953" w:type="dxa"/>
            <w:noWrap w:val="0"/>
            <w:vAlign w:val="center"/>
          </w:tcPr>
          <w:p w14:paraId="36984603">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文件名称</w:t>
            </w:r>
          </w:p>
        </w:tc>
        <w:tc>
          <w:tcPr>
            <w:tcW w:w="1276" w:type="dxa"/>
            <w:noWrap w:val="0"/>
            <w:vAlign w:val="center"/>
          </w:tcPr>
          <w:p w14:paraId="2AA0820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套数</w:t>
            </w:r>
          </w:p>
        </w:tc>
        <w:tc>
          <w:tcPr>
            <w:tcW w:w="1450" w:type="dxa"/>
            <w:noWrap w:val="0"/>
            <w:vAlign w:val="center"/>
          </w:tcPr>
          <w:p w14:paraId="16000BB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费用（元）</w:t>
            </w:r>
          </w:p>
        </w:tc>
        <w:tc>
          <w:tcPr>
            <w:tcW w:w="1243" w:type="dxa"/>
            <w:noWrap w:val="0"/>
            <w:vAlign w:val="center"/>
          </w:tcPr>
          <w:p w14:paraId="1A6AAA2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质量</w:t>
            </w:r>
          </w:p>
        </w:tc>
        <w:tc>
          <w:tcPr>
            <w:tcW w:w="1450" w:type="dxa"/>
            <w:noWrap w:val="0"/>
            <w:vAlign w:val="center"/>
          </w:tcPr>
          <w:p w14:paraId="476444F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移交时间</w:t>
            </w:r>
          </w:p>
        </w:tc>
        <w:tc>
          <w:tcPr>
            <w:tcW w:w="1667" w:type="dxa"/>
            <w:noWrap w:val="0"/>
            <w:vAlign w:val="center"/>
          </w:tcPr>
          <w:p w14:paraId="6BD41DA5">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责任人</w:t>
            </w:r>
          </w:p>
        </w:tc>
      </w:tr>
      <w:tr w14:paraId="1649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4CD15E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554ED3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7409336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48C272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56B2E9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75CAE6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112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4C2DF7D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FBEE2E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BA4DD7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13495EF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5CAE1E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08161CD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639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7B98AB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624FEB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20398B9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77A98E2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2B7C60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0FEDE3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2C0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C6FF9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17D649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77B503D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42CD108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24F51F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317A17F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FFA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36D4909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A5DB7F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BA42A9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30260B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8052B1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2ED5DEF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1E9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4CF4A11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C0C25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56820C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117CE98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A18C5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07008ED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393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59EB153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7A7DB6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DE217F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6E7982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72BF78B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00D3D10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0BF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57C0547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31A06F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F12747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4E032D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6F2489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245096E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A97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18B7EB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6A0C0B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46BCBC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307067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450368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038EA26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CC0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99DF43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91B55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7681C14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5D0939C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17F42D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1E05819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070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555B24C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6A74AB5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72069D7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7C9907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082494C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52DFCA3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91D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49939C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443C5D8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F639A6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742879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A4E76F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0092481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FF2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0307628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669BCD6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E8E10D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581F19C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ADAAD6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307F8EF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0C1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C31A4A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4EEAD32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D9BA9B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91369B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0ABD590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75C5539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2DC8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6A72E8D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08F7FBE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3E6971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7AF05DC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C1D471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72E7C98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8CD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3E4E50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09664D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E2B11C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59733AF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FB1621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774F45B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B88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01CDDF6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11DE329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F62A9A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1AB228D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1CD531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092F594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A4D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BF5332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253AA54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C49771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36CDA48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A17D2D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6FCC6E0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49DB62FD">
      <w:pPr>
        <w:keepLines w:val="0"/>
        <w:pageBreakBefore w:val="0"/>
        <w:widowControl/>
        <w:kinsoku/>
        <w:wordWrap/>
        <w:overflowPunct/>
        <w:topLinePunct w:val="0"/>
        <w:bidi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6F7B1B51">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bookmarkStart w:id="470" w:name="_Toc23281_WPSOffice_Level2"/>
      <w:r>
        <w:rPr>
          <w:rFonts w:hint="eastAsia" w:ascii="仿宋" w:hAnsi="仿宋" w:eastAsia="仿宋" w:cs="仿宋"/>
          <w:b/>
          <w:color w:val="000000" w:themeColor="text1"/>
          <w:sz w:val="20"/>
          <w:szCs w:val="20"/>
          <w:highlight w:val="none"/>
          <w14:textFill>
            <w14:solidFill>
              <w14:schemeClr w14:val="tx1"/>
            </w14:solidFill>
          </w14:textFill>
        </w:rPr>
        <w:t>附</w:t>
      </w:r>
      <w:bookmarkStart w:id="471" w:name="_Toc296891055"/>
      <w:bookmarkStart w:id="472" w:name="_Toc296891267"/>
      <w:bookmarkStart w:id="473" w:name="_Toc296503227"/>
      <w:bookmarkStart w:id="474" w:name="_Toc296944566"/>
      <w:bookmarkStart w:id="475" w:name="_Toc296347226"/>
      <w:bookmarkStart w:id="476" w:name="_Toc296346728"/>
      <w:bookmarkStart w:id="477" w:name="_Toc267261698"/>
      <w:r>
        <w:rPr>
          <w:rFonts w:hint="eastAsia" w:ascii="仿宋" w:hAnsi="仿宋" w:eastAsia="仿宋" w:cs="仿宋"/>
          <w:b/>
          <w:color w:val="000000" w:themeColor="text1"/>
          <w:sz w:val="20"/>
          <w:szCs w:val="20"/>
          <w:highlight w:val="none"/>
          <w14:textFill>
            <w14:solidFill>
              <w14:schemeClr w14:val="tx1"/>
            </w14:solidFill>
          </w14:textFill>
        </w:rPr>
        <w:t>件4：</w:t>
      </w:r>
      <w:bookmarkEnd w:id="470"/>
    </w:p>
    <w:bookmarkEnd w:id="471"/>
    <w:bookmarkEnd w:id="472"/>
    <w:bookmarkEnd w:id="473"/>
    <w:bookmarkEnd w:id="474"/>
    <w:bookmarkEnd w:id="475"/>
    <w:bookmarkEnd w:id="476"/>
    <w:bookmarkEnd w:id="477"/>
    <w:p w14:paraId="594A14AC">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承包人用于本工程施工的机械设备表</w:t>
      </w:r>
    </w:p>
    <w:tbl>
      <w:tblPr>
        <w:tblStyle w:val="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A2E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4" w:hRule="atLeast"/>
          <w:jc w:val="center"/>
        </w:trPr>
        <w:tc>
          <w:tcPr>
            <w:tcW w:w="1162" w:type="dxa"/>
            <w:noWrap w:val="0"/>
            <w:vAlign w:val="center"/>
          </w:tcPr>
          <w:p w14:paraId="2FC8C6D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418" w:type="dxa"/>
            <w:noWrap w:val="0"/>
            <w:vAlign w:val="center"/>
          </w:tcPr>
          <w:p w14:paraId="7D0CB52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机械或设备</w:t>
            </w:r>
          </w:p>
          <w:p w14:paraId="2E25443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0" w:type="dxa"/>
            <w:noWrap w:val="0"/>
            <w:vAlign w:val="center"/>
          </w:tcPr>
          <w:p w14:paraId="06DC9C9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规格</w:t>
            </w:r>
          </w:p>
          <w:p w14:paraId="0905093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型号</w:t>
            </w:r>
          </w:p>
        </w:tc>
        <w:tc>
          <w:tcPr>
            <w:tcW w:w="1058" w:type="dxa"/>
            <w:noWrap w:val="0"/>
            <w:vAlign w:val="center"/>
          </w:tcPr>
          <w:p w14:paraId="56B3073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880" w:type="dxa"/>
            <w:noWrap w:val="0"/>
            <w:vAlign w:val="center"/>
          </w:tcPr>
          <w:p w14:paraId="6C16B9D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产地</w:t>
            </w:r>
          </w:p>
        </w:tc>
        <w:tc>
          <w:tcPr>
            <w:tcW w:w="1020" w:type="dxa"/>
            <w:noWrap w:val="0"/>
            <w:vAlign w:val="center"/>
          </w:tcPr>
          <w:p w14:paraId="0D44F56A">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制造</w:t>
            </w:r>
          </w:p>
          <w:p w14:paraId="3390DA9C">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年份</w:t>
            </w:r>
          </w:p>
        </w:tc>
        <w:tc>
          <w:tcPr>
            <w:tcW w:w="1480" w:type="dxa"/>
            <w:noWrap w:val="0"/>
            <w:vAlign w:val="center"/>
          </w:tcPr>
          <w:p w14:paraId="0F9E9D9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额定功率</w:t>
            </w:r>
          </w:p>
          <w:p w14:paraId="1755E1BF">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(kW)</w:t>
            </w:r>
          </w:p>
        </w:tc>
        <w:tc>
          <w:tcPr>
            <w:tcW w:w="1020" w:type="dxa"/>
            <w:noWrap w:val="0"/>
            <w:vAlign w:val="center"/>
          </w:tcPr>
          <w:p w14:paraId="21575111">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生产</w:t>
            </w:r>
          </w:p>
          <w:p w14:paraId="63A13F95">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能力</w:t>
            </w:r>
          </w:p>
        </w:tc>
        <w:tc>
          <w:tcPr>
            <w:tcW w:w="921" w:type="dxa"/>
            <w:noWrap w:val="0"/>
            <w:vAlign w:val="center"/>
          </w:tcPr>
          <w:p w14:paraId="7E6E7EC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3F89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657224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3D7CF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4804F9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4BF9B55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4EC9714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9679DF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34A976D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BB31B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22AA2CA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CC5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804A05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BAB0E2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93744B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149D992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1DC62A9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4960E9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008C9D1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E93FB2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5906BEA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049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D23874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741D8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E5876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65A3BDE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2F84E1B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11AE18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285F5ED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292C97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11463A1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2D6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6A000C7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17F9B7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F6EE5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1A1E72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0C62946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B5048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3640F2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030DE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7949CFD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E41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5277C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3997B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4421CC1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5E1663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5003B3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0A8679D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4FB5202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16FD32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67F1AD5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92A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3CD744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3E3B38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10DA7DB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3BC1BA5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40D7174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22E25B5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709DB38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01D60BA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6B9E8A5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C55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586114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5DA16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D0CEF0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59F86AC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31434A0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177C3A0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4DF598F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61C46B9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1B5C173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35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970410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ADDC5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16F5C8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04FCCDF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6FA454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61E02E4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5FAB7EF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29BF6E3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44E1B02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CE5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ADDD78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7C383D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2848422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5C7D54B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1500289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06C6D28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2777E6D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0C41B2D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7FD8E9F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EBF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23E782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E3CE3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609FB7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44298A7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7EED159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DFE1B8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74F16DD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1066BF7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4E1F794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60F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2F6B11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87DD74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1830FA4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22A7341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5403260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3444DAA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150C842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0313689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6FE8319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DAE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65D793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906317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0C92CE5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413A9C1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265ACF0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094C3DE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5258F97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2942EE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0566973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B75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7F9BC3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18A8E8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6F26E9A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1E1EA0E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049E077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7E8359A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562BA48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27C219E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6E31219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F0D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7853CD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422A99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0A28FD2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5A35A0A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1E7062D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5AF57C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6C740FA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390AF77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3598C27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7D9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5550C8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FAE69B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5142769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5476161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30BD7F7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37070A5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3590589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2B73900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63E7DE4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BF6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00CB69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1F1DB1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6CE4300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3358BAE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66D4389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2D0E198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739BF20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62140BF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5922A47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29926DB5">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00D03745">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w:t>
      </w:r>
      <w:bookmarkStart w:id="478" w:name="_Toc296891056"/>
      <w:bookmarkStart w:id="479" w:name="_Toc296944567"/>
      <w:bookmarkStart w:id="480" w:name="_Toc296503228"/>
      <w:bookmarkStart w:id="481" w:name="_Toc296891268"/>
      <w:bookmarkStart w:id="482" w:name="_Toc296347227"/>
      <w:bookmarkStart w:id="483" w:name="_Toc267261699"/>
      <w:bookmarkStart w:id="484" w:name="_Toc296346729"/>
      <w:r>
        <w:rPr>
          <w:rFonts w:hint="eastAsia" w:ascii="仿宋" w:hAnsi="仿宋" w:eastAsia="仿宋" w:cs="仿宋"/>
          <w:b/>
          <w:color w:val="000000" w:themeColor="text1"/>
          <w:sz w:val="20"/>
          <w:szCs w:val="20"/>
          <w:highlight w:val="none"/>
          <w14:textFill>
            <w14:solidFill>
              <w14:schemeClr w14:val="tx1"/>
            </w14:solidFill>
          </w14:textFill>
        </w:rPr>
        <w:t>件5：</w:t>
      </w:r>
    </w:p>
    <w:bookmarkEnd w:id="478"/>
    <w:bookmarkEnd w:id="479"/>
    <w:bookmarkEnd w:id="480"/>
    <w:bookmarkEnd w:id="481"/>
    <w:bookmarkEnd w:id="482"/>
    <w:bookmarkEnd w:id="483"/>
    <w:bookmarkEnd w:id="484"/>
    <w:p w14:paraId="7CC8252B">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B6D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3" w:hRule="atLeast"/>
          <w:jc w:val="center"/>
        </w:trPr>
        <w:tc>
          <w:tcPr>
            <w:tcW w:w="1871" w:type="dxa"/>
            <w:noWrap w:val="0"/>
            <w:vAlign w:val="center"/>
          </w:tcPr>
          <w:p w14:paraId="0D275D1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1418" w:type="dxa"/>
            <w:noWrap w:val="0"/>
            <w:vAlign w:val="center"/>
          </w:tcPr>
          <w:p w14:paraId="5502C1F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1134" w:type="dxa"/>
            <w:noWrap w:val="0"/>
            <w:vAlign w:val="center"/>
          </w:tcPr>
          <w:p w14:paraId="62C62CE9">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1134" w:type="dxa"/>
            <w:noWrap w:val="0"/>
            <w:vAlign w:val="center"/>
          </w:tcPr>
          <w:p w14:paraId="453E409F">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c>
          <w:tcPr>
            <w:tcW w:w="4252" w:type="dxa"/>
            <w:noWrap w:val="0"/>
            <w:vAlign w:val="center"/>
          </w:tcPr>
          <w:p w14:paraId="6864A11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主要资历、经验及承担过的项目</w:t>
            </w:r>
          </w:p>
        </w:tc>
      </w:tr>
      <w:tr w14:paraId="0796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290EA5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一、总部人员</w:t>
            </w:r>
          </w:p>
        </w:tc>
      </w:tr>
      <w:tr w14:paraId="50DE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C960E22">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项目主管</w:t>
            </w:r>
          </w:p>
        </w:tc>
        <w:tc>
          <w:tcPr>
            <w:tcW w:w="1418" w:type="dxa"/>
            <w:noWrap w:val="0"/>
            <w:vAlign w:val="center"/>
          </w:tcPr>
          <w:p w14:paraId="40A091D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3342D8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354F85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0A30DF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E4B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7A4ADDF">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A96A3A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D161FF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9B1D64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636A9B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45C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23193C8">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6B30304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44DA1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6497E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498560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41D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DF4D87C">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CB8D06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846219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1B769B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C3436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0BD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0FB884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二、现场人员</w:t>
            </w:r>
          </w:p>
        </w:tc>
      </w:tr>
      <w:tr w14:paraId="51EF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A0BA2FC">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项目经理</w:t>
            </w:r>
          </w:p>
        </w:tc>
        <w:tc>
          <w:tcPr>
            <w:tcW w:w="1418" w:type="dxa"/>
            <w:noWrap w:val="0"/>
            <w:vAlign w:val="center"/>
          </w:tcPr>
          <w:p w14:paraId="3788F08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08B9C4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A53473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AD29CB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6D1C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590FCAD">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项目副经理</w:t>
            </w:r>
          </w:p>
        </w:tc>
        <w:tc>
          <w:tcPr>
            <w:tcW w:w="1418" w:type="dxa"/>
            <w:noWrap w:val="0"/>
            <w:vAlign w:val="center"/>
          </w:tcPr>
          <w:p w14:paraId="5786FA1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1AED67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A42311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EBEE80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02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1779305">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技术负责人</w:t>
            </w:r>
          </w:p>
        </w:tc>
        <w:tc>
          <w:tcPr>
            <w:tcW w:w="1418" w:type="dxa"/>
            <w:noWrap w:val="0"/>
            <w:vAlign w:val="center"/>
          </w:tcPr>
          <w:p w14:paraId="1837E74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A6DA7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A24BE5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83E820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089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6AC5679">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造价管理</w:t>
            </w:r>
          </w:p>
        </w:tc>
        <w:tc>
          <w:tcPr>
            <w:tcW w:w="1418" w:type="dxa"/>
            <w:noWrap w:val="0"/>
            <w:vAlign w:val="center"/>
          </w:tcPr>
          <w:p w14:paraId="32A728F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D8558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E0503B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FAFB4E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64E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8F1F08A">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质量管理</w:t>
            </w:r>
          </w:p>
        </w:tc>
        <w:tc>
          <w:tcPr>
            <w:tcW w:w="1418" w:type="dxa"/>
            <w:noWrap w:val="0"/>
            <w:vAlign w:val="center"/>
          </w:tcPr>
          <w:p w14:paraId="51F7369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32877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A8071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8BF114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19C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CE24279">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材料管理</w:t>
            </w:r>
          </w:p>
        </w:tc>
        <w:tc>
          <w:tcPr>
            <w:tcW w:w="1418" w:type="dxa"/>
            <w:noWrap w:val="0"/>
            <w:vAlign w:val="center"/>
          </w:tcPr>
          <w:p w14:paraId="08C533D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F5FC9C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FD485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63C3D9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B4D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A95FB92">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计划管理</w:t>
            </w:r>
          </w:p>
        </w:tc>
        <w:tc>
          <w:tcPr>
            <w:tcW w:w="1418" w:type="dxa"/>
            <w:noWrap w:val="0"/>
            <w:vAlign w:val="center"/>
          </w:tcPr>
          <w:p w14:paraId="39BD872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E055E2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A4C2D5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E4D21F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14E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15CC0EC">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安全管理</w:t>
            </w:r>
          </w:p>
        </w:tc>
        <w:tc>
          <w:tcPr>
            <w:tcW w:w="1418" w:type="dxa"/>
            <w:noWrap w:val="0"/>
            <w:vAlign w:val="center"/>
          </w:tcPr>
          <w:p w14:paraId="464A3E7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928F28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44040F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D77E4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626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14:paraId="19FF7F7D">
            <w:pPr>
              <w:pStyle w:val="3"/>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2D5D64C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F732F2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01AB24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AB9BE0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C89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14:paraId="2974935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32423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E1CDD5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B04313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E3C7AF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CCCF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14:paraId="6A717B3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DF8717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9035E2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27DDD0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30AE4D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3DF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14:paraId="21C0F12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D33AFF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FEB991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29BA9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E3E824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84B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14:paraId="4AA1F1E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167B1C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45F1C2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315B09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2860F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EBA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C560A7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038E4D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C94BC2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F661F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B2CA46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26435BE6">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7F61452F">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85" w:name="_Toc12720_WPSOffice_Level2"/>
      <w:r>
        <w:rPr>
          <w:rFonts w:hint="eastAsia" w:ascii="仿宋" w:hAnsi="仿宋" w:eastAsia="仿宋" w:cs="仿宋"/>
          <w:b/>
          <w:color w:val="000000" w:themeColor="text1"/>
          <w:sz w:val="20"/>
          <w:szCs w:val="20"/>
          <w:highlight w:val="none"/>
          <w14:textFill>
            <w14:solidFill>
              <w14:schemeClr w14:val="tx1"/>
            </w14:solidFill>
          </w14:textFill>
        </w:rPr>
        <w:t>附</w:t>
      </w:r>
      <w:bookmarkStart w:id="486" w:name="_Toc296944568"/>
      <w:bookmarkStart w:id="487" w:name="_Toc296503229"/>
      <w:bookmarkStart w:id="488" w:name="_Toc296891057"/>
      <w:bookmarkStart w:id="489" w:name="_Toc296347228"/>
      <w:bookmarkStart w:id="490" w:name="_Toc296891269"/>
      <w:bookmarkStart w:id="491" w:name="_Toc296346730"/>
      <w:r>
        <w:rPr>
          <w:rFonts w:hint="eastAsia" w:ascii="仿宋" w:hAnsi="仿宋" w:eastAsia="仿宋" w:cs="仿宋"/>
          <w:b/>
          <w:color w:val="000000" w:themeColor="text1"/>
          <w:sz w:val="20"/>
          <w:szCs w:val="20"/>
          <w:highlight w:val="none"/>
          <w14:textFill>
            <w14:solidFill>
              <w14:schemeClr w14:val="tx1"/>
            </w14:solidFill>
          </w14:textFill>
        </w:rPr>
        <w:t>件6：</w:t>
      </w:r>
      <w:bookmarkEnd w:id="485"/>
    </w:p>
    <w:bookmarkEnd w:id="486"/>
    <w:bookmarkEnd w:id="487"/>
    <w:bookmarkEnd w:id="488"/>
    <w:bookmarkEnd w:id="489"/>
    <w:bookmarkEnd w:id="490"/>
    <w:bookmarkEnd w:id="491"/>
    <w:p w14:paraId="4B3BE7D9">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分包人主要施工管理人员表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7753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1" w:hRule="atLeast"/>
          <w:jc w:val="center"/>
        </w:trPr>
        <w:tc>
          <w:tcPr>
            <w:tcW w:w="1871" w:type="dxa"/>
            <w:noWrap w:val="0"/>
            <w:vAlign w:val="center"/>
          </w:tcPr>
          <w:p w14:paraId="6B685A3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1418" w:type="dxa"/>
            <w:noWrap w:val="0"/>
            <w:vAlign w:val="center"/>
          </w:tcPr>
          <w:p w14:paraId="01DB46A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1134" w:type="dxa"/>
            <w:noWrap w:val="0"/>
            <w:vAlign w:val="center"/>
          </w:tcPr>
          <w:p w14:paraId="4FABAE6A">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1134" w:type="dxa"/>
            <w:noWrap w:val="0"/>
            <w:vAlign w:val="center"/>
          </w:tcPr>
          <w:p w14:paraId="2B09B417">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c>
          <w:tcPr>
            <w:tcW w:w="4252" w:type="dxa"/>
            <w:noWrap w:val="0"/>
            <w:vAlign w:val="center"/>
          </w:tcPr>
          <w:p w14:paraId="79D477C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主要资历、经验及承担过的项目</w:t>
            </w:r>
          </w:p>
        </w:tc>
      </w:tr>
      <w:tr w14:paraId="3421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61981A6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一、总部人员</w:t>
            </w:r>
          </w:p>
        </w:tc>
      </w:tr>
      <w:tr w14:paraId="6766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69CC70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项目主管</w:t>
            </w:r>
          </w:p>
        </w:tc>
        <w:tc>
          <w:tcPr>
            <w:tcW w:w="1418" w:type="dxa"/>
            <w:noWrap w:val="0"/>
            <w:vAlign w:val="center"/>
          </w:tcPr>
          <w:p w14:paraId="6969356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4EC509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FBBBE6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AEB6B9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085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25CEFD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780FF9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DD2E22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96323B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164B8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A41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8970A9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4B365C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BDBA5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88DC2D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8B7CF3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00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05135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617229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794696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87465B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CC48F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EE7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5AFB2F9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二、现场人员</w:t>
            </w:r>
          </w:p>
        </w:tc>
      </w:tr>
      <w:tr w14:paraId="65CF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116CD1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项目经理</w:t>
            </w:r>
          </w:p>
        </w:tc>
        <w:tc>
          <w:tcPr>
            <w:tcW w:w="1418" w:type="dxa"/>
            <w:noWrap w:val="0"/>
            <w:vAlign w:val="center"/>
          </w:tcPr>
          <w:p w14:paraId="3093582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6BF7D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FACD55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D660E6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483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45961F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项目副经理</w:t>
            </w:r>
          </w:p>
        </w:tc>
        <w:tc>
          <w:tcPr>
            <w:tcW w:w="1418" w:type="dxa"/>
            <w:noWrap w:val="0"/>
            <w:vAlign w:val="center"/>
          </w:tcPr>
          <w:p w14:paraId="7F7FBA5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C7071B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C6C076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51B420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6A7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A3F22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技术负责人</w:t>
            </w:r>
          </w:p>
        </w:tc>
        <w:tc>
          <w:tcPr>
            <w:tcW w:w="1418" w:type="dxa"/>
            <w:noWrap w:val="0"/>
            <w:vAlign w:val="center"/>
          </w:tcPr>
          <w:p w14:paraId="288EE88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EC4BA0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5BDEC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F9390F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EF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A2606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造价管理</w:t>
            </w:r>
          </w:p>
        </w:tc>
        <w:tc>
          <w:tcPr>
            <w:tcW w:w="1418" w:type="dxa"/>
            <w:noWrap w:val="0"/>
            <w:vAlign w:val="center"/>
          </w:tcPr>
          <w:p w14:paraId="075546E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B1DA61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D523A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B4F0FA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707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A69DE4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质量管理</w:t>
            </w:r>
          </w:p>
        </w:tc>
        <w:tc>
          <w:tcPr>
            <w:tcW w:w="1418" w:type="dxa"/>
            <w:noWrap w:val="0"/>
            <w:vAlign w:val="center"/>
          </w:tcPr>
          <w:p w14:paraId="510F5BE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B16EE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217405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E95D80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D55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3B0474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材料管理</w:t>
            </w:r>
          </w:p>
        </w:tc>
        <w:tc>
          <w:tcPr>
            <w:tcW w:w="1418" w:type="dxa"/>
            <w:noWrap w:val="0"/>
            <w:vAlign w:val="center"/>
          </w:tcPr>
          <w:p w14:paraId="647E096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5165FA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47FFE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4D5F9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08A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504FE2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计划管理</w:t>
            </w:r>
          </w:p>
        </w:tc>
        <w:tc>
          <w:tcPr>
            <w:tcW w:w="1418" w:type="dxa"/>
            <w:noWrap w:val="0"/>
            <w:vAlign w:val="center"/>
          </w:tcPr>
          <w:p w14:paraId="55D8E18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29DFB6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D68CD5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EE9BD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2F9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6DEF1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安全管理</w:t>
            </w:r>
          </w:p>
        </w:tc>
        <w:tc>
          <w:tcPr>
            <w:tcW w:w="1418" w:type="dxa"/>
            <w:noWrap w:val="0"/>
            <w:vAlign w:val="center"/>
          </w:tcPr>
          <w:p w14:paraId="055065D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633CB1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196503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93A86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916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4B8003F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6C6010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492F15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D08B7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E56AEB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CFA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6597DE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F6EBB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987FF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3D92C5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905906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6DE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2FB156B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45FCA0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E4257C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05A371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134F3D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640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11C400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0F47F8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8E5DF1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F4B6B2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DCBA83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C1F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0907DE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3B75AA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DC7517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C1ED0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22CF4D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48A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975333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333150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016A8C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0652E5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1B5E83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54FD8808">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406AEEE7">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92" w:name="_Toc10953_WPSOffice_Level2"/>
      <w:r>
        <w:rPr>
          <w:rFonts w:hint="eastAsia" w:ascii="仿宋" w:hAnsi="仿宋" w:eastAsia="仿宋" w:cs="仿宋"/>
          <w:b/>
          <w:color w:val="000000" w:themeColor="text1"/>
          <w:sz w:val="20"/>
          <w:szCs w:val="20"/>
          <w:highlight w:val="none"/>
          <w14:textFill>
            <w14:solidFill>
              <w14:schemeClr w14:val="tx1"/>
            </w14:solidFill>
          </w14:textFill>
        </w:rPr>
        <w:t>附件7：</w:t>
      </w:r>
      <w:bookmarkEnd w:id="492"/>
    </w:p>
    <w:p w14:paraId="56E01953">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93" w:name="_Toc12359_WPSOffice_Level2"/>
      <w:r>
        <w:rPr>
          <w:rFonts w:hint="eastAsia" w:ascii="仿宋" w:hAnsi="仿宋" w:eastAsia="仿宋" w:cs="仿宋"/>
          <w:b/>
          <w:color w:val="000000" w:themeColor="text1"/>
          <w:sz w:val="20"/>
          <w:szCs w:val="20"/>
          <w:highlight w:val="none"/>
          <w14:textFill>
            <w14:solidFill>
              <w14:schemeClr w14:val="tx1"/>
            </w14:solidFill>
          </w14:textFill>
        </w:rPr>
        <w:t>7-1：材料暂估价表</w:t>
      </w:r>
      <w:bookmarkEnd w:id="493"/>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AF8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2" w:hRule="atLeast"/>
        </w:trPr>
        <w:tc>
          <w:tcPr>
            <w:tcW w:w="993" w:type="dxa"/>
            <w:noWrap w:val="0"/>
            <w:vAlign w:val="center"/>
          </w:tcPr>
          <w:p w14:paraId="221B96AE">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082DEFD6">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008868F0">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3D6C72C5">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50E969F3">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单价（元）</w:t>
            </w:r>
          </w:p>
        </w:tc>
        <w:tc>
          <w:tcPr>
            <w:tcW w:w="1418" w:type="dxa"/>
            <w:noWrap w:val="0"/>
            <w:vAlign w:val="center"/>
          </w:tcPr>
          <w:p w14:paraId="44A89F04">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p>
        </w:tc>
        <w:tc>
          <w:tcPr>
            <w:tcW w:w="1701" w:type="dxa"/>
            <w:noWrap w:val="0"/>
            <w:vAlign w:val="center"/>
          </w:tcPr>
          <w:p w14:paraId="6FE4E0F8">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418F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18A6AC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F4EAE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521EF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1A0E78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C563B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82D5E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4B7934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EBA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F4D4AF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C93251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2118C9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059DA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E5DDA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651141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AD3C0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8FB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A0E2F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24367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6185EB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B70D95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7EAD51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97385B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56EF3E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0E6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F7869A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DC57C6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38158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ABD64B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A972F0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3E7F3C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2FAF1D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3AB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EEED2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7231D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F0CCC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E8FBA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DC9B1C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14482E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C7E9F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0AD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38AE18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4A48E8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2DEE54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07F27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991D6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5AF080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4B479E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575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820AB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26D2D2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1D5D6A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731315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19B8C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6F5B4E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01CF23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CD3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C20D9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7DABBF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B6060B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1CAD1E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F24C8A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089DCC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3A6EC5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258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742506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D59956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98D76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387E07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9396FA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007918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F98241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89B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C4A7AC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1EE946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ED5758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58D068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77BA8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775AD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1B2014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BE0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6EAB64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871443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77D9E9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56054F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6E1388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CB186D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6EB536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2CA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35D24D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63A412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98E5AB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7CAB41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0990A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6C9932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771626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0A0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5CD2E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237019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9BA64F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850376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DB7B5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CD0B62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1A5091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E11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1D200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95A91E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7F8CA6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92CBA0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C41E6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C5FDE6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C8E017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B44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A3CC5F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C5FCAC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286E83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8251EF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134FC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F4EC08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742725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F5B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4B441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84E77F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3C778F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45A2EB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F34EC5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8D9BB1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E852A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542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900CCD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A76546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A1D8B5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6B742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2B8198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648832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DE6392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6633BD0C">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77E4414B">
      <w:pPr>
        <w:pStyle w:val="6"/>
        <w:keepLines w:val="0"/>
        <w:pageBreakBefore w:val="0"/>
        <w:kinsoku/>
        <w:wordWrap/>
        <w:overflowPunct/>
        <w:topLinePunct w:val="0"/>
        <w:bidi w:val="0"/>
        <w:spacing w:after="0" w:line="300" w:lineRule="auto"/>
        <w:ind w:firstLine="210"/>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7-2：工程设备暂估价表</w:t>
      </w:r>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B54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0" w:hRule="atLeast"/>
        </w:trPr>
        <w:tc>
          <w:tcPr>
            <w:tcW w:w="993" w:type="dxa"/>
            <w:noWrap w:val="0"/>
            <w:vAlign w:val="center"/>
          </w:tcPr>
          <w:p w14:paraId="14E8D0C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788594F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57481C6B">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685DD7DC">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4E394FF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单价（元）</w:t>
            </w:r>
          </w:p>
        </w:tc>
        <w:tc>
          <w:tcPr>
            <w:tcW w:w="1418" w:type="dxa"/>
            <w:noWrap w:val="0"/>
            <w:vAlign w:val="center"/>
          </w:tcPr>
          <w:p w14:paraId="466900A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p>
        </w:tc>
        <w:tc>
          <w:tcPr>
            <w:tcW w:w="1701" w:type="dxa"/>
            <w:noWrap w:val="0"/>
            <w:vAlign w:val="center"/>
          </w:tcPr>
          <w:p w14:paraId="32AEFA7E">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7CA66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81B72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73FBFD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A3A511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751DE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3A746D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F5966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6E2EAB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E73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232E0E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63F8A4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DDA336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43B430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D46F6C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78EBEA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55EE6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C74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D1FDB9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45761A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D77022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14477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236B8D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1042D6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AE9A7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293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94776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CE7B5F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3BD29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75CB7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AA7180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3DE091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422F9B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977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65C8DD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67ED6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12114D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2C6FEE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DBEA25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6BC927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879E40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A09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7BB51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4610A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E8D8D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AD6A08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902E6B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95886B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613B56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505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1FDCD1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E049EB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51500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8F61F7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1EB52B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1A6857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AECC14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DD5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BC0D02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C3292A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FFC27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EC6878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6B6655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F6A088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AB6C77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8E9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3D381D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D4526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6A615A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08FB0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A057BA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A3D847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7A66F4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BC9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71D5A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1410EE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12405A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CD7CF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3E8168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7AFBF7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8618D6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ED1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8708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BCC361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4E17C4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AACF74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3DFFA9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DF44AE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EAFED9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71B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2E88D8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A14CED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FE5D58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A4611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A20E14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C77FD8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79923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754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7C04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5D59B8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93D48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182A8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9C8801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AA1E6C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F731CE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175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20AA4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B26470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0C05DE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4C4B56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9BF930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394D3A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89E87A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3122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2723D0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3CA1E8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77D7FD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0497D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699391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887C67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EF2BBD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415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F2AB4C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D4A3F5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53B502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B54DF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6F48DF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906EA4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290B5F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9A3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602061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19518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373CF7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4AB382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116330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4A0AA7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DE95A0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51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13374D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3A909A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E35D2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F3E0FF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87A167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0917E6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592F6C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1A41F231">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61567BFE">
      <w:pPr>
        <w:pStyle w:val="6"/>
        <w:keepLines w:val="0"/>
        <w:pageBreakBefore w:val="0"/>
        <w:kinsoku/>
        <w:wordWrap/>
        <w:overflowPunct/>
        <w:topLinePunct w:val="0"/>
        <w:bidi w:val="0"/>
        <w:spacing w:after="0" w:line="300" w:lineRule="auto"/>
        <w:ind w:firstLine="210"/>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94" w:name="_Toc27977_WPSOffice_Level2"/>
      <w:r>
        <w:rPr>
          <w:rFonts w:hint="eastAsia" w:ascii="仿宋" w:hAnsi="仿宋" w:eastAsia="仿宋" w:cs="仿宋"/>
          <w:b/>
          <w:color w:val="000000" w:themeColor="text1"/>
          <w:sz w:val="20"/>
          <w:szCs w:val="20"/>
          <w:highlight w:val="none"/>
          <w14:textFill>
            <w14:solidFill>
              <w14:schemeClr w14:val="tx1"/>
            </w14:solidFill>
          </w14:textFill>
        </w:rPr>
        <w:t>7-3：专业工程暂估价表</w:t>
      </w:r>
      <w:bookmarkEnd w:id="494"/>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412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atLeast"/>
        </w:trPr>
        <w:tc>
          <w:tcPr>
            <w:tcW w:w="993" w:type="dxa"/>
            <w:noWrap w:val="0"/>
            <w:vAlign w:val="center"/>
          </w:tcPr>
          <w:p w14:paraId="3F03CAD4">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0BCCB0B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79DB34B4">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1C51B03E">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50F85692">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单价（元）</w:t>
            </w:r>
          </w:p>
        </w:tc>
        <w:tc>
          <w:tcPr>
            <w:tcW w:w="1418" w:type="dxa"/>
            <w:noWrap w:val="0"/>
            <w:vAlign w:val="center"/>
          </w:tcPr>
          <w:p w14:paraId="65040DBA">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p>
        </w:tc>
        <w:tc>
          <w:tcPr>
            <w:tcW w:w="1701" w:type="dxa"/>
            <w:noWrap w:val="0"/>
            <w:vAlign w:val="center"/>
          </w:tcPr>
          <w:p w14:paraId="01556C1D">
            <w:pPr>
              <w:pStyle w:val="3"/>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7BCD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4EA43C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0A737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03643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807890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8E184A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F50032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AC8159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7F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853C35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9A21DD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791138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95AB8D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BD57A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BCD17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D9C848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991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AB00DE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4C5CFC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EE60E4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CBFB42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B8979A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65F928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E856C5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B2F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B9DBF3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DB653A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D2323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67093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3CDEDB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300F2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722C2C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7E8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81DF3C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A58C22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44B7F2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38912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EBF36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5DF47F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1784AD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10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720555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DD01A7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1927E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331EFC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DF268B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6B77BF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D3EBE9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38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9EA29C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07E0E5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564CD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CB08B3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6BEB99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578F33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B2846A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AC9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2D2F94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B53BB6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182DCA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1383EE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9F09E5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63C16B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B984E3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4BE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A5AA04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2BD0BB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D6409F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100DAA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8223F8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49BAB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388DCB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78F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0A820E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0DB8FE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A54F41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23634C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150B91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71621E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A8A065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4A1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ABBF287">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57EE36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E991E1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EFF059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A5F5A8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3BA11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6BA7D0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B0F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5FEB2A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D1808D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FA42BD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95B6B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F7020D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900AF0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C89A52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3E4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80B8E5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D8C953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573C58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62DB70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DDFA7E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8F2C13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2D2F64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544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A2A42D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2FF1F7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112A89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94C636E">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621D57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1129FD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2977C3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F3F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03C246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D256E4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89A6EF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F1AD22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1BD489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126B486">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BDCA6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5FBD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95CCF8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1A673A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1E5D27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F81295D">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93F93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478772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C11B1A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762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BD5F7F3">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575B3D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5E650EA">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024405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9332BD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391C76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D8A37DC">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041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E25DB6F">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DE0453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C80A662">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1A66EC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E7DF651">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76799C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F9B9445">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37F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D137848">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2106F4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2D89169">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5182CB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A9D72F4">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412E88B">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BCFAA70">
            <w:pPr>
              <w:pStyle w:val="3"/>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12EAEFDE">
      <w:pPr>
        <w:pStyle w:val="4"/>
        <w:keepNext w:val="0"/>
        <w:keepLines w:val="0"/>
        <w:pageBreakBefore w:val="0"/>
        <w:tabs>
          <w:tab w:val="left" w:pos="600"/>
        </w:tabs>
        <w:kinsoku/>
        <w:wordWrap/>
        <w:overflowPunct/>
        <w:topLinePunct w:val="0"/>
        <w:bidi w:val="0"/>
        <w:spacing w:after="0" w:line="360" w:lineRule="auto"/>
        <w:ind w:left="0" w:leftChars="0" w:firstLine="0" w:firstLineChars="0"/>
        <w:rPr>
          <w:rFonts w:hint="eastAsia" w:ascii="仿宋" w:hAnsi="仿宋" w:eastAsia="仿宋" w:cs="仿宋"/>
          <w:color w:val="000000" w:themeColor="text1"/>
          <w:sz w:val="21"/>
          <w:szCs w:val="21"/>
          <w:highlight w:val="none"/>
          <w14:textFill>
            <w14:solidFill>
              <w14:schemeClr w14:val="tx1"/>
            </w14:solidFill>
          </w14:textFill>
        </w:rPr>
      </w:pPr>
    </w:p>
    <w:p w14:paraId="6318EC80">
      <w:pPr>
        <w:rPr>
          <w:rFonts w:hint="eastAsia" w:ascii="仿宋" w:hAnsi="仿宋" w:eastAsia="仿宋" w:cs="仿宋"/>
          <w:color w:val="000000" w:themeColor="text1"/>
          <w:highlight w:val="none"/>
          <w:lang w:val="en-US" w:eastAsia="zh-CN"/>
          <w14:textFill>
            <w14:solidFill>
              <w14:schemeClr w14:val="tx1"/>
            </w14:solidFill>
          </w14:textFill>
        </w:rPr>
      </w:pPr>
    </w:p>
    <w:p w14:paraId="149EA97F">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E40F2"/>
    <w:rsid w:val="293518EF"/>
    <w:rsid w:val="2CEE40F2"/>
    <w:rsid w:val="473E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Indent"/>
    <w:basedOn w:val="1"/>
    <w:qFormat/>
    <w:uiPriority w:val="99"/>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unhideWhenUsed/>
    <w:qFormat/>
    <w:uiPriority w:val="99"/>
    <w:pPr>
      <w:ind w:firstLine="420" w:firstLineChars="100"/>
    </w:pPr>
    <w:rPr>
      <w:rFonts w:ascii="Times New Roman" w:hAnsi="Times New Roman" w:eastAsia="宋体"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12089</Words>
  <Characters>12696</Characters>
  <Lines>0</Lines>
  <Paragraphs>0</Paragraphs>
  <TotalTime>0</TotalTime>
  <ScaleCrop>false</ScaleCrop>
  <LinksUpToDate>false</LinksUpToDate>
  <CharactersWithSpaces>14148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2026-06-09T07:17:00Z</dcterms:created>
  <dc:creator>杜航</dc:creator>
  <cp:lastModifiedBy>杜航</cp:lastModifiedBy>
  <dcterms:modified xsi:type="dcterms:W3CDTF">2026-06-09T11:22:53Z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F08C5E43B6B64C7391CDFAAECE177394_11</vt:lpwstr>
  </property>
  <property fmtid="{D5CDD505-2E9C-101B-9397-08002B2CF9AE}" pid="4" name="KSOTemplateDocerSaveRecord">
    <vt:lpwstr>eyJoZGlkIjoiNGVjNGI1ZWQxMDUyODY5ZDAxOTAyNjljNjE1NWUwNGQiLCJ1c2VySWQiOiIzMDgwODY2MDYifQ==</vt:lpwstr>
  </property>
</Properties>
</file>