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版本号：ZYZX2026-00520260601001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2026-2027年新城区教育系统校园方责任险项目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ZYZX2026-005</w:t>
      </w:r>
      <w:r>
        <w:br/>
      </w:r>
      <w:r>
        <w:br/>
      </w:r>
      <w:r>
        <w:br/>
      </w:r>
    </w:p>
    <w:p>
      <w:pPr>
        <w:pStyle w:val="null3"/>
        <w:jc w:val="center"/>
        <w:outlineLvl w:val="2"/>
      </w:pPr>
      <w:r>
        <w:rPr>
          <w:rFonts w:ascii="仿宋_GB2312" w:hAnsi="仿宋_GB2312" w:cs="仿宋_GB2312" w:eastAsia="仿宋_GB2312"/>
          <w:sz w:val="28"/>
          <w:b/>
        </w:rPr>
        <w:t>西安市新城区教育局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西安市新城区教育局</w:t>
      </w:r>
      <w:r>
        <w:rPr>
          <w:rFonts w:ascii="仿宋_GB2312" w:hAnsi="仿宋_GB2312" w:cs="仿宋_GB2312" w:eastAsia="仿宋_GB2312"/>
        </w:rPr>
        <w:t>委托，拟对</w:t>
      </w:r>
      <w:r>
        <w:rPr>
          <w:rFonts w:ascii="仿宋_GB2312" w:hAnsi="仿宋_GB2312" w:cs="仿宋_GB2312" w:eastAsia="仿宋_GB2312"/>
        </w:rPr>
        <w:t>2026-2027年新城区教育系统校园方责任险项目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2026-2027年新城区教育系统校园方责任险项目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本项目拟采购2026-2027年新城区教育系统校园方责任险服务一项，具体详见采购文件。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提供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7、资质证书：须具有相关主管机构颁发的《保险许可证》或《金融许可证》，供应商需在项目电子化交易系统中按要求上传相应证明文件并进行电子签章</w:t>
      </w:r>
    </w:p>
    <w:p>
      <w:pPr>
        <w:pStyle w:val="null3"/>
      </w:pPr>
      <w:r>
        <w:rPr>
          <w:rFonts w:ascii="仿宋_GB2312" w:hAnsi="仿宋_GB2312" w:cs="仿宋_GB2312" w:eastAsia="仿宋_GB2312"/>
        </w:rPr>
        <w:t>8、承诺：同一保险机构只允许其本部或一家分支机构参与磋商，供应商需在项目电子化交易系统中按要求上传相应证明文件并进行电子签章</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西安市新城区东一路61号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029-87451794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以采购预算作为收费基数，参照国家计委颁布的《招标代理服务收费管理暂行办法》（计价格[2002]1980号）和发改办价格[2003]857号、发改价格[2011]534号中服务类的收费标准计取。2、成交供应商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西安市新城区教育局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本项目拟采购2026-2027年新城区教育系统校园方责任险服务一项，具体详见采购文件。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校园方责任险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标的名称：校园方责任险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一、投保范围：</w:t>
            </w:r>
          </w:p>
          <w:p>
            <w:pPr>
              <w:pStyle w:val="null3"/>
              <w:jc w:val="both"/>
            </w:pPr>
            <w:r>
              <w:rPr>
                <w:rFonts w:ascii="仿宋_GB2312" w:hAnsi="仿宋_GB2312" w:cs="仿宋_GB2312" w:eastAsia="仿宋_GB2312"/>
              </w:rPr>
              <w:t>1、西安市新城区教育局</w:t>
            </w:r>
            <w:r>
              <w:rPr>
                <w:rFonts w:ascii="仿宋_GB2312" w:hAnsi="仿宋_GB2312" w:cs="仿宋_GB2312" w:eastAsia="仿宋_GB2312"/>
              </w:rPr>
              <w:t>区属</w:t>
            </w:r>
            <w:r>
              <w:rPr>
                <w:rFonts w:ascii="仿宋_GB2312" w:hAnsi="仿宋_GB2312" w:cs="仿宋_GB2312" w:eastAsia="仿宋_GB2312"/>
              </w:rPr>
              <w:t>公办中小学及幼儿园学生（以</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9月实际注册人数为准），本次保险内容为：</w:t>
            </w:r>
          </w:p>
          <w:p>
            <w:pPr>
              <w:pStyle w:val="null3"/>
              <w:jc w:val="both"/>
            </w:pPr>
            <w:r>
              <w:rPr>
                <w:rFonts w:ascii="仿宋_GB2312" w:hAnsi="仿宋_GB2312" w:cs="仿宋_GB2312" w:eastAsia="仿宋_GB2312"/>
              </w:rPr>
              <w:t>（</w:t>
            </w:r>
            <w:r>
              <w:rPr>
                <w:rFonts w:ascii="仿宋_GB2312" w:hAnsi="仿宋_GB2312" w:cs="仿宋_GB2312" w:eastAsia="仿宋_GB2312"/>
              </w:rPr>
              <w:t>1）校园方责任险每生每年保费7元；</w:t>
            </w:r>
          </w:p>
          <w:p>
            <w:pPr>
              <w:pStyle w:val="null3"/>
              <w:jc w:val="both"/>
            </w:pPr>
            <w:r>
              <w:rPr>
                <w:rFonts w:ascii="仿宋_GB2312" w:hAnsi="仿宋_GB2312" w:cs="仿宋_GB2312" w:eastAsia="仿宋_GB2312"/>
              </w:rPr>
              <w:t>（</w:t>
            </w:r>
            <w:r>
              <w:rPr>
                <w:rFonts w:ascii="仿宋_GB2312" w:hAnsi="仿宋_GB2312" w:cs="仿宋_GB2312" w:eastAsia="仿宋_GB2312"/>
              </w:rPr>
              <w:t>2）校园方无过失责任险每生每年保费3元；</w:t>
            </w:r>
          </w:p>
          <w:p>
            <w:pPr>
              <w:pStyle w:val="null3"/>
              <w:jc w:val="both"/>
            </w:pPr>
            <w:r>
              <w:rPr>
                <w:rFonts w:ascii="仿宋_GB2312" w:hAnsi="仿宋_GB2312" w:cs="仿宋_GB2312" w:eastAsia="仿宋_GB2312"/>
              </w:rPr>
              <w:t>（</w:t>
            </w:r>
            <w:r>
              <w:rPr>
                <w:rFonts w:ascii="仿宋_GB2312" w:hAnsi="仿宋_GB2312" w:cs="仿宋_GB2312" w:eastAsia="仿宋_GB2312"/>
              </w:rPr>
              <w:t>3）单人保费合计10元/人。</w:t>
            </w:r>
          </w:p>
          <w:p>
            <w:pPr>
              <w:pStyle w:val="null3"/>
              <w:jc w:val="both"/>
            </w:pPr>
            <w:r>
              <w:rPr>
                <w:rFonts w:ascii="仿宋_GB2312" w:hAnsi="仿宋_GB2312" w:cs="仿宋_GB2312" w:eastAsia="仿宋_GB2312"/>
              </w:rPr>
              <w:t>2、</w:t>
            </w:r>
            <w:r>
              <w:rPr>
                <w:rFonts w:ascii="仿宋_GB2312" w:hAnsi="仿宋_GB2312" w:cs="仿宋_GB2312" w:eastAsia="仿宋_GB2312"/>
              </w:rPr>
              <w:t>西安市新城区教育局辖区民办中小学、幼儿园投保校方责任保险的，以本次磋商内容及报价为依据执行。保费由学校支付。</w:t>
            </w:r>
          </w:p>
          <w:p>
            <w:pPr>
              <w:pStyle w:val="null3"/>
              <w:jc w:val="both"/>
            </w:pPr>
            <w:r>
              <w:rPr>
                <w:rFonts w:ascii="仿宋_GB2312" w:hAnsi="仿宋_GB2312" w:cs="仿宋_GB2312" w:eastAsia="仿宋_GB2312"/>
              </w:rPr>
              <w:t>二、服务期限：</w:t>
            </w:r>
            <w:r>
              <w:rPr>
                <w:rFonts w:ascii="仿宋_GB2312" w:hAnsi="仿宋_GB2312" w:cs="仿宋_GB2312" w:eastAsia="仿宋_GB2312"/>
              </w:rPr>
              <w:t>本次采购服务期为三年（</w:t>
            </w:r>
            <w:r>
              <w:rPr>
                <w:rFonts w:ascii="仿宋_GB2312" w:hAnsi="仿宋_GB2312" w:cs="仿宋_GB2312" w:eastAsia="仿宋_GB2312"/>
              </w:rPr>
              <w:t>730,000.00元为本年度采购预算金额），合同一年一签</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合同</w:t>
            </w:r>
            <w:r>
              <w:rPr>
                <w:rFonts w:ascii="仿宋_GB2312" w:hAnsi="仿宋_GB2312" w:cs="仿宋_GB2312" w:eastAsia="仿宋_GB2312"/>
              </w:rPr>
              <w:t>续</w:t>
            </w:r>
            <w:r>
              <w:rPr>
                <w:rFonts w:ascii="仿宋_GB2312" w:hAnsi="仿宋_GB2312" w:cs="仿宋_GB2312" w:eastAsia="仿宋_GB2312"/>
              </w:rPr>
              <w:t>签</w:t>
            </w:r>
            <w:r>
              <w:rPr>
                <w:rFonts w:ascii="仿宋_GB2312" w:hAnsi="仿宋_GB2312" w:cs="仿宋_GB2312" w:eastAsia="仿宋_GB2312"/>
              </w:rPr>
              <w:t>条件为第二年预算保障的前提下，购买内容相对固定、连续性强、经费来源稳定、价格变化幅度小，且服务满足采购人要求及</w:t>
            </w:r>
            <w:r>
              <w:rPr>
                <w:rFonts w:ascii="仿宋_GB2312" w:hAnsi="仿宋_GB2312" w:cs="仿宋_GB2312" w:eastAsia="仿宋_GB2312"/>
              </w:rPr>
              <w:t>采购人对服务质量</w:t>
            </w:r>
            <w:r>
              <w:rPr>
                <w:rFonts w:ascii="仿宋_GB2312" w:hAnsi="仿宋_GB2312" w:cs="仿宋_GB2312" w:eastAsia="仿宋_GB2312"/>
              </w:rPr>
              <w:t>考核</w:t>
            </w:r>
            <w:r>
              <w:rPr>
                <w:rFonts w:ascii="仿宋_GB2312" w:hAnsi="仿宋_GB2312" w:cs="仿宋_GB2312" w:eastAsia="仿宋_GB2312"/>
              </w:rPr>
              <w:t>合格（具体要求签订合同时明确）。</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在服务期限内，若采购人、被保险学校对成交供应商在本次服务期限内的承保工作有不良反映的，采购人有权终止合同，另行采购。</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）在服务期限内，如遇保费调整等特殊情况，采购人有权根据项目实际情况处理。</w:t>
            </w:r>
          </w:p>
          <w:p>
            <w:pPr>
              <w:pStyle w:val="null3"/>
              <w:jc w:val="both"/>
            </w:pPr>
            <w:r>
              <w:rPr>
                <w:rFonts w:ascii="仿宋_GB2312" w:hAnsi="仿宋_GB2312" w:cs="仿宋_GB2312" w:eastAsia="仿宋_GB2312"/>
              </w:rPr>
              <w:t>三、保费</w:t>
            </w:r>
          </w:p>
          <w:p>
            <w:pPr>
              <w:pStyle w:val="null3"/>
              <w:jc w:val="both"/>
            </w:pPr>
            <w:r>
              <w:rPr>
                <w:rFonts w:ascii="仿宋_GB2312" w:hAnsi="仿宋_GB2312" w:cs="仿宋_GB2312" w:eastAsia="仿宋_GB2312"/>
              </w:rPr>
              <w:t>1、</w:t>
            </w:r>
            <w:r>
              <w:rPr>
                <w:rFonts w:ascii="仿宋_GB2312" w:hAnsi="仿宋_GB2312" w:cs="仿宋_GB2312" w:eastAsia="仿宋_GB2312"/>
              </w:rPr>
              <w:t>以投保时实际统计学生人数计算</w:t>
            </w:r>
            <w:r>
              <w:rPr>
                <w:rFonts w:ascii="仿宋_GB2312" w:hAnsi="仿宋_GB2312" w:cs="仿宋_GB2312" w:eastAsia="仿宋_GB2312"/>
              </w:rPr>
              <w:t>。</w:t>
            </w:r>
          </w:p>
          <w:p>
            <w:pPr>
              <w:pStyle w:val="null3"/>
              <w:jc w:val="both"/>
            </w:pPr>
            <w:r>
              <w:rPr>
                <w:rFonts w:ascii="仿宋_GB2312" w:hAnsi="仿宋_GB2312" w:cs="仿宋_GB2312" w:eastAsia="仿宋_GB2312"/>
              </w:rPr>
              <w:t>2、合同执行及合同续签时，即使当年</w:t>
            </w:r>
            <w:r>
              <w:rPr>
                <w:rFonts w:ascii="仿宋_GB2312" w:hAnsi="仿宋_GB2312" w:cs="仿宋_GB2312" w:eastAsia="仿宋_GB2312"/>
              </w:rPr>
              <w:t>全区被保险学校</w:t>
            </w:r>
            <w:r>
              <w:rPr>
                <w:rFonts w:ascii="仿宋_GB2312" w:hAnsi="仿宋_GB2312" w:cs="仿宋_GB2312" w:eastAsia="仿宋_GB2312"/>
              </w:rPr>
              <w:t>学生</w:t>
            </w:r>
            <w:r>
              <w:rPr>
                <w:rFonts w:ascii="仿宋_GB2312" w:hAnsi="仿宋_GB2312" w:cs="仿宋_GB2312" w:eastAsia="仿宋_GB2312"/>
              </w:rPr>
              <w:t>人数增加</w:t>
            </w:r>
            <w:r>
              <w:rPr>
                <w:rFonts w:ascii="仿宋_GB2312" w:hAnsi="仿宋_GB2312" w:cs="仿宋_GB2312" w:eastAsia="仿宋_GB2312"/>
              </w:rPr>
              <w:t>，</w:t>
            </w:r>
            <w:r>
              <w:rPr>
                <w:rFonts w:ascii="仿宋_GB2312" w:hAnsi="仿宋_GB2312" w:cs="仿宋_GB2312" w:eastAsia="仿宋_GB2312"/>
              </w:rPr>
              <w:t>本项目合同总额不超过预算金额。</w:t>
            </w:r>
          </w:p>
          <w:p>
            <w:pPr>
              <w:pStyle w:val="null3"/>
              <w:jc w:val="both"/>
            </w:pPr>
            <w:r>
              <w:rPr>
                <w:rFonts w:ascii="仿宋_GB2312" w:hAnsi="仿宋_GB2312" w:cs="仿宋_GB2312" w:eastAsia="仿宋_GB2312"/>
              </w:rPr>
              <w:t>四、赔偿限额</w:t>
            </w:r>
          </w:p>
          <w:p>
            <w:pPr>
              <w:pStyle w:val="null3"/>
              <w:jc w:val="both"/>
            </w:pPr>
            <w:r>
              <w:rPr>
                <w:rFonts w:ascii="仿宋_GB2312" w:hAnsi="仿宋_GB2312" w:cs="仿宋_GB2312" w:eastAsia="仿宋_GB2312"/>
              </w:rPr>
              <w:t>1、校园方责任险</w:t>
            </w:r>
          </w:p>
          <w:p>
            <w:pPr>
              <w:pStyle w:val="null3"/>
              <w:jc w:val="both"/>
            </w:pPr>
            <w:r>
              <w:rPr>
                <w:rFonts w:ascii="仿宋_GB2312" w:hAnsi="仿宋_GB2312" w:cs="仿宋_GB2312" w:eastAsia="仿宋_GB2312"/>
              </w:rPr>
              <w:t>1-1、每生每年累计赔偿限额不低于人民币伍拾万元（￥500000.00元）。</w:t>
            </w:r>
          </w:p>
          <w:p>
            <w:pPr>
              <w:pStyle w:val="null3"/>
              <w:jc w:val="both"/>
            </w:pPr>
            <w:r>
              <w:rPr>
                <w:rFonts w:ascii="仿宋_GB2312" w:hAnsi="仿宋_GB2312" w:cs="仿宋_GB2312" w:eastAsia="仿宋_GB2312"/>
              </w:rPr>
              <w:t>1-2、每所学校每次事故赔偿限额不低于人民币陆佰万元(￥6000000.00元)。</w:t>
            </w:r>
          </w:p>
          <w:p>
            <w:pPr>
              <w:pStyle w:val="null3"/>
              <w:jc w:val="both"/>
            </w:pPr>
            <w:r>
              <w:rPr>
                <w:rFonts w:ascii="仿宋_GB2312" w:hAnsi="仿宋_GB2312" w:cs="仿宋_GB2312" w:eastAsia="仿宋_GB2312"/>
              </w:rPr>
              <w:t>2、校园方无过失责任险</w:t>
            </w:r>
          </w:p>
          <w:p>
            <w:pPr>
              <w:pStyle w:val="null3"/>
              <w:jc w:val="both"/>
            </w:pPr>
            <w:r>
              <w:rPr>
                <w:rFonts w:ascii="仿宋_GB2312" w:hAnsi="仿宋_GB2312" w:cs="仿宋_GB2312" w:eastAsia="仿宋_GB2312"/>
              </w:rPr>
              <w:t>2-1、无过失责任保险：每生每年累计赔偿限额不低于人民币壹拾伍万元（￥150000.00元）。</w:t>
            </w:r>
          </w:p>
          <w:p>
            <w:pPr>
              <w:pStyle w:val="null3"/>
              <w:jc w:val="both"/>
            </w:pPr>
            <w:r>
              <w:rPr>
                <w:rFonts w:ascii="仿宋_GB2312" w:hAnsi="仿宋_GB2312" w:cs="仿宋_GB2312" w:eastAsia="仿宋_GB2312"/>
              </w:rPr>
              <w:t>2-2、每所学校每次事故赔偿限额不低于人民币壹佰万元(￥1000000.00元)。</w:t>
            </w:r>
          </w:p>
          <w:p>
            <w:pPr>
              <w:pStyle w:val="null3"/>
              <w:jc w:val="both"/>
            </w:pPr>
            <w:r>
              <w:rPr>
                <w:rFonts w:ascii="仿宋_GB2312" w:hAnsi="仿宋_GB2312" w:cs="仿宋_GB2312" w:eastAsia="仿宋_GB2312"/>
              </w:rPr>
              <w:t>五、服务方案</w:t>
            </w:r>
          </w:p>
          <w:p>
            <w:pPr>
              <w:pStyle w:val="null3"/>
              <w:jc w:val="both"/>
            </w:pPr>
            <w:r>
              <w:rPr>
                <w:rFonts w:ascii="仿宋_GB2312" w:hAnsi="仿宋_GB2312" w:cs="仿宋_GB2312" w:eastAsia="仿宋_GB2312"/>
              </w:rPr>
              <w:t>1、承保服务</w:t>
            </w:r>
          </w:p>
          <w:p>
            <w:pPr>
              <w:pStyle w:val="null3"/>
              <w:jc w:val="both"/>
            </w:pPr>
            <w:r>
              <w:rPr>
                <w:rFonts w:ascii="仿宋_GB2312" w:hAnsi="仿宋_GB2312" w:cs="仿宋_GB2312" w:eastAsia="仿宋_GB2312"/>
              </w:rPr>
              <w:t>（</w:t>
            </w:r>
            <w:r>
              <w:rPr>
                <w:rFonts w:ascii="仿宋_GB2312" w:hAnsi="仿宋_GB2312" w:cs="仿宋_GB2312" w:eastAsia="仿宋_GB2312"/>
              </w:rPr>
              <w:t>1）协助各级教育行政部门做好投保学校的各项承保工作。</w:t>
            </w:r>
          </w:p>
          <w:p>
            <w:pPr>
              <w:pStyle w:val="null3"/>
              <w:jc w:val="both"/>
            </w:pPr>
            <w:r>
              <w:rPr>
                <w:rFonts w:ascii="仿宋_GB2312" w:hAnsi="仿宋_GB2312" w:cs="仿宋_GB2312" w:eastAsia="仿宋_GB2312"/>
              </w:rPr>
              <w:t>（</w:t>
            </w:r>
            <w:r>
              <w:rPr>
                <w:rFonts w:ascii="仿宋_GB2312" w:hAnsi="仿宋_GB2312" w:cs="仿宋_GB2312" w:eastAsia="仿宋_GB2312"/>
              </w:rPr>
              <w:t>2）协助各级教育行政部门做好对被保险学校的宣传和培训工作。</w:t>
            </w:r>
          </w:p>
          <w:p>
            <w:pPr>
              <w:pStyle w:val="null3"/>
              <w:jc w:val="both"/>
            </w:pPr>
            <w:r>
              <w:rPr>
                <w:rFonts w:ascii="仿宋_GB2312" w:hAnsi="仿宋_GB2312" w:cs="仿宋_GB2312" w:eastAsia="仿宋_GB2312"/>
              </w:rPr>
              <w:t>（</w:t>
            </w:r>
            <w:r>
              <w:rPr>
                <w:rFonts w:ascii="仿宋_GB2312" w:hAnsi="仿宋_GB2312" w:cs="仿宋_GB2312" w:eastAsia="仿宋_GB2312"/>
              </w:rPr>
              <w:t>3）自收到被保险学校投保材料后5个工作日内出具正式保险单</w:t>
            </w:r>
            <w:r>
              <w:rPr>
                <w:rFonts w:ascii="仿宋_GB2312" w:hAnsi="仿宋_GB2312" w:cs="仿宋_GB2312" w:eastAsia="仿宋_GB2312"/>
              </w:rPr>
              <w:t>和发票。</w:t>
            </w:r>
          </w:p>
          <w:p>
            <w:pPr>
              <w:pStyle w:val="null3"/>
              <w:jc w:val="both"/>
            </w:pPr>
            <w:r>
              <w:rPr>
                <w:rFonts w:ascii="仿宋_GB2312" w:hAnsi="仿宋_GB2312" w:cs="仿宋_GB2312" w:eastAsia="仿宋_GB2312"/>
              </w:rPr>
              <w:t>（</w:t>
            </w:r>
            <w:r>
              <w:rPr>
                <w:rFonts w:ascii="仿宋_GB2312" w:hAnsi="仿宋_GB2312" w:cs="仿宋_GB2312" w:eastAsia="仿宋_GB2312"/>
              </w:rPr>
              <w:t>4）被保险学校有人员变动、名称或地址变更、合并、注销、分立、设立分校等事宜时，承保公司做好上述事项的保全服务工作，并在接到学校批改申请材料的5个工作日内出具批单和发票。</w:t>
            </w:r>
          </w:p>
          <w:p>
            <w:pPr>
              <w:pStyle w:val="null3"/>
              <w:jc w:val="both"/>
            </w:pPr>
            <w:r>
              <w:rPr>
                <w:rFonts w:ascii="仿宋_GB2312" w:hAnsi="仿宋_GB2312" w:cs="仿宋_GB2312" w:eastAsia="仿宋_GB2312"/>
              </w:rPr>
              <w:t xml:space="preserve"> 2、理赔服务</w:t>
            </w:r>
          </w:p>
          <w:p>
            <w:pPr>
              <w:pStyle w:val="null3"/>
              <w:jc w:val="both"/>
            </w:pPr>
            <w:r>
              <w:rPr>
                <w:rFonts w:ascii="仿宋_GB2312" w:hAnsi="仿宋_GB2312" w:cs="仿宋_GB2312" w:eastAsia="仿宋_GB2312"/>
              </w:rPr>
              <w:t>（</w:t>
            </w:r>
            <w:r>
              <w:rPr>
                <w:rFonts w:ascii="仿宋_GB2312" w:hAnsi="仿宋_GB2312" w:cs="仿宋_GB2312" w:eastAsia="仿宋_GB2312"/>
              </w:rPr>
              <w:t>1）承保公司应当成立专门的校方责任保险理赔服务机构，由有经验的专业理赔人员负责理赔服务工作，并配备相应的办公设备。</w:t>
            </w:r>
          </w:p>
          <w:p>
            <w:pPr>
              <w:pStyle w:val="null3"/>
              <w:jc w:val="both"/>
            </w:pPr>
            <w:r>
              <w:rPr>
                <w:rFonts w:ascii="仿宋_GB2312" w:hAnsi="仿宋_GB2312" w:cs="仿宋_GB2312" w:eastAsia="仿宋_GB2312"/>
              </w:rPr>
              <w:t>（</w:t>
            </w:r>
            <w:r>
              <w:rPr>
                <w:rFonts w:ascii="仿宋_GB2312" w:hAnsi="仿宋_GB2312" w:cs="仿宋_GB2312" w:eastAsia="仿宋_GB2312"/>
              </w:rPr>
              <w:t>2）设立热线电话，负责受理校方责任保险的事故报案、咨询、疑难解答和投诉处理，对于事故报案和客户投诉，承保公司应当在5个工作日内就重要事项作出明确答复。</w:t>
            </w:r>
          </w:p>
          <w:p>
            <w:pPr>
              <w:pStyle w:val="null3"/>
              <w:jc w:val="both"/>
            </w:pPr>
            <w:r>
              <w:rPr>
                <w:rFonts w:ascii="仿宋_GB2312" w:hAnsi="仿宋_GB2312" w:cs="仿宋_GB2312" w:eastAsia="仿宋_GB2312"/>
              </w:rPr>
              <w:t>（</w:t>
            </w:r>
            <w:r>
              <w:rPr>
                <w:rFonts w:ascii="仿宋_GB2312" w:hAnsi="仿宋_GB2312" w:cs="仿宋_GB2312" w:eastAsia="仿宋_GB2312"/>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20个工作日内结案。</w:t>
            </w:r>
          </w:p>
          <w:p>
            <w:pPr>
              <w:pStyle w:val="null3"/>
              <w:jc w:val="both"/>
            </w:pPr>
            <w:r>
              <w:rPr>
                <w:rFonts w:ascii="仿宋_GB2312" w:hAnsi="仿宋_GB2312" w:cs="仿宋_GB2312" w:eastAsia="仿宋_GB2312"/>
              </w:rPr>
              <w:t>（</w:t>
            </w:r>
            <w:r>
              <w:rPr>
                <w:rFonts w:ascii="仿宋_GB2312" w:hAnsi="仿宋_GB2312" w:cs="仿宋_GB2312" w:eastAsia="仿宋_GB2312"/>
              </w:rPr>
              <w:t>4）承保公司与被保险学校达成赔偿或者给付协议，并且已经确定赔偿金额的，1000元以下的案件2个工作日内赔付结案；3000元以下的案件3个工作日内结案；5000元以下的案件5个工作日内结案。</w:t>
            </w:r>
          </w:p>
          <w:p>
            <w:pPr>
              <w:pStyle w:val="null3"/>
              <w:jc w:val="both"/>
            </w:pPr>
            <w:r>
              <w:rPr>
                <w:rFonts w:ascii="仿宋_GB2312" w:hAnsi="仿宋_GB2312" w:cs="仿宋_GB2312" w:eastAsia="仿宋_GB2312"/>
              </w:rPr>
              <w:t>（</w:t>
            </w:r>
            <w:r>
              <w:rPr>
                <w:rFonts w:ascii="仿宋_GB2312" w:hAnsi="仿宋_GB2312" w:cs="仿宋_GB2312" w:eastAsia="仿宋_GB2312"/>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jc w:val="both"/>
            </w:pPr>
            <w:r>
              <w:rPr>
                <w:rFonts w:ascii="仿宋_GB2312" w:hAnsi="仿宋_GB2312" w:cs="仿宋_GB2312" w:eastAsia="仿宋_GB2312"/>
              </w:rPr>
              <w:t>（</w:t>
            </w:r>
            <w:r>
              <w:rPr>
                <w:rFonts w:ascii="仿宋_GB2312" w:hAnsi="仿宋_GB2312" w:cs="仿宋_GB2312" w:eastAsia="仿宋_GB2312"/>
              </w:rPr>
              <w:t>6）对于承保公司认定不属于保险责任的事故，如西安市新城区教育局提出书面处理意见，承保公司应酌情予以赔付。</w:t>
            </w:r>
          </w:p>
          <w:p>
            <w:pPr>
              <w:pStyle w:val="null3"/>
              <w:jc w:val="both"/>
            </w:pPr>
            <w:r>
              <w:rPr>
                <w:rFonts w:ascii="仿宋_GB2312" w:hAnsi="仿宋_GB2312" w:cs="仿宋_GB2312" w:eastAsia="仿宋_GB2312"/>
              </w:rPr>
              <w:t xml:space="preserve"> 3、法律援助服务</w:t>
            </w:r>
          </w:p>
          <w:p>
            <w:pPr>
              <w:pStyle w:val="null3"/>
              <w:jc w:val="both"/>
            </w:pPr>
            <w:r>
              <w:rPr>
                <w:rFonts w:ascii="仿宋_GB2312" w:hAnsi="仿宋_GB2312" w:cs="仿宋_GB2312" w:eastAsia="仿宋_GB2312"/>
              </w:rPr>
              <w:t>（</w:t>
            </w:r>
            <w:r>
              <w:rPr>
                <w:rFonts w:ascii="仿宋_GB2312" w:hAnsi="仿宋_GB2312" w:cs="仿宋_GB2312" w:eastAsia="仿宋_GB2312"/>
              </w:rPr>
              <w:t>1）承保公司应当成立专门的法律服务小组，在发生学生人身伤害事故时，协助学校妥善处理善后事宜，对学校提供法律和保险方面的指导，尽最大可能减少学校的经济损失。</w:t>
            </w:r>
          </w:p>
          <w:p>
            <w:pPr>
              <w:pStyle w:val="null3"/>
              <w:jc w:val="both"/>
            </w:pPr>
            <w:r>
              <w:rPr>
                <w:rFonts w:ascii="仿宋_GB2312" w:hAnsi="仿宋_GB2312" w:cs="仿宋_GB2312" w:eastAsia="仿宋_GB2312"/>
              </w:rPr>
              <w:t>（</w:t>
            </w:r>
            <w:r>
              <w:rPr>
                <w:rFonts w:ascii="仿宋_GB2312" w:hAnsi="仿宋_GB2312" w:cs="仿宋_GB2312" w:eastAsia="仿宋_GB2312"/>
              </w:rPr>
              <w:t>2）学校与学生家长就学生人身伤害事故赔偿问题产生纠纷时，承保公司必须为学校提供法律援助，指派专人负责协助协调学校和家长的矛盾。</w:t>
            </w:r>
          </w:p>
          <w:p>
            <w:pPr>
              <w:pStyle w:val="null3"/>
              <w:jc w:val="both"/>
            </w:pPr>
            <w:r>
              <w:rPr>
                <w:rFonts w:ascii="仿宋_GB2312" w:hAnsi="仿宋_GB2312" w:cs="仿宋_GB2312" w:eastAsia="仿宋_GB2312"/>
              </w:rPr>
              <w:t>（</w:t>
            </w:r>
            <w:r>
              <w:rPr>
                <w:rFonts w:ascii="仿宋_GB2312" w:hAnsi="仿宋_GB2312" w:cs="仿宋_GB2312" w:eastAsia="仿宋_GB2312"/>
              </w:rPr>
              <w:t>3）学校与学生家长无法就赔偿问题达成一致意见而诉诸法律时，承保公司必须无偿为学校提供诉讼代理服务。</w:t>
            </w:r>
          </w:p>
          <w:p>
            <w:pPr>
              <w:pStyle w:val="null3"/>
              <w:jc w:val="both"/>
            </w:pPr>
            <w:r>
              <w:rPr>
                <w:rFonts w:ascii="仿宋_GB2312" w:hAnsi="仿宋_GB2312" w:cs="仿宋_GB2312" w:eastAsia="仿宋_GB2312"/>
              </w:rPr>
              <w:t>（</w:t>
            </w:r>
            <w:r>
              <w:rPr>
                <w:rFonts w:ascii="仿宋_GB2312" w:hAnsi="仿宋_GB2312" w:cs="仿宋_GB2312" w:eastAsia="仿宋_GB2312"/>
              </w:rPr>
              <w:t>4）学校与学生家长诉诸法律解决纠纷时，如教育部门已为学校安排代理律师或者学校经教育行政部门同意自行聘请律师，承保公司应充分认可诉讼结论。</w:t>
            </w:r>
          </w:p>
          <w:p>
            <w:pPr>
              <w:pStyle w:val="null3"/>
              <w:jc w:val="both"/>
            </w:pPr>
            <w:r>
              <w:rPr>
                <w:rFonts w:ascii="仿宋_GB2312" w:hAnsi="仿宋_GB2312" w:cs="仿宋_GB2312" w:eastAsia="仿宋_GB2312"/>
              </w:rPr>
              <w:t xml:space="preserve"> 4、增值服务</w:t>
            </w:r>
          </w:p>
          <w:p>
            <w:pPr>
              <w:pStyle w:val="null3"/>
              <w:jc w:val="both"/>
            </w:pPr>
            <w:r>
              <w:rPr>
                <w:rFonts w:ascii="仿宋_GB2312" w:hAnsi="仿宋_GB2312" w:cs="仿宋_GB2312" w:eastAsia="仿宋_GB2312"/>
              </w:rPr>
              <w:t>（</w:t>
            </w:r>
            <w:r>
              <w:rPr>
                <w:rFonts w:ascii="仿宋_GB2312" w:hAnsi="仿宋_GB2312" w:cs="仿宋_GB2312" w:eastAsia="仿宋_GB2312"/>
              </w:rPr>
              <w:t>1）协助教育行政部门对被保险学校进行安全教育和风险管理以及防灾防损培训。</w:t>
            </w:r>
          </w:p>
          <w:p>
            <w:pPr>
              <w:pStyle w:val="null3"/>
              <w:jc w:val="both"/>
            </w:pPr>
            <w:r>
              <w:rPr>
                <w:rFonts w:ascii="仿宋_GB2312" w:hAnsi="仿宋_GB2312" w:cs="仿宋_GB2312" w:eastAsia="仿宋_GB2312"/>
              </w:rPr>
              <w:t>（</w:t>
            </w:r>
            <w:r>
              <w:rPr>
                <w:rFonts w:ascii="仿宋_GB2312" w:hAnsi="仿宋_GB2312" w:cs="仿宋_GB2312" w:eastAsia="仿宋_GB2312"/>
              </w:rPr>
              <w:t>2）协助教育行政部门对被保险学校举办体育比赛、运动会、汇报演出等大型活动时的安全防范工作，提供必要的技术支持，并为活动安排保险方案。</w:t>
            </w:r>
          </w:p>
          <w:p>
            <w:pPr>
              <w:pStyle w:val="null3"/>
              <w:jc w:val="both"/>
            </w:pPr>
            <w:r>
              <w:rPr>
                <w:rFonts w:ascii="仿宋_GB2312" w:hAnsi="仿宋_GB2312" w:cs="仿宋_GB2312" w:eastAsia="仿宋_GB2312"/>
              </w:rPr>
              <w:t>（</w:t>
            </w:r>
            <w:r>
              <w:rPr>
                <w:rFonts w:ascii="仿宋_GB2312" w:hAnsi="仿宋_GB2312" w:cs="仿宋_GB2312" w:eastAsia="仿宋_GB2312"/>
              </w:rPr>
              <w:t>3）定期向西安市新城区教育局报告工作情况和提供风险管理方案。</w:t>
            </w:r>
          </w:p>
          <w:p>
            <w:pPr>
              <w:pStyle w:val="null3"/>
              <w:jc w:val="both"/>
            </w:pPr>
            <w:r>
              <w:rPr>
                <w:rFonts w:ascii="仿宋_GB2312" w:hAnsi="仿宋_GB2312" w:cs="仿宋_GB2312" w:eastAsia="仿宋_GB2312"/>
              </w:rPr>
              <w:t>5、特色服务</w:t>
            </w:r>
          </w:p>
          <w:p>
            <w:pPr>
              <w:pStyle w:val="null3"/>
              <w:jc w:val="both"/>
            </w:pPr>
            <w:r>
              <w:rPr>
                <w:rFonts w:ascii="仿宋_GB2312" w:hAnsi="仿宋_GB2312" w:cs="仿宋_GB2312" w:eastAsia="仿宋_GB2312"/>
              </w:rPr>
              <w:t>为了能够体现校方责任保险服务于西安市教育行业的特点，磋商供应商应充分了解西安市教育行业的现状及风险状况，并在基础服务项目上增加其他服务内容。</w:t>
            </w:r>
          </w:p>
          <w:p>
            <w:pPr>
              <w:pStyle w:val="null3"/>
              <w:jc w:val="both"/>
            </w:pPr>
            <w:r>
              <w:rPr>
                <w:rFonts w:ascii="仿宋_GB2312" w:hAnsi="仿宋_GB2312" w:cs="仿宋_GB2312" w:eastAsia="仿宋_GB2312"/>
              </w:rPr>
              <w:t>6、特别注意</w:t>
            </w:r>
          </w:p>
          <w:p>
            <w:pPr>
              <w:pStyle w:val="null3"/>
              <w:jc w:val="both"/>
            </w:pPr>
            <w:r>
              <w:rPr>
                <w:rFonts w:ascii="仿宋_GB2312" w:hAnsi="仿宋_GB2312" w:cs="仿宋_GB2312" w:eastAsia="仿宋_GB2312"/>
                <w:sz w:val="21"/>
              </w:rPr>
              <w:t>本项目单人保费合计</w:t>
            </w:r>
            <w:r>
              <w:rPr>
                <w:rFonts w:ascii="仿宋_GB2312" w:hAnsi="仿宋_GB2312" w:cs="仿宋_GB2312" w:eastAsia="仿宋_GB2312"/>
                <w:sz w:val="21"/>
              </w:rPr>
              <w:t>10元/人，保费以投保时实际统计学生人数计算，本项目执行统一价格标准据实结算</w:t>
            </w:r>
            <w:r>
              <w:rPr>
                <w:rFonts w:ascii="仿宋_GB2312" w:hAnsi="仿宋_GB2312" w:cs="仿宋_GB2312" w:eastAsia="仿宋_GB2312"/>
                <w:sz w:val="21"/>
              </w:rPr>
              <w:t>，</w:t>
            </w:r>
            <w:r>
              <w:rPr>
                <w:rFonts w:ascii="仿宋_GB2312" w:hAnsi="仿宋_GB2312" w:cs="仿宋_GB2312" w:eastAsia="仿宋_GB2312"/>
                <w:sz w:val="21"/>
              </w:rPr>
              <w:t>结算金额不超过预算金额</w:t>
            </w:r>
            <w:r>
              <w:rPr>
                <w:rFonts w:ascii="仿宋_GB2312" w:hAnsi="仿宋_GB2312" w:cs="仿宋_GB2312" w:eastAsia="仿宋_GB2312"/>
                <w:sz w:val="21"/>
              </w:rPr>
              <w:t>。故本项目对各供应商报价不进行评审，</w:t>
            </w:r>
            <w:r>
              <w:rPr>
                <w:rFonts w:ascii="仿宋_GB2312" w:hAnsi="仿宋_GB2312" w:cs="仿宋_GB2312" w:eastAsia="仿宋_GB2312"/>
                <w:sz w:val="21"/>
              </w:rPr>
              <w:t>供应商制作响应文件时无论是首轮报价还是二次报价，所有关于确需填写的价格（单价或总价）均按本项目预算：</w:t>
            </w:r>
            <w:r>
              <w:rPr>
                <w:rFonts w:ascii="仿宋_GB2312" w:hAnsi="仿宋_GB2312" w:cs="仿宋_GB2312" w:eastAsia="仿宋_GB2312"/>
                <w:sz w:val="21"/>
              </w:rPr>
              <w:t>730,000.00元进行填写</w:t>
            </w:r>
            <w:r>
              <w:rPr>
                <w:rFonts w:ascii="仿宋_GB2312" w:hAnsi="仿宋_GB2312" w:cs="仿宋_GB2312" w:eastAsia="仿宋_GB2312"/>
                <w:sz w:val="21"/>
              </w:rPr>
              <w:t>，</w:t>
            </w:r>
            <w:r>
              <w:rPr>
                <w:rFonts w:ascii="仿宋_GB2312" w:hAnsi="仿宋_GB2312" w:cs="仿宋_GB2312" w:eastAsia="仿宋_GB2312"/>
                <w:sz w:val="21"/>
              </w:rPr>
              <w:t>未按要求进行填写视为无效响应</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目配备相关业务人员，确保按期完成投保；2.承保公司应当成立专门的校方责任保险理赔服务机构，由有经验的专业理赔人员负责理赔服务工作，并配备相应的办公设备；3.具有专人负责跟采购人进行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本次采购服务期为三年（730,000.00元为本年度采购预算金额），合同一年一签（续签条件以采购文件要求及合同约定为准）。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合同款，被保险学校按实际注册学生数于合同签订后按每学年度结算，达到付款条件起30个工作日内，支付合同总金额的100.0%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磋商公告。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5、本项目非专门面向中小企业采购。6、由于系统原因，本项目报价要求、服务费用及支付方式、服务期限及确定供应商分别按以下执行：（1）报价要求：本项目单人保费合计10元/人，保费以投保时实际统计学生人数计算，本项目执行统一价格标准据实结算，结算金额不超过预算金额。故本项目对各供应商报价不进行评审，供应商制作响应文件时无论是首轮报价还是二次报价，所有关于确需填写的价格（单价或总价）均按本项目预算：730,000.00元进行填写，未按要求进行填写视为无效响应。（2）服务费用及支付方式：校方责任保险年保费=10元×投保年度9月1日实际在册人数；被保险学校按实际注册学生数于合同签订后按每学年度结算。（3）服务期限：本次采购服务期为三年（730,000.00元为本年度采购预算金额），合同一年一签。①合同续签条件为第二年预算保障的前提下，购买内容相对固定、连续性强、经费来源稳定、价格变化幅度小，且服务满足采购人要求及采购人对服务质量考核合格（具体要求签订合同时明确）。②在服务期限内，若采购人、被保险学校对成交供应商在本次服务期限内的承保工作有不良反映的，采购人有权终止合同，另行采购。③在服务期限内，如遇保费调整等特殊情况，采购人有权根据项目实际情况处理。（4）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7、本项目属于保险行业，根据《中华人民共和国政府采购法实施条例》释义，参与本项目的分支机构可不提供总公司出具的授权，总公司取得的相关资质证书、资格证明文件等对分支机构同样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相关资格证明资料.docx 方案响应部分.docx 磋商响应第一次报价表.docx 中小企业声明函 残疾人福利性单位声明函 标的清单 承诺书.docx 报价表 响应函 监狱企业的证明文件 身份证明文件.docx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提供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须具有相关主管机构颁发的《保险许可证》或《金融许可证》，供应商需在项目电子化交易系统中按要求上传相应证明文件并进行电子签章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同一保险机构只允许其本部或一家分支机构参与磋商，供应商需在项目电子化交易系统中按要求上传相应证明文件并进行电子签章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响应文件封面 相关资格证明资料.docx 方案响应部分.docx 磋商响应第一次报价表.docx 中小企业声明函 残疾人福利性单位声明函 标的清单 承诺书.docx 报价表 响应函 监狱企业的证明文件 身份证明文件.docx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3.本项目执行统一价格标准据实结算。故本项目对各供应商报价不进行评审，以上1、2项本项目不适用。</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相关资格证明资料.docx 方案响应部分.docx 磋商响应第一次报价表.docx 中小企业声明函 残疾人福利性单位声明函 标的清单 承诺书.docx 报价表 响应函 监狱企业的证明文件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磋商响应第一次报价表.docx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磋商响应第一次报价表.docx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相关资格证明资料.docx 方案响应部分.docx 磋商响应第一次报价表.docx 中小企业声明函 残疾人福利性单位声明函 标的清单 承诺书.docx 报价表 响应函 监狱企业的证明文件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各项赔偿限额总分得分由高到低的顺序推荐。评审得分且各项赔偿限额总分得分相同的，按照理赔服务方案优劣顺序推荐。评审得分且各项赔偿限额总分得分且理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每生每年累计赔偿限额（校园方责任险）</w:t>
            </w:r>
          </w:p>
        </w:tc>
        <w:tc>
          <w:tcPr>
            <w:tcW w:type="dxa" w:w="2492"/>
          </w:tcPr>
          <w:p>
            <w:pPr>
              <w:pStyle w:val="null3"/>
            </w:pPr>
            <w:r>
              <w:rPr>
                <w:rFonts w:ascii="仿宋_GB2312" w:hAnsi="仿宋_GB2312" w:cs="仿宋_GB2312" w:eastAsia="仿宋_GB2312"/>
              </w:rPr>
              <w:t>按供应商所报每生每年累计赔偿限额（校园方责任险）从高到低排序，最高每生每年累计赔偿限额（校园方责任险）为评标基准赔偿限额，得5分，每生每年累计赔偿限额（校园方责任险）得分=（各供应商每生每年累计赔偿限额（校园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每所学校每次事故赔偿限额（校园方责任险）</w:t>
            </w:r>
          </w:p>
        </w:tc>
        <w:tc>
          <w:tcPr>
            <w:tcW w:type="dxa" w:w="2492"/>
          </w:tcPr>
          <w:p>
            <w:pPr>
              <w:pStyle w:val="null3"/>
            </w:pPr>
            <w:r>
              <w:rPr>
                <w:rFonts w:ascii="仿宋_GB2312" w:hAnsi="仿宋_GB2312" w:cs="仿宋_GB2312" w:eastAsia="仿宋_GB2312"/>
              </w:rPr>
              <w:t>按供应商所报每所学校每次事故赔偿限额（校园方责任险）从高到低排序，最高每所学校每次事故赔偿限额（校园方责任险）为评标基准赔偿限额，得5分，每所学校每次事故赔偿限额（校园方责任险）得分=（各供应商每所学校每次事故赔偿限额（校园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每生每年累计赔偿限额（校园方无过失责任险）</w:t>
            </w:r>
          </w:p>
        </w:tc>
        <w:tc>
          <w:tcPr>
            <w:tcW w:type="dxa" w:w="2492"/>
          </w:tcPr>
          <w:p>
            <w:pPr>
              <w:pStyle w:val="null3"/>
            </w:pPr>
            <w:r>
              <w:rPr>
                <w:rFonts w:ascii="仿宋_GB2312" w:hAnsi="仿宋_GB2312" w:cs="仿宋_GB2312" w:eastAsia="仿宋_GB2312"/>
              </w:rPr>
              <w:t>按供应商所报每生每年累计赔偿限额（校园方无过失责任险）从高到低排序，最高每生每年累计赔偿限额（校园方无过失责任险）为评标基准赔偿限额，得5分，每生每年累计赔偿限额（校园方无过失责任险）得分=（各供应商每生每年累计赔偿限额（校园方无过失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每所学校每次事故赔偿限额（校园方无过失责任险）</w:t>
            </w:r>
          </w:p>
        </w:tc>
        <w:tc>
          <w:tcPr>
            <w:tcW w:type="dxa" w:w="2492"/>
          </w:tcPr>
          <w:p>
            <w:pPr>
              <w:pStyle w:val="null3"/>
            </w:pPr>
            <w:r>
              <w:rPr>
                <w:rFonts w:ascii="仿宋_GB2312" w:hAnsi="仿宋_GB2312" w:cs="仿宋_GB2312" w:eastAsia="仿宋_GB2312"/>
              </w:rPr>
              <w:t>按供应商所报每所学校每次事故赔偿限额（校园方无过失责任险）从高到低排序，最高每所学校每次事故赔偿限额（校园方无过失责任险）为评标基准赔偿限额，得5分，每所学校每次事故赔偿限额（校园方无过失责任险）得分=（各供应商每所学校每次事故赔偿限额（校园方无过失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每所学校每年累计赔偿限额</w:t>
            </w:r>
          </w:p>
        </w:tc>
        <w:tc>
          <w:tcPr>
            <w:tcW w:type="dxa" w:w="2492"/>
          </w:tcPr>
          <w:p>
            <w:pPr>
              <w:pStyle w:val="null3"/>
            </w:pPr>
            <w:r>
              <w:rPr>
                <w:rFonts w:ascii="仿宋_GB2312" w:hAnsi="仿宋_GB2312" w:cs="仿宋_GB2312" w:eastAsia="仿宋_GB2312"/>
              </w:rPr>
              <w:t>每所学校每年累计不设赔偿限额上限的得1分，否则不得分。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赔偿项目免赔额</w:t>
            </w:r>
          </w:p>
        </w:tc>
        <w:tc>
          <w:tcPr>
            <w:tcW w:type="dxa" w:w="2492"/>
          </w:tcPr>
          <w:p>
            <w:pPr>
              <w:pStyle w:val="null3"/>
            </w:pPr>
            <w:r>
              <w:rPr>
                <w:rFonts w:ascii="仿宋_GB2312" w:hAnsi="仿宋_GB2312" w:cs="仿宋_GB2312" w:eastAsia="仿宋_GB2312"/>
              </w:rPr>
              <w:t>赔偿项目不设免赔额的得1分，否则不得分。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供应商开展校方责任保险业务并提供2023年9月1日至今同类项目业绩证明材料（以保单复印件或合同复印件或中标/成交通知书为准）（每份0.5分，满分3分）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5个工作日内按要求出具正式保险单和发票，承诺能够提供得1分，否则不得分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承保服务保障措施</w:t>
            </w:r>
          </w:p>
        </w:tc>
        <w:tc>
          <w:tcPr>
            <w:tcW w:type="dxa" w:w="2492"/>
          </w:tcPr>
          <w:p>
            <w:pPr>
              <w:pStyle w:val="null3"/>
            </w:pPr>
            <w:r>
              <w:rPr>
                <w:rFonts w:ascii="仿宋_GB2312" w:hAnsi="仿宋_GB2312" w:cs="仿宋_GB2312" w:eastAsia="仿宋_GB2312"/>
              </w:rPr>
              <w:t>一、评审内容 针对本项目采购内容提出适用于本项目的承保服务保障措施，承保服务保障措施包括：①热线电话、投诉举报电话等设置；②对服务态度、服务质量较差的业务人员有具体处罚办法； 二、评审标准 1、完整性：内容必须全面，对评审内容中的各项要求有详细描述； 2、可实施性：切合本项目实际情况，提出步骤清晰、合理的内容； 3、针对性：内容能够紧扣项目实际情况，科学、合理。 三、赋分标准 ①热线电话、投诉举报电话等设置：每完全满足一个评审标准得1分，满分3分； ②对服务态度、服务质量较差的业务人员有具体处罚办法：每完全满足一个评审标准得1分，满分3分；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一、评审内容 针对本项目采购内容提出适用于本项目的理赔服务方案，理赔服务方案包括：①建立针对本项目的专项工作小组，理赔流程详尽合理，方便快捷，有整套完善的理赔措施；②对校方责任事故处理的理赔时效；③重大事故的协商处理方案； ④能够认同采购人对特殊事故的处理意见，有通融赔付机制和案例；⑤对学校提供理赔材料有欠缺的能协助处理；⑥上门收取学校理赔资料的服务流程； 二、评审标准 1、完整性：方案必须全面，对评审内容中的各项要求有详细描述； 2、可实施性：切合本项目实际情况，提出步骤清晰、合理的方案； 3、针对性：方案能够紧扣项目实际情况，内容科学合理。 三、赋分标准 ①建立针对本项目的专项工作小组，理赔流程详尽合理，方便快捷，有整套完善的理赔措施：每完全满足一个评审标准得2分，满分6分；②对校方责任事故处理的理赔时效：每完全满足一个评审标准得2分，满分6分；③重大事故的协商处理方案：每完全满足一个评审标准得2分，满分6分；④能够认同采购人对特殊事故的处理意见，有通融赔付机制和案例：每完全满足一个评审标准得2分，满分6分；⑤对学校提供理赔材料有欠缺的能协助处理：每完全满足一个评审标准得2分，满分6分；⑥上门收取学校理赔资料的服务流程：每完全满足一个评审标准得2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理赔服务（1）</w:t>
            </w:r>
          </w:p>
        </w:tc>
        <w:tc>
          <w:tcPr>
            <w:tcW w:type="dxa" w:w="2492"/>
          </w:tcPr>
          <w:p>
            <w:pPr>
              <w:pStyle w:val="null3"/>
            </w:pPr>
            <w:r>
              <w:rPr>
                <w:rFonts w:ascii="仿宋_GB2312" w:hAnsi="仿宋_GB2312" w:cs="仿宋_GB2312" w:eastAsia="仿宋_GB2312"/>
              </w:rPr>
              <w:t>对可认定责任的事故不设报案时限的得1分，其他不得分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理赔服务（2）</w:t>
            </w:r>
          </w:p>
        </w:tc>
        <w:tc>
          <w:tcPr>
            <w:tcW w:type="dxa" w:w="2492"/>
          </w:tcPr>
          <w:p>
            <w:pPr>
              <w:pStyle w:val="null3"/>
            </w:pPr>
            <w:r>
              <w:rPr>
                <w:rFonts w:ascii="仿宋_GB2312" w:hAnsi="仿宋_GB2312" w:cs="仿宋_GB2312" w:eastAsia="仿宋_GB2312"/>
              </w:rPr>
              <w:t>能够承诺做到接报案后在1个工作日内提出处理意见的得1分，否则不得分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其他服务方案</w:t>
            </w:r>
          </w:p>
        </w:tc>
        <w:tc>
          <w:tcPr>
            <w:tcW w:type="dxa" w:w="2492"/>
          </w:tcPr>
          <w:p>
            <w:pPr>
              <w:pStyle w:val="null3"/>
            </w:pPr>
            <w:r>
              <w:rPr>
                <w:rFonts w:ascii="仿宋_GB2312" w:hAnsi="仿宋_GB2312" w:cs="仿宋_GB2312" w:eastAsia="仿宋_GB2312"/>
              </w:rPr>
              <w:t>一、评审内容 针对本项目采购内容提出适用于本项目的其他服务方案，其他服务方案包括：①法律援助服务；②增值服务；③特色服务； 二、评审标准 1、完整性：方案必须全面，对评审内容中的各项要求有详细描述； 2、可实施性：切合本项目实际情况，提出步骤清晰、合理的内容 3、针对性：方案能够紧扣项目实际情况，内容科学合理。 三、赋分标准 ①法律援助服务：每完全满足一个评审标准得1分，满分3分； ②增值服务：每完全满足一个评审标准得2分，满分6分； ③特色服务：每完全满足一个评审标准得2分，满分6分；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服务措施</w:t>
            </w:r>
          </w:p>
        </w:tc>
        <w:tc>
          <w:tcPr>
            <w:tcW w:type="dxa" w:w="2492"/>
          </w:tcPr>
          <w:p>
            <w:pPr>
              <w:pStyle w:val="null3"/>
            </w:pPr>
            <w:r>
              <w:rPr>
                <w:rFonts w:ascii="仿宋_GB2312" w:hAnsi="仿宋_GB2312" w:cs="仿宋_GB2312" w:eastAsia="仿宋_GB2312"/>
              </w:rPr>
              <w:t>一、评审内容 针对本项目采购内容提出适用于本项目的服务措施，服务措施包括：①售后服务方案；②能够针对本项目提供专项售后服务团队或服务机构；③能够考虑并满足教育行业服务的需求，能够协助采购人及其学校做好对被保险对象的培训和风险管理工作； 二、评审标准 1、完整性：内容必须全面，对评审内容中的各项要求有详细描述； 2、可实施性：切合本项目实际情况，提出步骤清晰、合理的内容； 3、针对性：内容能够紧扣项目实际情况，科学、合理。 三、赋分标准 ①售后服务方案：每完全满足一个评审标准得2分，满分6分； ②能够针对本项目提供专项售后服务团队或服务机构：每完全满足一个评审标准得1分，满分3分； ③能够考虑并满足教育行业服务的需求，能够协助采购人及其学校做好对被保险对象的培训和风险管理工作：每完全满足一个评审标准得2分，满分6分。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（4）本项目执行统一价格标准据实结算。故本项目对各供应商报价不进行评审，以上情形1、情形2、情形3本项目不适用。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磋商响应第一次报价表.docx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详见附件：磋商响应第一次报价表.docx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详见附件：方案响应部分.docx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