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本合同为参考文本，具体以实际签订合同为准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600" w:lineRule="exact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政府采购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合同</w:t>
      </w:r>
    </w:p>
    <w:p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b/>
          <w:sz w:val="24"/>
          <w:szCs w:val="22"/>
          <w:lang w:val="en-US" w:eastAsia="zh-CN"/>
        </w:rPr>
      </w:pPr>
    </w:p>
    <w:p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b/>
          <w:sz w:val="24"/>
          <w:szCs w:val="22"/>
          <w:u w:val="single"/>
        </w:rPr>
      </w:pPr>
      <w:r>
        <w:rPr>
          <w:rFonts w:hint="eastAsia" w:ascii="仿宋" w:hAnsi="仿宋" w:eastAsia="仿宋" w:cs="仿宋"/>
          <w:b/>
          <w:sz w:val="24"/>
          <w:szCs w:val="22"/>
          <w:lang w:val="en-US" w:eastAsia="zh-CN"/>
        </w:rPr>
        <w:t>甲方</w:t>
      </w:r>
      <w:r>
        <w:rPr>
          <w:rFonts w:hint="eastAsia" w:ascii="仿宋" w:hAnsi="仿宋" w:eastAsia="仿宋" w:cs="仿宋"/>
          <w:b/>
          <w:sz w:val="24"/>
          <w:szCs w:val="22"/>
        </w:rPr>
        <w:t>（全称）：</w:t>
      </w:r>
      <w:r>
        <w:rPr>
          <w:rFonts w:hint="eastAsia" w:ascii="仿宋" w:hAnsi="仿宋" w:eastAsia="仿宋" w:cs="仿宋"/>
          <w:sz w:val="24"/>
          <w:szCs w:val="22"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b/>
          <w:sz w:val="24"/>
          <w:szCs w:val="22"/>
          <w:u w:val="single"/>
        </w:rPr>
        <w:t xml:space="preserve">         </w:t>
      </w:r>
    </w:p>
    <w:p>
      <w:pPr>
        <w:adjustRightInd w:val="0"/>
        <w:snapToGrid w:val="0"/>
        <w:spacing w:line="460" w:lineRule="atLeast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2"/>
          <w:lang w:val="en-US" w:eastAsia="zh-CN"/>
        </w:rPr>
        <w:t>乙方</w:t>
      </w:r>
      <w:r>
        <w:rPr>
          <w:rFonts w:hint="eastAsia" w:ascii="仿宋" w:hAnsi="仿宋" w:eastAsia="仿宋" w:cs="仿宋"/>
          <w:b/>
          <w:sz w:val="24"/>
          <w:szCs w:val="22"/>
        </w:rPr>
        <w:t>（全称）：</w:t>
      </w:r>
      <w:r>
        <w:rPr>
          <w:rFonts w:hint="eastAsia" w:ascii="仿宋" w:hAnsi="仿宋" w:eastAsia="仿宋" w:cs="仿宋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u w:val="single"/>
        </w:rPr>
        <w:t xml:space="preserve">                  </w:t>
      </w:r>
      <w:r>
        <w:rPr>
          <w:rFonts w:hint="eastAsia" w:ascii="仿宋" w:hAnsi="仿宋" w:eastAsia="仿宋" w:cs="仿宋"/>
          <w:u w:val="single"/>
        </w:rPr>
        <w:t xml:space="preserve">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项目概况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陕西省国土调查云能力升级维护项目</w:t>
      </w:r>
      <w:r>
        <w:rPr>
          <w:rFonts w:hint="eastAsia" w:cs="仿宋"/>
          <w:color w:val="auto"/>
          <w:sz w:val="24"/>
          <w:szCs w:val="24"/>
          <w:highlight w:val="none"/>
          <w:u w:val="none"/>
          <w:lang w:val="en-US" w:eastAsia="zh-CN"/>
        </w:rPr>
        <w:t>；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采购人指定地点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合同签订之日起到12月31日止，中标人需完成所有招标文件要求工作，并通过项目验收。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组成本合同的文件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协议书；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中标（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通知书、响应文件、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文件、澄清、补充文件；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相关服务建议书；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附录，即：附表内相关服务的范围和内容；本合同签订后，双方依法签订的补充协议也是本合同文件的组成部分。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合同金额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合同类型：总价合同。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合同金额（大写）：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（¥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）。</w:t>
      </w:r>
    </w:p>
    <w:p>
      <w:pPr>
        <w:numPr>
          <w:ilvl w:val="0"/>
          <w:numId w:val="0"/>
        </w:numPr>
        <w:spacing w:line="360" w:lineRule="auto"/>
        <w:ind w:firstLine="42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具体分项价格如下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377"/>
        <w:gridCol w:w="1433"/>
        <w:gridCol w:w="1533"/>
        <w:gridCol w:w="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数量、单位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单价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7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33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4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合同总价即成交价，指完成本项目要求的全部服务内容最终价格，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本项目实行总价一次性包死，不受市场人工、软件、硬件、服务等市场价格变化因素影响。合同总价为完成招标文件、技术方案、合同约定全部内容、交付成果、测试验收、对接联调、培训、质保等全部工作的全部含税费用，除合同约定变更外，采购人不再支付任何其他费用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付款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方式</w:t>
      </w:r>
    </w:p>
    <w:p>
      <w:pPr>
        <w:keepNext w:val="0"/>
        <w:keepLines w:val="0"/>
        <w:pageBreakBefore w:val="0"/>
        <w:widowControl/>
        <w:kinsoku/>
        <w:wordWrap/>
        <w:bidi w:val="0"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1.合同签订起15个工作日内，支付合同总金额的60%。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即人民币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（大写）         （小写）     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完成项目建设内容并验收合格后15个工作日内，甲方向乙方支付合同总金额的40%。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即人民币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（大写）         （小写）     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bidi w:val="0"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乙方在甲方办理以上各期付款的支付手续前，应向甲方出具等额的符合国家规定的发票。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2、结算方式:银行转账。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3、结算单位:甲方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负责</w:t>
      </w: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  <w:t>结算，乙方开具等额发票交采购人。乙方延迟开具或递交发票，甲方不承担延迟付款的违约责任。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五、服务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内容及要求：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根据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文件采购内容服务要求及供应商响应文件承诺。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六、服务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质量：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1、乙方将按照招标文件要求以及乙方递交的响应文件、承诺文件来保障服务质量。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2、所有服务以及服务配置与响应文件、合同约定的数量、质量及性能，符合磋商文件中提出的要求，所有资源服务均为全新的。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3、乙方应当保证所供服务资源的来源渠道正常，并应对所有设备的质量问题负责。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4、按照国家相应质量体系要求及项目相关要求，保质、按时、全面地完成项目实施，确保项目服务交付完成。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验收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1、在提交全部相关文档、代码等交付物的前提下，中标单位向采购方提出验收申请，由采购方邀请有关专家组织现场验收。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2、项目成果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提交包括以下：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（1）数据成果，包括陕西省批而未供批文清理认定矢量成果及清单表、“双随机、一公开”抽查打分表等；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（2）项目文档成果，包括项目实施方案、工作报告、 技术报告、核查成果分析报告等；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（3）项目实施过程中产生的各类成果资料，包括各类佐证材料。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保密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乙方应为本项目所配备的人员须与甲方签订由甲方制定的保密协议，并遵照执行。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九、服务要求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服务质量：针对服务内容及要求建立适用于本项目的质量管理制度，控制各工作环节质量，及时发现实施过程中存在的质量隐患及问题，并提出针对性的解决措施，以满足成果质量要求。中标人所提供的项目成果必须经甲方审核验收，符合甲方要求，并达到技术指标先进、质量可靠、配置合理，满足招标文件要求。服务的质量必须符合国家标准和有关规范，确保服务达到最佳使用要求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2、服务团队：针对服务内容及要求组建适用于本项目的服务团队，以确保本项目按照规范要求实施和有序推进。要求人员数量充足，相关人员具有胜任相关工作的能力。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3、风险控制：针对服务内容及要求建立适用于本项目的风险控制制度，对可能出现的影响项目实施的各类风险进行全面梳理、评估并制定相应的应急预案， 以确保本项目顺利实施。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十、知识产权归属和处理方式</w:t>
      </w:r>
    </w:p>
    <w:p>
      <w:pPr>
        <w:pStyle w:val="8"/>
        <w:numPr>
          <w:ilvl w:val="0"/>
          <w:numId w:val="4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 xml:space="preserve">供应商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供应商承担所 有相关责任。采购人享有本项目实施过程中产生的知识成果及知识产权。 </w:t>
      </w:r>
    </w:p>
    <w:p>
      <w:pPr>
        <w:pStyle w:val="8"/>
        <w:numPr>
          <w:ilvl w:val="0"/>
          <w:numId w:val="4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 xml:space="preserve">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 </w:t>
      </w:r>
    </w:p>
    <w:p>
      <w:pPr>
        <w:pStyle w:val="8"/>
        <w:numPr>
          <w:ilvl w:val="0"/>
          <w:numId w:val="4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如采用供应商所不拥有的知识产权，则在报价中必须包括合法使用该知识产权的相关费用。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4、构成本招标文件的各组成部分，未经采购人书面同意，供应商不得擅自复印或用于非本招标项目所需的其他目的。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合同争议的解决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合同执行中发生争议的，当事人双方应协商解决。协商达不成一致时，可向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所在地人民法院申请诉讼。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不可抗力情况下的免责约定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十三、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违约责任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1.按《中华人民共和国政府采购法》、《中华人民共和国民法典》中的相关条款执行。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2.未按合同或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文件要求提供产品或供应的产品质量不能满足甲方技术要求，甲方单位有权终止合同，甚至对乙方违约行为进行追究。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3.乙方的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文件为签订正式书面合同书不可分割的部分，乙方应履行相应的责任。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其他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（在合同中具体明确）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十五、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合同订立</w:t>
      </w:r>
    </w:p>
    <w:p>
      <w:pPr>
        <w:numPr>
          <w:ilvl w:val="0"/>
          <w:numId w:val="5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订立时间：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日。</w:t>
      </w:r>
    </w:p>
    <w:p>
      <w:pPr>
        <w:numPr>
          <w:ilvl w:val="0"/>
          <w:numId w:val="5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订立地点：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 本合同一式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份，其中，合同正本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份，副本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份，具有同等法律效力，正副本不一致，以正本为准。双方各执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双方签字盖章后生效，合同执行完毕自动失效。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highlight w:val="none"/>
        </w:rPr>
      </w:pPr>
    </w:p>
    <w:tbl>
      <w:tblPr>
        <w:tblStyle w:val="5"/>
        <w:tblpPr w:leftFromText="180" w:rightFromText="180" w:vertAnchor="text" w:horzAnchor="margin" w:tblpXSpec="center" w:tblpY="54"/>
        <w:tblW w:w="92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3"/>
        <w:gridCol w:w="4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8" w:hRule="atLeast"/>
          <w:jc w:val="center"/>
        </w:trPr>
        <w:tc>
          <w:tcPr>
            <w:tcW w:w="4613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>
            <w:pPr>
              <w:autoSpaceDE w:val="0"/>
              <w:autoSpaceDN w:val="0"/>
              <w:spacing w:line="360" w:lineRule="auto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甲方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名称：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地    址：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邮    编：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电    话：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传    真：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法定代表人或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授权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代表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签字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spacing w:line="360" w:lineRule="auto"/>
              <w:ind w:left="210" w:leftChars="100"/>
              <w:rPr>
                <w:rFonts w:ascii="宋体" w:hAnsi="宋体" w:cs="宋体"/>
                <w:sz w:val="24"/>
                <w:highlight w:val="none"/>
              </w:rPr>
            </w:pPr>
          </w:p>
          <w:p>
            <w:pPr>
              <w:spacing w:line="360" w:lineRule="auto"/>
              <w:ind w:left="210" w:leftChars="100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签订时间：</w:t>
            </w:r>
          </w:p>
        </w:tc>
        <w:tc>
          <w:tcPr>
            <w:tcW w:w="466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乙方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名称：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地    址：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邮    编：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电    话：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 xml:space="preserve">传    真：  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开户银行：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帐    号：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法定代表人或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授权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代表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签字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：</w:t>
            </w: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</w:p>
          <w:p>
            <w:pPr>
              <w:autoSpaceDE w:val="0"/>
              <w:autoSpaceDN w:val="0"/>
              <w:spacing w:line="360" w:lineRule="auto"/>
              <w:ind w:left="210" w:leftChars="100"/>
              <w:rPr>
                <w:rFonts w:hint="eastAsia"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签订时间：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0C5379"/>
    <w:multiLevelType w:val="singleLevel"/>
    <w:tmpl w:val="C10C53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0AC371E"/>
    <w:multiLevelType w:val="multilevel"/>
    <w:tmpl w:val="E0AC371E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10360E94"/>
    <w:multiLevelType w:val="singleLevel"/>
    <w:tmpl w:val="10360E9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EC9021E"/>
    <w:multiLevelType w:val="singleLevel"/>
    <w:tmpl w:val="3EC9021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153D092"/>
    <w:multiLevelType w:val="singleLevel"/>
    <w:tmpl w:val="4153D0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68F722DE"/>
    <w:rsid w:val="0CD12F5A"/>
    <w:rsid w:val="5DB674BE"/>
    <w:rsid w:val="68F7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600" w:lineRule="exact"/>
      <w:jc w:val="center"/>
      <w:outlineLvl w:val="0"/>
    </w:pPr>
    <w:rPr>
      <w:rFonts w:ascii="Times New Roman" w:hAnsi="Times New Roman" w:cs="Times New Roman"/>
      <w:b/>
      <w:kern w:val="44"/>
      <w:sz w:val="36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7"/>
    </w:pPr>
    <w:rPr>
      <w:rFonts w:eastAsia="黑体"/>
      <w:bCs/>
      <w:szCs w:val="32"/>
    </w:rPr>
  </w:style>
  <w:style w:type="paragraph" w:styleId="4">
    <w:name w:val="toc 1"/>
    <w:basedOn w:val="1"/>
    <w:next w:val="1"/>
    <w:qFormat/>
    <w:uiPriority w:val="1"/>
    <w:pPr>
      <w:spacing w:line="272" w:lineRule="exact"/>
      <w:ind w:left="100"/>
    </w:pPr>
    <w:rPr>
      <w:rFonts w:ascii="宋体" w:hAnsi="宋体" w:eastAsia="宋体" w:cs="宋体"/>
      <w:sz w:val="21"/>
      <w:szCs w:val="21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2026-08-07T07:00:00Z</dcterms:created>
  <dc:creator>麻怡欣</dc:creator>
  <cp:lastModifiedBy>洋芋</cp:lastModifiedBy>
  <dcterms:modified xsi:type="dcterms:W3CDTF">2026-08-11T01:51:51Z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AA5AD2BB388C4C5AA3D2B30F6178F8AD</vt:lpwstr>
  </property>
</Properties>
</file>