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版本号：ZHZB-2026-9920260807001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陕西省国土调查云能力升级维护项目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ZHZB-2026-99</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陕西省国土调查云能力升级维护项目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陕西省国土调查云能力升级维护项目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陕西省国土调查云能力升级维护项目，具体详见采购文件。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采购包1（陕西省国土调查云能力升级维护项目）：属于专门面向中小企业采购。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p>
      <w:pPr>
        <w:pStyle w:val="null3"/>
      </w:pPr>
      <w:r>
        <w:rPr>
          <w:rFonts w:ascii="仿宋_GB2312" w:hAnsi="仿宋_GB2312" w:cs="仿宋_GB2312" w:eastAsia="仿宋_GB2312"/>
        </w:rPr>
        <w:t>3、税收缴纳证明：提供2026年1月至今任意一个月的纳税证明或完税证明，纳税证明或完税证明上应有代收机构或税务机关的公章，依法免税的单位应提供相关证明材料；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4、社会保障资金缴纳证明：提供2026年1月至今任意一个月的社保缴费凭据或社保机构开具的社会保险参保缴费情况证明，依法不需要缴纳社会保障资金的单位应提供相关证明材料；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w:t>
      </w:r>
    </w:p>
    <w:p>
      <w:pPr>
        <w:pStyle w:val="null3"/>
      </w:pPr>
      <w:r>
        <w:rPr>
          <w:rFonts w:ascii="仿宋_GB2312" w:hAnsi="仿宋_GB2312" w:cs="仿宋_GB2312" w:eastAsia="仿宋_GB2312"/>
        </w:rPr>
        <w:t>6、信用查询：供应商未被“信用中国”网站（www.creditchina.gov.cn）中列入失信被执行人和重大税收违法失信主体，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7、专业技术能力证明：提供具有履行合同所必需的设备和专业技术能力的书面声明；</w:t>
      </w:r>
    </w:p>
    <w:p>
      <w:pPr>
        <w:pStyle w:val="null3"/>
      </w:pPr>
      <w:r>
        <w:rPr>
          <w:rFonts w:ascii="仿宋_GB2312" w:hAnsi="仿宋_GB2312" w:cs="仿宋_GB2312" w:eastAsia="仿宋_GB2312"/>
        </w:rPr>
        <w:t>8、法定代表人委托授权书/法定代表人身份证明：提供法定代表人授权书（附法定代表人身份证复印件）及被授权代理人身份证复印件（法定代表人直接参加只需提供法定代表人身份证复印件）；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9、测绘资质：乙级或以上测绘资质（专业类别包含地理信息系统工程）。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029-84333294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喻志宏、王臻、王阿磊、赵偲偲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15102853505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代理服务费收费标准：中标(或成交)服务费以中标（成交）价为基数，参照《招标代理服务收费管理暂行办法》计价格[2002]1980号文和发改价格[2011]534号文件规定标准收取。由成交方向受托人支付。 代理费缴纳账户： 开户名称：众合国际项目管理有限公司 开户银行：西安银行股份有限公司高新四路支行 银行账号：6110 1158 0000 0858 34 转账事由：（项目名称）代理服务费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联系人：喻志宏</w:t>
      </w:r>
    </w:p>
    <w:p>
      <w:pPr>
        <w:pStyle w:val="null3"/>
      </w:pPr>
      <w:r>
        <w:rPr>
          <w:rFonts w:ascii="仿宋_GB2312" w:hAnsi="仿宋_GB2312" w:cs="仿宋_GB2312" w:eastAsia="仿宋_GB2312"/>
        </w:rPr>
        <w:t>联系电话：15102853505</w:t>
      </w:r>
    </w:p>
    <w:p>
      <w:pPr>
        <w:pStyle w:val="null3"/>
      </w:pPr>
      <w:r>
        <w:rPr>
          <w:rFonts w:ascii="仿宋_GB2312" w:hAnsi="仿宋_GB2312" w:cs="仿宋_GB2312" w:eastAsia="仿宋_GB2312"/>
        </w:rPr>
        <w:t>地址：西安市丰登南路3号1幢306室(丰庆公园北门往西200米F中心三楼)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陕西省国土调查云能力升级维护项目，详见采购文件。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陕西省国土调查云能力升级维护项目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标的名称：陕西省国土调查云能力升级维护项目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一、建设背景</w:t>
            </w:r>
          </w:p>
          <w:p>
            <w:pPr>
              <w:pStyle w:val="null3"/>
            </w:pPr>
            <w:r>
              <w:rPr>
                <w:rFonts w:ascii="仿宋_GB2312" w:hAnsi="仿宋_GB2312" w:cs="仿宋_GB2312" w:eastAsia="仿宋_GB2312"/>
              </w:rPr>
              <w:t>遵照自然资源部国土调查云省级节点建设部署与陕西省自然资源数字化建设工作要求，全省国土变更调查、耕地动态监测、实地核查举证等核心业务已常态化依托国土调查云陕西分中心落地应用。现有系统底层架构未完成国产化适配，软硬件依赖非国产环境，无法适配信创落地、数据安全管控等新规要求，同时现有平台功能、运维架构难以匹配现阶段自然资源精细化监管新业务需求。为夯实自主可控技术底座、补齐系统短板，启动国土调查云陕西分中心建设，实施平台国产化适配改造与系统迭代升级。</w:t>
            </w:r>
          </w:p>
          <w:p>
            <w:pPr>
              <w:pStyle w:val="null3"/>
            </w:pPr>
            <w:r>
              <w:rPr>
                <w:rFonts w:ascii="仿宋_GB2312" w:hAnsi="仿宋_GB2312" w:cs="仿宋_GB2312" w:eastAsia="仿宋_GB2312"/>
              </w:rPr>
              <w:t>二、建设目标</w:t>
            </w:r>
          </w:p>
          <w:p>
            <w:pPr>
              <w:pStyle w:val="null3"/>
            </w:pPr>
            <w:r>
              <w:rPr>
                <w:rFonts w:ascii="仿宋_GB2312" w:hAnsi="仿宋_GB2312" w:cs="仿宋_GB2312" w:eastAsia="仿宋_GB2312"/>
              </w:rPr>
              <w:t>建成</w:t>
            </w:r>
            <w:r>
              <w:rPr>
                <w:rFonts w:ascii="仿宋_GB2312" w:hAnsi="仿宋_GB2312" w:cs="仿宋_GB2312" w:eastAsia="仿宋_GB2312"/>
              </w:rPr>
              <w:t>“国产化、专业化、协同化、常态化”的国土调查云陕西分中心（简称：分中心），全面提升陕西省国土调查与自然资源管理的信息化、智能化水平，构建横向连通相关部门、纵向贯通省、市、县各级的自然资源监测网络体系，打破“信息孤岛”，实现业务协同高效、数据共享顺畅、监管精准有力，为陕西省自然资源全要素监测监管工作提供坚实的技术支撑，助力陕西省自然资源治理体系和治理能力现代化，打造全省领先的自然资源数智化转型示范标杆。</w:t>
            </w:r>
          </w:p>
          <w:p>
            <w:pPr>
              <w:pStyle w:val="null3"/>
            </w:pPr>
            <w:r>
              <w:rPr>
                <w:rFonts w:ascii="仿宋_GB2312" w:hAnsi="仿宋_GB2312" w:cs="仿宋_GB2312" w:eastAsia="仿宋_GB2312"/>
              </w:rPr>
              <w:t>三、建设依据</w:t>
            </w:r>
          </w:p>
          <w:p>
            <w:pPr>
              <w:pStyle w:val="null3"/>
            </w:pPr>
            <w:r>
              <w:rPr>
                <w:rFonts w:ascii="仿宋_GB2312" w:hAnsi="仿宋_GB2312" w:cs="仿宋_GB2312" w:eastAsia="仿宋_GB2312"/>
              </w:rPr>
              <w:t>1、政策依据：</w:t>
            </w:r>
          </w:p>
          <w:p>
            <w:pPr>
              <w:pStyle w:val="null3"/>
            </w:pPr>
            <w:r>
              <w:rPr>
                <w:rFonts w:ascii="仿宋_GB2312" w:hAnsi="仿宋_GB2312" w:cs="仿宋_GB2312" w:eastAsia="仿宋_GB2312"/>
              </w:rPr>
              <w:t>（</w:t>
            </w:r>
            <w:r>
              <w:rPr>
                <w:rFonts w:ascii="仿宋_GB2312" w:hAnsi="仿宋_GB2312" w:cs="仿宋_GB2312" w:eastAsia="仿宋_GB2312"/>
              </w:rPr>
              <w:t>1）《自然资源调查监测体系构建总体方案》</w:t>
            </w:r>
          </w:p>
          <w:p>
            <w:pPr>
              <w:pStyle w:val="null3"/>
            </w:pPr>
            <w:r>
              <w:rPr>
                <w:rFonts w:ascii="仿宋_GB2312" w:hAnsi="仿宋_GB2312" w:cs="仿宋_GB2312" w:eastAsia="仿宋_GB2312"/>
              </w:rPr>
              <w:t>（</w:t>
            </w:r>
            <w:r>
              <w:rPr>
                <w:rFonts w:ascii="仿宋_GB2312" w:hAnsi="仿宋_GB2312" w:cs="仿宋_GB2312" w:eastAsia="仿宋_GB2312"/>
              </w:rPr>
              <w:t>2）《“国土调查云”建设发展规划（2024-2026）》</w:t>
            </w:r>
          </w:p>
          <w:p>
            <w:pPr>
              <w:pStyle w:val="null3"/>
            </w:pPr>
            <w:r>
              <w:rPr>
                <w:rFonts w:ascii="仿宋_GB2312" w:hAnsi="仿宋_GB2312" w:cs="仿宋_GB2312" w:eastAsia="仿宋_GB2312"/>
              </w:rPr>
              <w:t>2、技术依据。</w:t>
            </w:r>
          </w:p>
          <w:p>
            <w:pPr>
              <w:pStyle w:val="null3"/>
            </w:pPr>
            <w:r>
              <w:rPr>
                <w:rFonts w:ascii="仿宋_GB2312" w:hAnsi="仿宋_GB2312" w:cs="仿宋_GB2312" w:eastAsia="仿宋_GB2312"/>
              </w:rPr>
              <w:t>（</w:t>
            </w:r>
            <w:r>
              <w:rPr>
                <w:rFonts w:ascii="仿宋_GB2312" w:hAnsi="仿宋_GB2312" w:cs="仿宋_GB2312" w:eastAsia="仿宋_GB2312"/>
              </w:rPr>
              <w:t>1）《计算机软件开发规范》（GB8566-88）；</w:t>
            </w:r>
          </w:p>
          <w:p>
            <w:pPr>
              <w:pStyle w:val="null3"/>
            </w:pPr>
            <w:r>
              <w:rPr>
                <w:rFonts w:ascii="仿宋_GB2312" w:hAnsi="仿宋_GB2312" w:cs="仿宋_GB2312" w:eastAsia="仿宋_GB2312"/>
              </w:rPr>
              <w:t>（</w:t>
            </w:r>
            <w:r>
              <w:rPr>
                <w:rFonts w:ascii="仿宋_GB2312" w:hAnsi="仿宋_GB2312" w:cs="仿宋_GB2312" w:eastAsia="仿宋_GB2312"/>
              </w:rPr>
              <w:t>2）《计算机软件系统开发文件编制指南》（GB8567-88）；</w:t>
            </w:r>
          </w:p>
          <w:p>
            <w:pPr>
              <w:pStyle w:val="null3"/>
            </w:pPr>
            <w:r>
              <w:rPr>
                <w:rFonts w:ascii="仿宋_GB2312" w:hAnsi="仿宋_GB2312" w:cs="仿宋_GB2312" w:eastAsia="仿宋_GB2312"/>
              </w:rPr>
              <w:t>（</w:t>
            </w:r>
            <w:r>
              <w:rPr>
                <w:rFonts w:ascii="仿宋_GB2312" w:hAnsi="仿宋_GB2312" w:cs="仿宋_GB2312" w:eastAsia="仿宋_GB2312"/>
              </w:rPr>
              <w:t>3）《计算机软件质量保证计划规范》（GB/T 12504-90）；</w:t>
            </w:r>
          </w:p>
          <w:p>
            <w:pPr>
              <w:pStyle w:val="null3"/>
            </w:pPr>
            <w:r>
              <w:rPr>
                <w:rFonts w:ascii="仿宋_GB2312" w:hAnsi="仿宋_GB2312" w:cs="仿宋_GB2312" w:eastAsia="仿宋_GB2312"/>
              </w:rPr>
              <w:t>（</w:t>
            </w:r>
            <w:r>
              <w:rPr>
                <w:rFonts w:ascii="仿宋_GB2312" w:hAnsi="仿宋_GB2312" w:cs="仿宋_GB2312" w:eastAsia="仿宋_GB2312"/>
              </w:rPr>
              <w:t>4）《计算机软件配置管理计划规范》（GB/T 12505-90）；</w:t>
            </w:r>
          </w:p>
          <w:p>
            <w:pPr>
              <w:pStyle w:val="null3"/>
            </w:pPr>
            <w:r>
              <w:rPr>
                <w:rFonts w:ascii="仿宋_GB2312" w:hAnsi="仿宋_GB2312" w:cs="仿宋_GB2312" w:eastAsia="仿宋_GB2312"/>
              </w:rPr>
              <w:t>（</w:t>
            </w:r>
            <w:r>
              <w:rPr>
                <w:rFonts w:ascii="仿宋_GB2312" w:hAnsi="仿宋_GB2312" w:cs="仿宋_GB2312" w:eastAsia="仿宋_GB2312"/>
              </w:rPr>
              <w:t>5）《计算机软件需求说明编制指南》（GB9385-88）；</w:t>
            </w:r>
          </w:p>
          <w:p>
            <w:pPr>
              <w:pStyle w:val="null3"/>
            </w:pPr>
            <w:r>
              <w:rPr>
                <w:rFonts w:ascii="仿宋_GB2312" w:hAnsi="仿宋_GB2312" w:cs="仿宋_GB2312" w:eastAsia="仿宋_GB2312"/>
              </w:rPr>
              <w:t>（</w:t>
            </w:r>
            <w:r>
              <w:rPr>
                <w:rFonts w:ascii="仿宋_GB2312" w:hAnsi="仿宋_GB2312" w:cs="仿宋_GB2312" w:eastAsia="仿宋_GB2312"/>
              </w:rPr>
              <w:t>6）《软件项目术语》（GB/T11457）；</w:t>
            </w:r>
          </w:p>
          <w:p>
            <w:pPr>
              <w:pStyle w:val="null3"/>
            </w:pPr>
            <w:r>
              <w:rPr>
                <w:rFonts w:ascii="仿宋_GB2312" w:hAnsi="仿宋_GB2312" w:cs="仿宋_GB2312" w:eastAsia="仿宋_GB2312"/>
              </w:rPr>
              <w:t>（</w:t>
            </w:r>
            <w:r>
              <w:rPr>
                <w:rFonts w:ascii="仿宋_GB2312" w:hAnsi="仿宋_GB2312" w:cs="仿宋_GB2312" w:eastAsia="仿宋_GB2312"/>
              </w:rPr>
              <w:t>7）《电子证照 共享服务接口规范》（GB/T 36906-2018）；</w:t>
            </w:r>
          </w:p>
          <w:p>
            <w:pPr>
              <w:pStyle w:val="null3"/>
            </w:pPr>
            <w:r>
              <w:rPr>
                <w:rFonts w:ascii="仿宋_GB2312" w:hAnsi="仿宋_GB2312" w:cs="仿宋_GB2312" w:eastAsia="仿宋_GB2312"/>
              </w:rPr>
              <w:t>（</w:t>
            </w:r>
            <w:r>
              <w:rPr>
                <w:rFonts w:ascii="仿宋_GB2312" w:hAnsi="仿宋_GB2312" w:cs="仿宋_GB2312" w:eastAsia="仿宋_GB2312"/>
              </w:rPr>
              <w:t>8）《信息系统安全等级保护实施指南》（GB/T25058-2010）；</w:t>
            </w:r>
          </w:p>
          <w:p>
            <w:pPr>
              <w:pStyle w:val="null3"/>
            </w:pPr>
            <w:r>
              <w:rPr>
                <w:rFonts w:ascii="仿宋_GB2312" w:hAnsi="仿宋_GB2312" w:cs="仿宋_GB2312" w:eastAsia="仿宋_GB2312"/>
              </w:rPr>
              <w:t>（</w:t>
            </w:r>
            <w:r>
              <w:rPr>
                <w:rFonts w:ascii="仿宋_GB2312" w:hAnsi="仿宋_GB2312" w:cs="仿宋_GB2312" w:eastAsia="仿宋_GB2312"/>
              </w:rPr>
              <w:t>9）《信息安全技术 网络安全等级保护基本要求》（GB/T 22239-2019）；</w:t>
            </w:r>
          </w:p>
          <w:p>
            <w:pPr>
              <w:pStyle w:val="null3"/>
            </w:pPr>
            <w:r>
              <w:rPr>
                <w:rFonts w:ascii="仿宋_GB2312" w:hAnsi="仿宋_GB2312" w:cs="仿宋_GB2312" w:eastAsia="仿宋_GB2312"/>
              </w:rPr>
              <w:t>（</w:t>
            </w:r>
            <w:r>
              <w:rPr>
                <w:rFonts w:ascii="仿宋_GB2312" w:hAnsi="仿宋_GB2312" w:cs="仿宋_GB2312" w:eastAsia="仿宋_GB2312"/>
              </w:rPr>
              <w:t>10）《信息安全技术 网络安全等级保护安全设计技术要求》（GB/T25070-2019）。</w:t>
            </w:r>
          </w:p>
          <w:p>
            <w:pPr>
              <w:pStyle w:val="null3"/>
            </w:pPr>
            <w:r>
              <w:rPr>
                <w:rFonts w:ascii="仿宋_GB2312" w:hAnsi="仿宋_GB2312" w:cs="仿宋_GB2312" w:eastAsia="仿宋_GB2312"/>
              </w:rPr>
              <w:t>（</w:t>
            </w:r>
            <w:r>
              <w:rPr>
                <w:rFonts w:ascii="仿宋_GB2312" w:hAnsi="仿宋_GB2312" w:cs="仿宋_GB2312" w:eastAsia="仿宋_GB2312"/>
              </w:rPr>
              <w:t>11）《国土调查监测实地核实举证技术规范》</w:t>
            </w:r>
          </w:p>
          <w:p>
            <w:pPr>
              <w:pStyle w:val="null3"/>
            </w:pPr>
            <w:r>
              <w:rPr>
                <w:rFonts w:ascii="仿宋_GB2312" w:hAnsi="仿宋_GB2312" w:cs="仿宋_GB2312" w:eastAsia="仿宋_GB2312"/>
              </w:rPr>
              <w:t>（</w:t>
            </w:r>
            <w:r>
              <w:rPr>
                <w:rFonts w:ascii="仿宋_GB2312" w:hAnsi="仿宋_GB2312" w:cs="仿宋_GB2312" w:eastAsia="仿宋_GB2312"/>
              </w:rPr>
              <w:t>12）《国土调查云部省共建分中心建设标准》</w:t>
            </w:r>
          </w:p>
          <w:p>
            <w:pPr>
              <w:pStyle w:val="null3"/>
            </w:pPr>
            <w:r>
              <w:rPr>
                <w:rFonts w:ascii="仿宋_GB2312" w:hAnsi="仿宋_GB2312" w:cs="仿宋_GB2312" w:eastAsia="仿宋_GB2312"/>
              </w:rPr>
              <w:t>四、建设内容</w:t>
            </w:r>
          </w:p>
          <w:p>
            <w:pPr>
              <w:pStyle w:val="null3"/>
            </w:pPr>
            <w:r>
              <w:rPr>
                <w:rFonts w:ascii="仿宋_GB2312" w:hAnsi="仿宋_GB2312" w:cs="仿宋_GB2312" w:eastAsia="仿宋_GB2312"/>
              </w:rPr>
              <w:t xml:space="preserve">  </w:t>
            </w:r>
            <w:r>
              <w:rPr>
                <w:rFonts w:ascii="仿宋_GB2312" w:hAnsi="仿宋_GB2312" w:cs="仿宋_GB2312" w:eastAsia="仿宋_GB2312"/>
              </w:rPr>
              <w:t>（一）国产化适配能力建设</w:t>
            </w:r>
          </w:p>
          <w:p>
            <w:pPr>
              <w:pStyle w:val="null3"/>
            </w:pPr>
            <w:r>
              <w:rPr>
                <w:rFonts w:ascii="仿宋_GB2312" w:hAnsi="仿宋_GB2312" w:cs="仿宋_GB2312" w:eastAsia="仿宋_GB2312"/>
              </w:rPr>
              <w:t>围绕国土调查云陕西分中心常态化业务调度、数据接收处理、任务管控等全流程业务运行实际需求，统筹开展国产化基础设施环境规划工作，按需申请国产</w:t>
            </w:r>
            <w:r>
              <w:rPr>
                <w:rFonts w:ascii="仿宋_GB2312" w:hAnsi="仿宋_GB2312" w:cs="仿宋_GB2312" w:eastAsia="仿宋_GB2312"/>
              </w:rPr>
              <w:t>CPU 服务器、国产化终端、国产操作系统、国产数据库及国产中间件等软硬件资源，分步完成平台原有国外架构设备、基础软件、第三方依赖组件的国产化替换落地，从算力底座、基础支撑软件层面完成核心软硬件全维度替代。同步开展国土调查云陕西分中心应用程序代码改造、接口调试、驱动兼容优化与全场景功能适配工作，逐项整改软硬件兼容异常、语法适配、业务链路断点等问题，配套开展功能测试、压力测试、长时间试运行验证，全面消除国产化环境运行隐患，确保国土调查云陕西分中心原有全部业务功能、数据传输流转、任务调度逻辑无缺失，实现在国产化软硬件环境下连续、安全、稳定、高效运行，夯实国土调查云陕西分中心自主可控安全底座，满足信创合规及业务长期不间断运维管控要求。</w:t>
            </w:r>
          </w:p>
          <w:p>
            <w:pPr>
              <w:pStyle w:val="null3"/>
            </w:pPr>
            <w:r>
              <w:rPr>
                <w:rFonts w:ascii="仿宋_GB2312" w:hAnsi="仿宋_GB2312" w:cs="仿宋_GB2312" w:eastAsia="仿宋_GB2312"/>
              </w:rPr>
              <w:t xml:space="preserve">  </w:t>
            </w:r>
            <w:r>
              <w:rPr>
                <w:rFonts w:ascii="仿宋_GB2312" w:hAnsi="仿宋_GB2312" w:cs="仿宋_GB2312" w:eastAsia="仿宋_GB2312"/>
              </w:rPr>
              <w:t>（二）平台统一支撑能力提升</w:t>
            </w:r>
          </w:p>
          <w:p>
            <w:pPr>
              <w:pStyle w:val="null3"/>
            </w:pPr>
            <w:r>
              <w:rPr>
                <w:rFonts w:ascii="仿宋_GB2312" w:hAnsi="仿宋_GB2312" w:cs="仿宋_GB2312" w:eastAsia="仿宋_GB2312"/>
              </w:rPr>
              <w:t>1、WEB平台统一架构升级维护</w:t>
            </w:r>
          </w:p>
          <w:p>
            <w:pPr>
              <w:pStyle w:val="null3"/>
            </w:pPr>
            <w:r>
              <w:rPr>
                <w:rFonts w:ascii="仿宋_GB2312" w:hAnsi="仿宋_GB2312" w:cs="仿宋_GB2312" w:eastAsia="仿宋_GB2312"/>
              </w:rPr>
              <w:t>依托现有系统底座实施</w:t>
            </w:r>
            <w:r>
              <w:rPr>
                <w:rFonts w:ascii="仿宋_GB2312" w:hAnsi="仿宋_GB2312" w:cs="仿宋_GB2312" w:eastAsia="仿宋_GB2312"/>
              </w:rPr>
              <w:t>WEB 平台统一架构升级维护，完成门户网站改版优化，提升页面展示、交互体验与内容发布管理能力；统一全平台技术标准、底层框架及公共基础组件，提升系统稳定性能、业务扩展能力，简化平台日常运维工作。</w:t>
            </w:r>
          </w:p>
          <w:p>
            <w:pPr>
              <w:pStyle w:val="null3"/>
            </w:pPr>
            <w:r>
              <w:rPr>
                <w:rFonts w:ascii="仿宋_GB2312" w:hAnsi="仿宋_GB2312" w:cs="仿宋_GB2312" w:eastAsia="仿宋_GB2312"/>
              </w:rPr>
              <w:t>2、2026年度一体化监测模块升级</w:t>
            </w:r>
          </w:p>
          <w:p>
            <w:pPr>
              <w:pStyle w:val="null3"/>
            </w:pPr>
            <w:r>
              <w:rPr>
                <w:rFonts w:ascii="仿宋_GB2312" w:hAnsi="仿宋_GB2312" w:cs="仿宋_GB2312" w:eastAsia="仿宋_GB2312"/>
              </w:rPr>
              <w:t>结合自然资源部办公厅国家林业和草原局办公室关于开展</w:t>
            </w:r>
            <w:r>
              <w:rPr>
                <w:rFonts w:ascii="仿宋_GB2312" w:hAnsi="仿宋_GB2312" w:cs="仿宋_GB2312" w:eastAsia="仿宋_GB2312"/>
              </w:rPr>
              <w:t>2026年度一体化调查监测工作的通知，依托现有国土调查云陕西分中心开展“2026 年度一体化日常变更专项模块迭代升级”。模块全面适配国土变更调查、林草湿荒调查监测一体化协同业务流程，落实 “统一底图、统一标准、统一成果” 工作要求，覆盖季度监测、常态化监测、多维度属性填报、全流程质量校验等新版业务规则，兼容 2026 年度地类调整、图层精简、耕地细化标注、林草监测指标优化等最新技术细则，支撑全省国土变更调查、林草湿荒调查监测一体化协同开展。</w:t>
            </w:r>
          </w:p>
          <w:p>
            <w:pPr>
              <w:pStyle w:val="null3"/>
            </w:pPr>
            <w:r>
              <w:rPr>
                <w:rFonts w:ascii="仿宋_GB2312" w:hAnsi="仿宋_GB2312" w:cs="仿宋_GB2312" w:eastAsia="仿宋_GB2312"/>
              </w:rPr>
              <w:t>3、数据成果报送系统</w:t>
            </w:r>
          </w:p>
          <w:p>
            <w:pPr>
              <w:pStyle w:val="null3"/>
            </w:pPr>
            <w:r>
              <w:rPr>
                <w:rFonts w:ascii="仿宋_GB2312" w:hAnsi="仿宋_GB2312" w:cs="仿宋_GB2312" w:eastAsia="仿宋_GB2312"/>
              </w:rPr>
              <w:t>建设国土调查云陕西分中心内网专属报送模块，打通与国家级国土调查云内网成果报送系统标准数据接口，同步完成与省级国土</w:t>
            </w:r>
            <w:r>
              <w:rPr>
                <w:rFonts w:ascii="仿宋_GB2312" w:hAnsi="仿宋_GB2312" w:cs="仿宋_GB2312" w:eastAsia="仿宋_GB2312"/>
              </w:rPr>
              <w:t>“陕西一张图”内网平台接口对接；构建部省互通、省域互通的数据流转通道，实现省级汇总调查成果在线推送、同步至陕西一张图平台落地应用，保障调查监测数据省级共享、一体化业务调用。</w:t>
            </w:r>
          </w:p>
          <w:p>
            <w:pPr>
              <w:pStyle w:val="null3"/>
            </w:pPr>
            <w:r>
              <w:rPr>
                <w:rFonts w:ascii="仿宋_GB2312" w:hAnsi="仿宋_GB2312" w:cs="仿宋_GB2312" w:eastAsia="仿宋_GB2312"/>
              </w:rPr>
              <w:t>4、用户管理体系升级改造</w:t>
            </w:r>
          </w:p>
          <w:p>
            <w:pPr>
              <w:pStyle w:val="null3"/>
            </w:pPr>
            <w:r>
              <w:rPr>
                <w:rFonts w:ascii="仿宋_GB2312" w:hAnsi="仿宋_GB2312" w:cs="仿宋_GB2312" w:eastAsia="仿宋_GB2312"/>
              </w:rPr>
              <w:t>为进一步优化平台精细化管理能力、完善权限管控体系、可视化展示平台建设成果、规范组织人员架构管理，贴合陕西分中心实际业务作业、人员管控、成果汇报场景需求，对平台系统管理核心能力进行升级优化，补齐现有功能短板，实现业务管控规范化、数据展示可视化、人员管理层级化。</w:t>
            </w:r>
          </w:p>
          <w:p>
            <w:pPr>
              <w:pStyle w:val="null3"/>
            </w:pPr>
            <w:r>
              <w:rPr>
                <w:rFonts w:ascii="仿宋_GB2312" w:hAnsi="仿宋_GB2312" w:cs="仿宋_GB2312" w:eastAsia="仿宋_GB2312"/>
              </w:rPr>
              <w:t>5、建立省级举证成果共享库</w:t>
            </w:r>
          </w:p>
          <w:p>
            <w:pPr>
              <w:pStyle w:val="null3"/>
            </w:pPr>
            <w:r>
              <w:rPr>
                <w:rFonts w:ascii="仿宋_GB2312" w:hAnsi="仿宋_GB2312" w:cs="仿宋_GB2312" w:eastAsia="仿宋_GB2312"/>
              </w:rPr>
              <w:t>依托现有专项业务举证成果，建设省级举证成果共享库，全面汇聚在各类调查监测业务工作中产生的照片、视频等非结构化数据。通过系统化数据治理，确保数据的完整性、准确性和一致性，为后续的共享和应用奠定基础。基于共享数据库制定全省举证成果共享标准规范，并开发共享接口，面向全省自然资源体系及横向政府部门提供共享应用。</w:t>
            </w:r>
          </w:p>
          <w:p>
            <w:pPr>
              <w:pStyle w:val="null3"/>
            </w:pPr>
            <w:r>
              <w:rPr>
                <w:rFonts w:ascii="仿宋_GB2312" w:hAnsi="仿宋_GB2312" w:cs="仿宋_GB2312" w:eastAsia="仿宋_GB2312"/>
              </w:rPr>
              <w:t>6、随手拍功能展示迭代升级</w:t>
            </w:r>
          </w:p>
          <w:p>
            <w:pPr>
              <w:pStyle w:val="null3"/>
            </w:pPr>
            <w:r>
              <w:rPr>
                <w:rFonts w:ascii="仿宋_GB2312" w:hAnsi="仿宋_GB2312" w:cs="仿宋_GB2312" w:eastAsia="仿宋_GB2312"/>
              </w:rPr>
              <w:t>建设移动端随手拍模块，满足领导调研、临时视察、突发情况等外业数据采集记录。实现对现场问题即时上报、问题图斑实时采集、线索一键提交成果的汇聚、各类巡查发现的实景照片可视化展示，直观呈现成果清单及日常管控工作成效。</w:t>
            </w:r>
          </w:p>
          <w:p>
            <w:pPr>
              <w:pStyle w:val="null3"/>
            </w:pPr>
            <w:r>
              <w:rPr>
                <w:rFonts w:ascii="仿宋_GB2312" w:hAnsi="仿宋_GB2312" w:cs="仿宋_GB2312" w:eastAsia="仿宋_GB2312"/>
              </w:rPr>
              <w:t>7、督察执法业务跨网数据交换模块开发</w:t>
            </w:r>
          </w:p>
          <w:p>
            <w:pPr>
              <w:pStyle w:val="null3"/>
            </w:pPr>
            <w:r>
              <w:rPr>
                <w:rFonts w:ascii="仿宋_GB2312" w:hAnsi="仿宋_GB2312" w:cs="仿宋_GB2312" w:eastAsia="仿宋_GB2312"/>
              </w:rPr>
              <w:t>对现有督察管理专项模块与陕西一张图系统进行数据交互，实现跨网数据导入，完成两端业务数据同步更新；规范完成督察执法线索数据、案件办理结果等成果标准化打包下发与成果接收，有效强化线索流转、案件办理全流程业务协同。</w:t>
            </w:r>
          </w:p>
          <w:p>
            <w:pPr>
              <w:pStyle w:val="null3"/>
            </w:pPr>
            <w:r>
              <w:rPr>
                <w:rFonts w:ascii="仿宋_GB2312" w:hAnsi="仿宋_GB2312" w:cs="仿宋_GB2312" w:eastAsia="仿宋_GB2312"/>
              </w:rPr>
              <w:t>8、移动端APP功能优化</w:t>
            </w:r>
          </w:p>
          <w:p>
            <w:pPr>
              <w:pStyle w:val="null3"/>
            </w:pPr>
            <w:r>
              <w:rPr>
                <w:rFonts w:ascii="仿宋_GB2312" w:hAnsi="仿宋_GB2312" w:cs="仿宋_GB2312" w:eastAsia="仿宋_GB2312"/>
              </w:rPr>
              <w:t>以国土调查云陕西分中心</w:t>
            </w:r>
            <w:r>
              <w:rPr>
                <w:rFonts w:ascii="仿宋_GB2312" w:hAnsi="仿宋_GB2312" w:cs="仿宋_GB2312" w:eastAsia="仿宋_GB2312"/>
              </w:rPr>
              <w:t>APP为主体，进行功能升级。</w:t>
            </w:r>
          </w:p>
          <w:p>
            <w:pPr>
              <w:pStyle w:val="null3"/>
            </w:pPr>
            <w:r>
              <w:rPr>
                <w:rFonts w:ascii="仿宋_GB2312" w:hAnsi="仿宋_GB2312" w:cs="仿宋_GB2312" w:eastAsia="仿宋_GB2312"/>
              </w:rPr>
              <w:t>AI识别功能：在外业举证时，通过AI技术识别错拍、漏拍、重拍的情况，自动修正和优化举证照片，提升举证的准确性和效率。</w:t>
            </w:r>
          </w:p>
          <w:p>
            <w:pPr>
              <w:pStyle w:val="null3"/>
            </w:pPr>
            <w:r>
              <w:rPr>
                <w:rFonts w:ascii="仿宋_GB2312" w:hAnsi="仿宋_GB2312" w:cs="仿宋_GB2312" w:eastAsia="仿宋_GB2312"/>
              </w:rPr>
              <w:t>精准定位功能：集成高精度定位能力或接入外置设备，依托</w:t>
            </w:r>
            <w:r>
              <w:rPr>
                <w:rFonts w:ascii="仿宋_GB2312" w:hAnsi="仿宋_GB2312" w:cs="仿宋_GB2312" w:eastAsia="仿宋_GB2312"/>
              </w:rPr>
              <w:t>CORS 差分定位技术，为移动端外业巡查、实地核查、随手拍上报等业务提供厘米级精准定位支撑；有效优化野外复杂环境下定位漂移、点位偏差问题，提升现场点位采集、地物标识的精准度与可靠性，满足国土调查、日常监管等外业实操高精度作业需求。</w:t>
            </w:r>
          </w:p>
          <w:p>
            <w:pPr>
              <w:pStyle w:val="null3"/>
            </w:pPr>
            <w:r>
              <w:rPr>
                <w:rFonts w:ascii="仿宋_GB2312" w:hAnsi="仿宋_GB2312" w:cs="仿宋_GB2312" w:eastAsia="仿宋_GB2312"/>
              </w:rPr>
              <w:t>消息通知：移动端支持实时接收</w:t>
            </w:r>
            <w:r>
              <w:rPr>
                <w:rFonts w:ascii="仿宋_GB2312" w:hAnsi="仿宋_GB2312" w:cs="仿宋_GB2312" w:eastAsia="仿宋_GB2312"/>
              </w:rPr>
              <w:t>Web 平台推送的通知公告及业务消息，实现信息同步直达、工作提醒及时触达。</w:t>
            </w:r>
          </w:p>
          <w:p>
            <w:pPr>
              <w:pStyle w:val="null3"/>
            </w:pPr>
            <w:r>
              <w:rPr>
                <w:rFonts w:ascii="仿宋_GB2312" w:hAnsi="仿宋_GB2312" w:cs="仿宋_GB2312" w:eastAsia="仿宋_GB2312"/>
              </w:rPr>
              <w:t>9、任务管理模块升级</w:t>
            </w:r>
          </w:p>
          <w:p>
            <w:pPr>
              <w:pStyle w:val="null3"/>
            </w:pPr>
            <w:r>
              <w:rPr>
                <w:rFonts w:ascii="仿宋_GB2312" w:hAnsi="仿宋_GB2312" w:cs="仿宋_GB2312" w:eastAsia="仿宋_GB2312"/>
              </w:rPr>
              <w:t>对平台现有任务管理模块进行迭代升级与运维优化，完善任务自定义配置、灵活创建、下发调度、全程管控等核心能力。针对调查监测、耕地保护、督察执法、生态修复等自然资源常态化核心业务，支持管理人员按需自主创建专项任务、日常巡查任务、专项核查任务，可自定义任务类型、完成时限、责任层级及处置要求。通过模块化升级，保障各类业务任务快速配置、即时上线、精准下发，适配省、市、县、乡各级自然资源常态化监管、动态核查、闭环处置工作需求，全面提升全域自然资源业务任务调度的灵活性、时效性与规范性。</w:t>
            </w:r>
          </w:p>
          <w:p>
            <w:pPr>
              <w:pStyle w:val="null3"/>
            </w:pPr>
            <w:r>
              <w:rPr>
                <w:rFonts w:ascii="仿宋_GB2312" w:hAnsi="仿宋_GB2312" w:cs="仿宋_GB2312" w:eastAsia="仿宋_GB2312"/>
              </w:rPr>
              <w:t xml:space="preserve">  </w:t>
            </w:r>
            <w:r>
              <w:rPr>
                <w:rFonts w:ascii="仿宋_GB2312" w:hAnsi="仿宋_GB2312" w:cs="仿宋_GB2312" w:eastAsia="仿宋_GB2312"/>
              </w:rPr>
              <w:t>（三）常态化技术支撑保障</w:t>
            </w:r>
          </w:p>
          <w:p>
            <w:pPr>
              <w:pStyle w:val="null3"/>
            </w:pPr>
            <w:r>
              <w:rPr>
                <w:rFonts w:ascii="仿宋_GB2312" w:hAnsi="仿宋_GB2312" w:cs="仿宋_GB2312" w:eastAsia="仿宋_GB2312"/>
              </w:rPr>
              <w:t>1、技术支持与培训</w:t>
            </w:r>
          </w:p>
          <w:p>
            <w:pPr>
              <w:pStyle w:val="null3"/>
            </w:pPr>
            <w:r>
              <w:rPr>
                <w:rFonts w:ascii="仿宋_GB2312" w:hAnsi="仿宋_GB2312" w:cs="仿宋_GB2312" w:eastAsia="仿宋_GB2312"/>
              </w:rPr>
              <w:t>组建专业技术团队，为分中心运行提供常态化技术支持，常态化系统功能维护包括日常巡查、占补平衡补充耕地、永久基本农田保护红线、全省永久基本农田非粮化疑似图斑核实、重大建设项目补划、城乡建设用地增减挂钩项目区等任务专项，及时解决业务系统运行、业务操作过程中出现的问题；开展面向市、县级自然资源部门工作人员的业务培训，提升其对分中心系统的操作能力与应用水平，保障分中心各项业务顺利开展，参考相关培训工作模式，聚焦核心业务操作与技术要点开展培训。</w:t>
            </w:r>
          </w:p>
          <w:p>
            <w:pPr>
              <w:pStyle w:val="null3"/>
            </w:pPr>
            <w:r>
              <w:rPr>
                <w:rFonts w:ascii="仿宋_GB2312" w:hAnsi="仿宋_GB2312" w:cs="仿宋_GB2312" w:eastAsia="仿宋_GB2312"/>
              </w:rPr>
              <w:t>2、安全运维与整改</w:t>
            </w:r>
          </w:p>
          <w:p>
            <w:pPr>
              <w:pStyle w:val="null3"/>
            </w:pPr>
            <w:r>
              <w:rPr>
                <w:rFonts w:ascii="仿宋_GB2312" w:hAnsi="仿宋_GB2312" w:cs="仿宋_GB2312" w:eastAsia="仿宋_GB2312"/>
              </w:rPr>
              <w:t>常态化开展平台网络、服务器、应用系统及数据安全运维工作，落实漏洞扫描问题整改、风险排查、补丁更新、权限管控、日志审计及访问防护等举措，做好日常安全监测、隐患整改与应急处置，保障系统平稳运行、数据安全合规，筑牢平台网络安全防护屏障。</w:t>
            </w:r>
          </w:p>
          <w:p>
            <w:pPr>
              <w:pStyle w:val="null3"/>
            </w:pPr>
            <w:r>
              <w:rPr>
                <w:rFonts w:ascii="仿宋_GB2312" w:hAnsi="仿宋_GB2312" w:cs="仿宋_GB2312" w:eastAsia="仿宋_GB2312"/>
              </w:rPr>
              <w:t>五、工期要求</w:t>
            </w:r>
          </w:p>
          <w:p>
            <w:pPr>
              <w:pStyle w:val="null3"/>
            </w:pPr>
            <w:r>
              <w:rPr>
                <w:rFonts w:ascii="仿宋_GB2312" w:hAnsi="仿宋_GB2312" w:cs="仿宋_GB2312" w:eastAsia="仿宋_GB2312"/>
              </w:rPr>
              <w:t>合同履行期限：合同签订之日起</w:t>
            </w:r>
            <w:r>
              <w:rPr>
                <w:rFonts w:ascii="仿宋_GB2312" w:hAnsi="仿宋_GB2312" w:cs="仿宋_GB2312" w:eastAsia="仿宋_GB2312"/>
              </w:rPr>
              <w:t>6个月，中标人需完成所有招标文件要求工作，并通过项目验收。</w:t>
            </w:r>
          </w:p>
          <w:p>
            <w:pPr>
              <w:pStyle w:val="null3"/>
            </w:pPr>
            <w:r>
              <w:rPr>
                <w:rFonts w:ascii="仿宋_GB2312" w:hAnsi="仿宋_GB2312" w:cs="仿宋_GB2312" w:eastAsia="仿宋_GB2312"/>
              </w:rPr>
              <w:t>六、技术要求</w:t>
            </w:r>
          </w:p>
          <w:p>
            <w:pPr>
              <w:pStyle w:val="null3"/>
            </w:pPr>
            <w:r>
              <w:rPr>
                <w:rFonts w:ascii="仿宋_GB2312" w:hAnsi="仿宋_GB2312" w:cs="仿宋_GB2312" w:eastAsia="仿宋_GB2312"/>
              </w:rPr>
              <w:t>系统的技术要求主要包括性能、安全等方面。</w:t>
            </w:r>
          </w:p>
          <w:p>
            <w:pPr>
              <w:pStyle w:val="null3"/>
            </w:pPr>
            <w:r>
              <w:rPr>
                <w:rFonts w:ascii="仿宋_GB2312" w:hAnsi="仿宋_GB2312" w:cs="仿宋_GB2312" w:eastAsia="仿宋_GB2312"/>
              </w:rPr>
              <w:t>（一）系统性能要求</w:t>
            </w:r>
          </w:p>
          <w:p>
            <w:pPr>
              <w:pStyle w:val="null3"/>
            </w:pPr>
            <w:r>
              <w:rPr>
                <w:rFonts w:ascii="仿宋_GB2312" w:hAnsi="仿宋_GB2312" w:cs="仿宋_GB2312" w:eastAsia="仿宋_GB2312"/>
              </w:rPr>
              <w:t>1、系统一般页面的平均查询操作响应时间不高于3秒/次；系统特殊查询统计的平均统计操作响应时间不高于10秒/次；系统的平均更新操作响应时间不高于3秒/次。</w:t>
            </w:r>
          </w:p>
          <w:p>
            <w:pPr>
              <w:pStyle w:val="null3"/>
            </w:pPr>
            <w:r>
              <w:rPr>
                <w:rFonts w:ascii="仿宋_GB2312" w:hAnsi="仿宋_GB2312" w:cs="仿宋_GB2312" w:eastAsia="仿宋_GB2312"/>
              </w:rPr>
              <w:t>2、吞吐量要求：</w:t>
            </w:r>
          </w:p>
          <w:p>
            <w:pPr>
              <w:pStyle w:val="null3"/>
            </w:pPr>
            <w:r>
              <w:rPr>
                <w:rFonts w:ascii="仿宋_GB2312" w:hAnsi="仿宋_GB2312" w:cs="仿宋_GB2312" w:eastAsia="仿宋_GB2312"/>
              </w:rPr>
              <w:t>服务器资源满足的情况下每分钟并发请求数</w:t>
            </w:r>
            <w:r>
              <w:rPr>
                <w:rFonts w:ascii="仿宋_GB2312" w:hAnsi="仿宋_GB2312" w:cs="仿宋_GB2312" w:eastAsia="仿宋_GB2312"/>
              </w:rPr>
              <w:t>50个以上。高峰时段单位小时内在线用户数1000个以上；数据存储量10TB。</w:t>
            </w:r>
          </w:p>
          <w:p>
            <w:pPr>
              <w:pStyle w:val="null3"/>
            </w:pPr>
            <w:r>
              <w:rPr>
                <w:rFonts w:ascii="仿宋_GB2312" w:hAnsi="仿宋_GB2312" w:cs="仿宋_GB2312" w:eastAsia="仿宋_GB2312"/>
              </w:rPr>
              <w:t>3、移动端APP兼容市面上主流品牌的Android 5.0版本以上操作系统手机，如华为、小米、vivo、魅族、三星、oppo 等品牌。</w:t>
            </w:r>
          </w:p>
          <w:p>
            <w:pPr>
              <w:pStyle w:val="null3"/>
            </w:pPr>
            <w:r>
              <w:rPr>
                <w:rFonts w:ascii="仿宋_GB2312" w:hAnsi="仿宋_GB2312" w:cs="仿宋_GB2312" w:eastAsia="仿宋_GB2312"/>
              </w:rPr>
              <w:t>（二）系统安全要求</w:t>
            </w:r>
          </w:p>
          <w:p>
            <w:pPr>
              <w:pStyle w:val="null3"/>
            </w:pPr>
            <w:r>
              <w:rPr>
                <w:rFonts w:ascii="仿宋_GB2312" w:hAnsi="仿宋_GB2312" w:cs="仿宋_GB2312" w:eastAsia="仿宋_GB2312"/>
              </w:rPr>
              <w:t>系统应符合信息安全三级等保要求。</w:t>
            </w:r>
          </w:p>
          <w:p>
            <w:pPr>
              <w:pStyle w:val="null3"/>
            </w:pPr>
            <w:r>
              <w:rPr>
                <w:rFonts w:ascii="仿宋_GB2312" w:hAnsi="仿宋_GB2312" w:cs="仿宋_GB2312" w:eastAsia="仿宋_GB2312"/>
              </w:rPr>
              <w:t>（二）成果要求</w:t>
            </w:r>
          </w:p>
          <w:p>
            <w:pPr>
              <w:pStyle w:val="null3"/>
            </w:pPr>
            <w:r>
              <w:rPr>
                <w:rFonts w:ascii="仿宋_GB2312" w:hAnsi="仿宋_GB2312" w:cs="仿宋_GB2312" w:eastAsia="仿宋_GB2312"/>
              </w:rPr>
              <w:t>1、按照工期要求，必须完成全部系统开发、部署、交付使用并完成验收。</w:t>
            </w:r>
          </w:p>
          <w:p>
            <w:pPr>
              <w:pStyle w:val="null3"/>
            </w:pPr>
            <w:r>
              <w:rPr>
                <w:rFonts w:ascii="仿宋_GB2312" w:hAnsi="仿宋_GB2312" w:cs="仿宋_GB2312" w:eastAsia="仿宋_GB2312"/>
              </w:rPr>
              <w:t>2、项目成果提交地点为采购方办公地。</w:t>
            </w:r>
          </w:p>
          <w:p>
            <w:pPr>
              <w:pStyle w:val="null3"/>
            </w:pPr>
            <w:r>
              <w:rPr>
                <w:rFonts w:ascii="仿宋_GB2312" w:hAnsi="仿宋_GB2312" w:cs="仿宋_GB2312" w:eastAsia="仿宋_GB2312"/>
              </w:rPr>
              <w:t>3、项目交付成果内容：</w:t>
            </w:r>
          </w:p>
          <w:p>
            <w:pPr>
              <w:pStyle w:val="null3"/>
            </w:pPr>
            <w:r>
              <w:rPr>
                <w:rFonts w:ascii="仿宋_GB2312" w:hAnsi="仿宋_GB2312" w:cs="仿宋_GB2312" w:eastAsia="仿宋_GB2312"/>
              </w:rPr>
              <w:t>（</w:t>
            </w:r>
            <w:r>
              <w:rPr>
                <w:rFonts w:ascii="仿宋_GB2312" w:hAnsi="仿宋_GB2312" w:cs="仿宋_GB2312" w:eastAsia="仿宋_GB2312"/>
              </w:rPr>
              <w:t>1）陕西省国土调查云能力升级维护项目实施方案。</w:t>
            </w:r>
          </w:p>
          <w:p>
            <w:pPr>
              <w:pStyle w:val="null3"/>
            </w:pPr>
            <w:r>
              <w:rPr>
                <w:rFonts w:ascii="仿宋_GB2312" w:hAnsi="仿宋_GB2312" w:cs="仿宋_GB2312" w:eastAsia="仿宋_GB2312"/>
              </w:rPr>
              <w:t>（</w:t>
            </w:r>
            <w:r>
              <w:rPr>
                <w:rFonts w:ascii="仿宋_GB2312" w:hAnsi="仿宋_GB2312" w:cs="仿宋_GB2312" w:eastAsia="仿宋_GB2312"/>
              </w:rPr>
              <w:t>2）陕西省国土调查云能力升级维护项目部署程序。</w:t>
            </w:r>
          </w:p>
          <w:p>
            <w:pPr>
              <w:pStyle w:val="null3"/>
            </w:pPr>
            <w:r>
              <w:rPr>
                <w:rFonts w:ascii="仿宋_GB2312" w:hAnsi="仿宋_GB2312" w:cs="仿宋_GB2312" w:eastAsia="仿宋_GB2312"/>
              </w:rPr>
              <w:t>（</w:t>
            </w:r>
            <w:r>
              <w:rPr>
                <w:rFonts w:ascii="仿宋_GB2312" w:hAnsi="仿宋_GB2312" w:cs="仿宋_GB2312" w:eastAsia="仿宋_GB2312"/>
              </w:rPr>
              <w:t>3）陕西省国土调查云能力升级维护项目统一APP安装程序。</w:t>
            </w:r>
          </w:p>
          <w:p>
            <w:pPr>
              <w:pStyle w:val="null3"/>
            </w:pPr>
            <w:r>
              <w:rPr>
                <w:rFonts w:ascii="仿宋_GB2312" w:hAnsi="仿宋_GB2312" w:cs="仿宋_GB2312" w:eastAsia="仿宋_GB2312"/>
              </w:rPr>
              <w:t>（</w:t>
            </w:r>
            <w:r>
              <w:rPr>
                <w:rFonts w:ascii="仿宋_GB2312" w:hAnsi="仿宋_GB2312" w:cs="仿宋_GB2312" w:eastAsia="仿宋_GB2312"/>
              </w:rPr>
              <w:t>4）国土调查云陕西分中心运维及服务清单。</w:t>
            </w:r>
          </w:p>
          <w:p>
            <w:pPr>
              <w:pStyle w:val="null3"/>
            </w:pPr>
            <w:r>
              <w:rPr>
                <w:rFonts w:ascii="仿宋_GB2312" w:hAnsi="仿宋_GB2312" w:cs="仿宋_GB2312" w:eastAsia="仿宋_GB2312"/>
              </w:rPr>
              <w:t>（三）验收要求</w:t>
            </w:r>
          </w:p>
          <w:p>
            <w:pPr>
              <w:pStyle w:val="null3"/>
            </w:pPr>
            <w:r>
              <w:rPr>
                <w:rFonts w:ascii="仿宋_GB2312" w:hAnsi="仿宋_GB2312" w:cs="仿宋_GB2312" w:eastAsia="仿宋_GB2312"/>
              </w:rPr>
              <w:t>1、系统试运行期为1月，试运行结束后，系统功能、性能指标达到招标文件要求时，投标人即可发起项目验收申请，采购人收到验收申请7个工作日内需按照约定组织完成验收。</w:t>
            </w:r>
          </w:p>
          <w:p>
            <w:pPr>
              <w:pStyle w:val="null3"/>
            </w:pPr>
            <w:r>
              <w:rPr>
                <w:rFonts w:ascii="仿宋_GB2312" w:hAnsi="仿宋_GB2312" w:cs="仿宋_GB2312" w:eastAsia="仿宋_GB2312"/>
              </w:rPr>
              <w:t>2、采购人按国家有关规定以及磋商文件的要求、投标人的响应文件及承诺与本项目合同约定标准进行验收。</w:t>
            </w:r>
          </w:p>
          <w:p>
            <w:pPr>
              <w:pStyle w:val="null3"/>
            </w:pPr>
            <w:r>
              <w:rPr>
                <w:rFonts w:ascii="仿宋_GB2312" w:hAnsi="仿宋_GB2312" w:cs="仿宋_GB2312" w:eastAsia="仿宋_GB2312"/>
              </w:rPr>
              <w:t>（四）售后服务</w:t>
            </w:r>
          </w:p>
          <w:p>
            <w:pPr>
              <w:pStyle w:val="null3"/>
            </w:pPr>
            <w:r>
              <w:rPr>
                <w:rFonts w:ascii="仿宋_GB2312" w:hAnsi="仿宋_GB2312" w:cs="仿宋_GB2312" w:eastAsia="仿宋_GB2312"/>
              </w:rPr>
              <w:t>1、质量保证期1年（自提交服务成果并验收合格之日起计）。</w:t>
            </w:r>
          </w:p>
          <w:p>
            <w:pPr>
              <w:pStyle w:val="null3"/>
            </w:pPr>
            <w:r>
              <w:rPr>
                <w:rFonts w:ascii="仿宋_GB2312" w:hAnsi="仿宋_GB2312" w:cs="仿宋_GB2312" w:eastAsia="仿宋_GB2312"/>
              </w:rPr>
              <w:t>2、在质量保证期内，提供具体服务方式包括：</w:t>
            </w:r>
          </w:p>
          <w:p>
            <w:pPr>
              <w:pStyle w:val="null3"/>
            </w:pPr>
            <w:r>
              <w:rPr>
                <w:rFonts w:ascii="仿宋_GB2312" w:hAnsi="仿宋_GB2312" w:cs="仿宋_GB2312" w:eastAsia="仿宋_GB2312"/>
              </w:rPr>
              <w:t>l提供7*24本地化技术支持服务，现场受理采购方提出陕西省自然资源业务应用场景能力构建项目的问题。</w:t>
            </w:r>
          </w:p>
          <w:p>
            <w:pPr>
              <w:pStyle w:val="null3"/>
            </w:pPr>
            <w:r>
              <w:rPr>
                <w:rFonts w:ascii="仿宋_GB2312" w:hAnsi="仿宋_GB2312" w:cs="仿宋_GB2312" w:eastAsia="仿宋_GB2312"/>
              </w:rPr>
              <w:t>l提供7*24客服热线电话服务，提供电话、QQ指导、网络远程协助等即时通讯工具对采购方系统操作问题进行解答。</w:t>
            </w:r>
          </w:p>
          <w:p>
            <w:pPr>
              <w:pStyle w:val="null3"/>
            </w:pPr>
            <w:r>
              <w:rPr>
                <w:rFonts w:ascii="仿宋_GB2312" w:hAnsi="仿宋_GB2312" w:cs="仿宋_GB2312" w:eastAsia="仿宋_GB2312"/>
              </w:rPr>
              <w:t>l为全省用户提供7*24小时电话远程技术支持服务。</w:t>
            </w:r>
          </w:p>
          <w:p>
            <w:pPr>
              <w:pStyle w:val="null3"/>
            </w:pPr>
            <w:r>
              <w:rPr>
                <w:rFonts w:ascii="仿宋_GB2312" w:hAnsi="仿宋_GB2312" w:cs="仿宋_GB2312" w:eastAsia="仿宋_GB2312"/>
              </w:rPr>
              <w:t>l提供系统软件操作方面的全省集中培训服务，并提供相关培训文档或视频、技术资料等电子材料。</w:t>
            </w:r>
          </w:p>
          <w:p>
            <w:pPr>
              <w:pStyle w:val="null3"/>
            </w:pPr>
            <w:r>
              <w:rPr>
                <w:rFonts w:ascii="仿宋_GB2312" w:hAnsi="仿宋_GB2312" w:cs="仿宋_GB2312" w:eastAsia="仿宋_GB2312"/>
              </w:rPr>
              <w:t>3、故障响应时间：质保期内，投标人需在2小时内及时响应采购人的技术支持需求。具体响应服务方式包括：电话咨询、远程维护、用户培训和现场服务。</w:t>
            </w:r>
          </w:p>
          <w:p>
            <w:pPr>
              <w:pStyle w:val="null3"/>
            </w:pPr>
            <w:r>
              <w:rPr>
                <w:rFonts w:ascii="仿宋_GB2312" w:hAnsi="仿宋_GB2312" w:cs="仿宋_GB2312" w:eastAsia="仿宋_GB2312"/>
              </w:rPr>
              <w:t>（五）培训要求</w:t>
            </w:r>
          </w:p>
          <w:p>
            <w:pPr>
              <w:pStyle w:val="null3"/>
            </w:pPr>
            <w:r>
              <w:rPr>
                <w:rFonts w:ascii="仿宋_GB2312" w:hAnsi="仿宋_GB2312" w:cs="仿宋_GB2312" w:eastAsia="仿宋_GB2312"/>
              </w:rPr>
              <w:t>负责提供系统演示及讲解培训服务（不含场地费用及其他会务支出）及相应的培训计划。</w:t>
            </w:r>
          </w:p>
          <w:p>
            <w:pPr>
              <w:pStyle w:val="null3"/>
            </w:pPr>
            <w:r>
              <w:rPr>
                <w:rFonts w:ascii="仿宋_GB2312" w:hAnsi="仿宋_GB2312" w:cs="仿宋_GB2312" w:eastAsia="仿宋_GB2312"/>
              </w:rPr>
              <w:t>1、通过培训服务，预期达到以下效果：</w:t>
            </w:r>
          </w:p>
          <w:p>
            <w:pPr>
              <w:pStyle w:val="null3"/>
            </w:pPr>
            <w:r>
              <w:rPr>
                <w:rFonts w:ascii="仿宋_GB2312" w:hAnsi="仿宋_GB2312" w:cs="仿宋_GB2312" w:eastAsia="仿宋_GB2312"/>
              </w:rPr>
              <w:t>l系统操作员：如业务管理员、软件实施维护人员等，可熟练应用本系统进行业务管理和操作；</w:t>
            </w:r>
          </w:p>
          <w:p>
            <w:pPr>
              <w:pStyle w:val="null3"/>
            </w:pPr>
            <w:r>
              <w:rPr>
                <w:rFonts w:ascii="仿宋_GB2312" w:hAnsi="仿宋_GB2312" w:cs="仿宋_GB2312" w:eastAsia="仿宋_GB2312"/>
              </w:rPr>
              <w:t>l系统管理员：如系统管理员，能独立完成系统的使用与维护工作，掌握系统运行情况并及时排除大部分系统故障。</w:t>
            </w:r>
          </w:p>
          <w:p>
            <w:pPr>
              <w:pStyle w:val="null3"/>
            </w:pPr>
            <w:r>
              <w:rPr>
                <w:rFonts w:ascii="仿宋_GB2312" w:hAnsi="仿宋_GB2312" w:cs="仿宋_GB2312" w:eastAsia="仿宋_GB2312"/>
              </w:rPr>
              <w:t>2、针对培训内容采取以下方式：</w:t>
            </w:r>
          </w:p>
          <w:p>
            <w:pPr>
              <w:pStyle w:val="null3"/>
            </w:pPr>
            <w:r>
              <w:rPr>
                <w:rFonts w:ascii="仿宋_GB2312" w:hAnsi="仿宋_GB2312" w:cs="仿宋_GB2312" w:eastAsia="仿宋_GB2312"/>
              </w:rPr>
              <w:t>l书面讲解</w:t>
            </w:r>
          </w:p>
          <w:p>
            <w:pPr>
              <w:pStyle w:val="null3"/>
            </w:pPr>
            <w:r>
              <w:rPr>
                <w:rFonts w:ascii="仿宋_GB2312" w:hAnsi="仿宋_GB2312" w:cs="仿宋_GB2312" w:eastAsia="仿宋_GB2312"/>
              </w:rPr>
              <w:t>根据项目要求提供的培训教材，由驻场技术支持人员向指定的培训人员讲授整个系统的组成、工作原理和主要功能。</w:t>
            </w:r>
          </w:p>
          <w:p>
            <w:pPr>
              <w:pStyle w:val="null3"/>
            </w:pPr>
            <w:r>
              <w:rPr>
                <w:rFonts w:ascii="仿宋_GB2312" w:hAnsi="仿宋_GB2312" w:cs="仿宋_GB2312" w:eastAsia="仿宋_GB2312"/>
              </w:rPr>
              <w:t>l实际操作</w:t>
            </w:r>
          </w:p>
          <w:p>
            <w:pPr>
              <w:pStyle w:val="null3"/>
            </w:pPr>
            <w:r>
              <w:rPr>
                <w:rFonts w:ascii="仿宋_GB2312" w:hAnsi="仿宋_GB2312" w:cs="仿宋_GB2312" w:eastAsia="仿宋_GB2312"/>
              </w:rPr>
              <w:t>学习系统基本构成后，在驻场技术支持人员的讲解和指导下，带领培训人员进行实际操作。</w:t>
            </w:r>
          </w:p>
          <w:p>
            <w:pPr>
              <w:pStyle w:val="null3"/>
            </w:pPr>
            <w:r>
              <w:rPr>
                <w:rFonts w:ascii="仿宋_GB2312" w:hAnsi="仿宋_GB2312" w:cs="仿宋_GB2312" w:eastAsia="仿宋_GB2312"/>
                <w:sz w:val="21"/>
              </w:rPr>
              <w:t>3、培训地点：培训地点由采购方指定，采取集中培训的形式，具体组织及场地提供由采购方负责。（培训以远程线上培训为主）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合同签订之日起到12月31日止，中标人需完成所有招标文件要求工作，并通过项目验收。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预付款，合同生效后，甲方在收到乙方提供的税务部门认可的有效发票，达到付款条件起，达到付款条件起15个工作日内，支付合同总金额的60.0%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进度款，项目通过验收并经甲方确认后，甲方在收到乙方提供的税务部门认可的有效发票，达到付款条件起，达到付款条件起15个工作日内，支付合同总金额的40.0%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质量标准：符合国家和行业相关技术标准和规范要求。2.供应商在采购人办理以上各期付款的支付手续前，应向采购人出具等额的符合国家规定的发票；3.上述时间不包括采购人正常办理支付报批手续的时间。4.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复印件加盖单位公章）)，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中列入失信被执行人和重大税收违法失信主体，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测绘资质</w:t>
            </w:r>
          </w:p>
        </w:tc>
        <w:tc>
          <w:tcPr>
            <w:tcW w:type="dxa" w:w="3322"/>
          </w:tcPr>
          <w:p>
            <w:pPr>
              <w:pStyle w:val="null3"/>
            </w:pPr>
            <w:r>
              <w:rPr>
                <w:rFonts w:ascii="仿宋_GB2312" w:hAnsi="仿宋_GB2312" w:cs="仿宋_GB2312" w:eastAsia="仿宋_GB2312"/>
              </w:rPr>
              <w:t>乙级或以上测绘资质（专业类别包含地理信息系统工程）。</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法定代表人或被授权人的签字齐全并加单位盖公章。（“签字或盖章”的，实施一项内容即可。“签字和盖章”的，必须既签字又盖章）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供应商根据对项目的理解，包括但不限于：①项目背景及项目建设目标的理解与认识②服务范围、服务内容理解与认识③服务标准的理解与认识④相关政策、数据情况。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工作流程及实施方案</w:t>
            </w:r>
          </w:p>
        </w:tc>
        <w:tc>
          <w:tcPr>
            <w:tcW w:type="dxa" w:w="2492"/>
          </w:tcPr>
          <w:p>
            <w:pPr>
              <w:pStyle w:val="null3"/>
            </w:pPr>
            <w:r>
              <w:rPr>
                <w:rFonts w:ascii="仿宋_GB2312" w:hAnsi="仿宋_GB2312" w:cs="仿宋_GB2312" w:eastAsia="仿宋_GB2312"/>
              </w:rPr>
              <w:t>供应商结合本项目采购需求，提供完整的项目工作流程和实施方案，包括但不限于①系统技术路线设计方案、②系统开发架构设计方案、③系统功能设计方案；④系统指标设计（性能指标、安全指标等）方案、⑤ 系统部署与迁移割接方案，确保符合系统平台应用要求。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质量控制及进度保障</w:t>
            </w:r>
          </w:p>
        </w:tc>
        <w:tc>
          <w:tcPr>
            <w:tcW w:type="dxa" w:w="2492"/>
          </w:tcPr>
          <w:p>
            <w:pPr>
              <w:pStyle w:val="null3"/>
            </w:pPr>
            <w:r>
              <w:rPr>
                <w:rFonts w:ascii="仿宋_GB2312" w:hAnsi="仿宋_GB2312" w:cs="仿宋_GB2312" w:eastAsia="仿宋_GB2312"/>
              </w:rPr>
              <w:t>供应商结合本项目采购需求，提供具有针对性的服务保障方案，包括但不限于①进度管理②质量管理体系及制度③实施过程及项目管理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风险管理和应急预案</w:t>
            </w:r>
          </w:p>
        </w:tc>
        <w:tc>
          <w:tcPr>
            <w:tcW w:type="dxa" w:w="2492"/>
          </w:tcPr>
          <w:p>
            <w:pPr>
              <w:pStyle w:val="null3"/>
            </w:pPr>
            <w:r>
              <w:rPr>
                <w:rFonts w:ascii="仿宋_GB2312" w:hAnsi="仿宋_GB2312" w:cs="仿宋_GB2312" w:eastAsia="仿宋_GB2312"/>
              </w:rPr>
              <w:t>为防止项目实施中出现突发应急事件，投标人提供风险管理和应急预案，包括但不限于①风险管理②应急处置方案及措施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完整、可行的7*24小时售后服务方案，包含但不限于①系统运维售后服务计划②系统培训服务③日常系统应用技术支持能力、系统故障后应急响应处置能力等（要求响应时间不超过2小时）④相关技术人员队伍组成。 内容完整全面、有针对性，科学合理可实施性强； 每有一项缺项扣2分，每有一处内容存在缺陷，扣0.1分，扣完为止。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保密工作</w:t>
            </w:r>
          </w:p>
        </w:tc>
        <w:tc>
          <w:tcPr>
            <w:tcW w:type="dxa" w:w="2492"/>
          </w:tcPr>
          <w:p>
            <w:pPr>
              <w:pStyle w:val="null3"/>
            </w:pPr>
            <w:r>
              <w:rPr>
                <w:rFonts w:ascii="仿宋_GB2312" w:hAnsi="仿宋_GB2312" w:cs="仿宋_GB2312" w:eastAsia="仿宋_GB2312"/>
              </w:rPr>
              <w:t>供应商提供针对本项目的①保密工作方案②保密措施③保密承诺④保密责任落实与监督检查机制 内容完整全面、有针对性，科学合理可实施性强； 每有一项缺项扣1分，每有一处内容存在缺陷，扣0.1分，扣完为止。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1、拟投入本项目的项目负责人同时具有高级软件工程师、软件设计师证书及涉密测绘成果管理人员上岗证书的得3分；提供证书不全得1分，没有证书不计分。 2、拟投入本项目技术负责人同时具有高级系统架构设计师、中级数据库系统工程师证书、中级软件设计师证书的得3分；提供证书不全得1分，没有证书不计分。 3、拟投入本项目的项目数据负责人，具有测绘类高级及以上职称的得2分，中级职称得1分，没有证书不得分。 4、项目组其他成员配置（除项目负责人、技术负责人、数据负责人之外）投标人拟派项目成员具有土地或测绘类或软件类专业职称证书，每提供1个高级及以上职称证书得2分，每提供1个中级职称证书得1分，满分8分。 注：（1）以上人员不可重复计分；（2）提供相关人员证书复印件并加盖公章，未提供或提供的证明材料不符合要求的不得分。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投标人具有有效的ISO/IEC27001信息安全管理体系认证证书、ISO27017云服务信息安全管理体系认证证书，每提供一个得3分，满分得6分，未提供不计分。（以上证书须在有效期内，提供复印件并加盖公章）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投标人提供2022年1月至今同类项目业绩，每提供1个得3分，满分15分，未提供不计分。 备注： 投标文件中提供完整业绩合同扫描件（完整业绩指连续页码的合同）或中标通知书复印件，并加盖投标人公章，如上述材料无法体现签订时间、服务内容等关键评审因素的，须另附业主单位（合同甲方）加盖公章的证明材料扫描件加以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投标人具有与国土调查云、数据综合管理国产化系统、国土调查举证成果管理及共享服务平台等相关的软件著作权证书的，每提供一个得3分，满分得9分。 （以上证书均须提供复印件并加盖公章）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提供安排专人响应问题，保障平台全年稳定运行的承诺书，每提供1人得2分，满分4分。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磋商报价得分=(评标基准价／磋商报价)×报价分值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