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7E17E">
      <w:pPr>
        <w:tabs>
          <w:tab w:val="left" w:pos="735"/>
        </w:tabs>
        <w:autoSpaceDE w:val="0"/>
        <w:autoSpaceDN w:val="0"/>
        <w:adjustRightInd w:val="0"/>
        <w:snapToGrid w:val="0"/>
        <w:spacing w:beforeLines="100" w:line="360" w:lineRule="auto"/>
        <w:jc w:val="center"/>
        <w:outlineLvl w:val="1"/>
        <w:rPr>
          <w:rFonts w:ascii="仿宋" w:hAnsi="仿宋" w:eastAsia="仿宋" w:cs="仿宋"/>
          <w:b/>
          <w:bCs/>
          <w:sz w:val="24"/>
        </w:rPr>
      </w:pPr>
      <w:r>
        <w:rPr>
          <w:rFonts w:hint="eastAsia" w:ascii="仿宋" w:hAnsi="仿宋" w:eastAsia="仿宋" w:cs="仿宋"/>
          <w:b/>
          <w:bCs/>
          <w:sz w:val="24"/>
        </w:rPr>
        <w:t>拟签订的合同文本</w:t>
      </w:r>
    </w:p>
    <w:p w14:paraId="4830C9FA">
      <w:pPr>
        <w:tabs>
          <w:tab w:val="left" w:pos="735"/>
        </w:tabs>
        <w:autoSpaceDE w:val="0"/>
        <w:autoSpaceDN w:val="0"/>
        <w:adjustRightInd w:val="0"/>
        <w:snapToGrid w:val="0"/>
        <w:spacing w:beforeLines="100" w:line="360" w:lineRule="auto"/>
        <w:rPr>
          <w:rFonts w:ascii="仿宋" w:hAnsi="仿宋" w:eastAsia="仿宋" w:cs="仿宋"/>
          <w:b/>
          <w:bCs/>
          <w:sz w:val="24"/>
          <w:lang w:val="zh-CN"/>
        </w:rPr>
      </w:pPr>
      <w:r>
        <w:rPr>
          <w:rFonts w:hint="eastAsia" w:ascii="仿宋" w:hAnsi="仿宋" w:eastAsia="仿宋" w:cs="仿宋"/>
          <w:b/>
          <w:bCs/>
          <w:sz w:val="24"/>
          <w:lang w:val="zh-CN"/>
        </w:rPr>
        <w:t>甲方：</w:t>
      </w:r>
      <w:r>
        <w:rPr>
          <w:rFonts w:hint="eastAsia" w:ascii="仿宋" w:hAnsi="仿宋" w:eastAsia="仿宋" w:cs="仿宋"/>
          <w:bCs/>
          <w:sz w:val="24"/>
          <w:lang w:val="zh-CN"/>
        </w:rPr>
        <w:t>（前款所称采购人）     住所：</w:t>
      </w:r>
    </w:p>
    <w:p w14:paraId="2877ABAB">
      <w:pPr>
        <w:tabs>
          <w:tab w:val="left" w:pos="735"/>
        </w:tabs>
        <w:autoSpaceDE w:val="0"/>
        <w:autoSpaceDN w:val="0"/>
        <w:adjustRightInd w:val="0"/>
        <w:snapToGrid w:val="0"/>
        <w:spacing w:line="360" w:lineRule="auto"/>
        <w:rPr>
          <w:rFonts w:ascii="仿宋" w:hAnsi="仿宋" w:eastAsia="仿宋" w:cs="仿宋"/>
          <w:bCs/>
          <w:sz w:val="24"/>
          <w:lang w:val="zh-CN"/>
        </w:rPr>
      </w:pPr>
      <w:r>
        <w:rPr>
          <w:rFonts w:hint="eastAsia" w:ascii="仿宋" w:hAnsi="仿宋" w:eastAsia="仿宋" w:cs="仿宋"/>
          <w:b/>
          <w:bCs/>
          <w:sz w:val="24"/>
          <w:lang w:val="zh-CN"/>
        </w:rPr>
        <w:t>乙方：</w:t>
      </w:r>
      <w:r>
        <w:rPr>
          <w:rFonts w:hint="eastAsia" w:ascii="仿宋" w:hAnsi="仿宋" w:eastAsia="仿宋" w:cs="仿宋"/>
          <w:bCs/>
          <w:sz w:val="24"/>
          <w:lang w:val="zh-CN"/>
        </w:rPr>
        <w:t>（前款所称中标人）     住所：</w:t>
      </w:r>
    </w:p>
    <w:p w14:paraId="4942831E">
      <w:pPr>
        <w:pStyle w:val="2"/>
        <w:rPr>
          <w:rFonts w:ascii="仿宋" w:hAnsi="仿宋" w:eastAsia="仿宋" w:cs="仿宋"/>
          <w:lang w:val="zh-CN"/>
        </w:rPr>
      </w:pPr>
    </w:p>
    <w:p w14:paraId="2F0740EA">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一、合同内容（标的、数量、质量等）:</w:t>
      </w:r>
    </w:p>
    <w:p w14:paraId="7373B3E8">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二、合同价款</w:t>
      </w:r>
    </w:p>
    <w:p w14:paraId="4AF6DDDD">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1、合同总价：</w:t>
      </w:r>
    </w:p>
    <w:p w14:paraId="6DBCE849">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2、合同总价包括：</w:t>
      </w:r>
    </w:p>
    <w:p w14:paraId="2CD256FB">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3、合同为固定总价合同，不受市场价变化的影响。</w:t>
      </w:r>
    </w:p>
    <w:p w14:paraId="0D4AB86A">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三、合同结算</w:t>
      </w:r>
    </w:p>
    <w:p w14:paraId="405DAF22">
      <w:pPr>
        <w:adjustRightInd w:val="0"/>
        <w:snapToGrid w:val="0"/>
        <w:spacing w:line="360" w:lineRule="auto"/>
        <w:ind w:firstLine="482" w:firstLineChars="200"/>
        <w:rPr>
          <w:rFonts w:eastAsia="仿宋"/>
          <w:b/>
          <w:sz w:val="24"/>
          <w:highlight w:val="none"/>
        </w:rPr>
      </w:pPr>
      <w:r>
        <w:rPr>
          <w:rFonts w:hint="eastAsia" w:eastAsia="仿宋"/>
          <w:b/>
          <w:sz w:val="24"/>
          <w:highlight w:val="none"/>
        </w:rPr>
        <w:t>货到现场、安装调试、培训完毕经验收合格并交付使用 ，达到付款条件起</w:t>
      </w:r>
      <w:r>
        <w:rPr>
          <w:rFonts w:hint="eastAsia" w:eastAsia="仿宋"/>
          <w:b/>
          <w:sz w:val="24"/>
          <w:highlight w:val="none"/>
          <w:lang w:val="en-US" w:eastAsia="zh-CN"/>
        </w:rPr>
        <w:t>40</w:t>
      </w:r>
      <w:r>
        <w:rPr>
          <w:rFonts w:hint="eastAsia" w:eastAsia="仿宋"/>
          <w:b/>
          <w:sz w:val="24"/>
          <w:highlight w:val="none"/>
        </w:rPr>
        <w:t>个工作日内，支付合同总金额的100.0%</w:t>
      </w:r>
    </w:p>
    <w:p w14:paraId="6037D836">
      <w:pPr>
        <w:adjustRightInd w:val="0"/>
        <w:snapToGrid w:val="0"/>
        <w:spacing w:line="360" w:lineRule="auto"/>
        <w:ind w:firstLine="482" w:firstLineChars="200"/>
        <w:rPr>
          <w:rFonts w:eastAsia="仿宋"/>
          <w:b/>
          <w:sz w:val="24"/>
          <w:highlight w:val="none"/>
        </w:rPr>
      </w:pPr>
      <w:r>
        <w:rPr>
          <w:rFonts w:hint="eastAsia" w:eastAsia="仿宋"/>
          <w:b/>
          <w:sz w:val="24"/>
          <w:highlight w:val="none"/>
        </w:rPr>
        <w:t>注：如中标人为符合财库〔2020〕46号中规定的中小企业，合同签订后支付合同总价的40%作为预付款，货到现场、安装调试、培训完毕经验收合格并交付使用，满足支付条件后两个月内付至合同金额的 100%。</w:t>
      </w:r>
    </w:p>
    <w:p w14:paraId="2CB615DF">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四、交货期、地点:</w:t>
      </w:r>
    </w:p>
    <w:p w14:paraId="43CDBC0A">
      <w:pPr>
        <w:adjustRightInd w:val="0"/>
        <w:snapToGrid w:val="0"/>
        <w:spacing w:line="360" w:lineRule="auto"/>
        <w:ind w:firstLine="480" w:firstLineChars="200"/>
        <w:rPr>
          <w:rFonts w:ascii="仿宋" w:hAnsi="仿宋" w:eastAsia="仿宋" w:cs="仿宋"/>
          <w:b/>
          <w:bCs/>
          <w:sz w:val="24"/>
          <w:highlight w:val="none"/>
        </w:rPr>
      </w:pPr>
      <w:r>
        <w:rPr>
          <w:rFonts w:hint="eastAsia" w:ascii="仿宋" w:hAnsi="仿宋" w:eastAsia="仿宋" w:cs="仿宋"/>
          <w:sz w:val="24"/>
          <w:highlight w:val="none"/>
        </w:rPr>
        <w:t>1、交货期：</w:t>
      </w:r>
      <w:r>
        <w:rPr>
          <w:rFonts w:hint="eastAsia" w:ascii="仿宋" w:hAnsi="仿宋" w:eastAsia="仿宋" w:cs="仿宋"/>
          <w:b/>
          <w:bCs/>
          <w:sz w:val="24"/>
          <w:highlight w:val="none"/>
        </w:rPr>
        <w:t>合同签订后60个日历日内交货。</w:t>
      </w:r>
    </w:p>
    <w:p w14:paraId="1F1B3358">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2、地点：</w:t>
      </w:r>
      <w:r>
        <w:rPr>
          <w:rFonts w:hint="eastAsia" w:ascii="仿宋" w:hAnsi="仿宋" w:eastAsia="仿宋" w:cs="仿宋"/>
          <w:b/>
          <w:bCs/>
          <w:sz w:val="24"/>
        </w:rPr>
        <w:t>甲方指定地点</w:t>
      </w:r>
    </w:p>
    <w:p w14:paraId="49160A7E">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五、技术服务</w:t>
      </w:r>
    </w:p>
    <w:p w14:paraId="149952C9">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1、对技术服务的要求：</w:t>
      </w:r>
    </w:p>
    <w:p w14:paraId="7A072622">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2、技术资料：</w:t>
      </w:r>
    </w:p>
    <w:p w14:paraId="48E1F62F">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3、技术培训：</w:t>
      </w:r>
    </w:p>
    <w:p w14:paraId="3F08F477">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3-1、应包括设备(产品)使用操作、保养、维修等培训内容。乙方需为甲方免费培训相关技术人员，培训服务以受培训人员熟练掌握相应技能为原则。</w:t>
      </w:r>
    </w:p>
    <w:p w14:paraId="3FAFF3EC">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3-2、乙方应当提供甲方相关主管人员的培训，应使其可以完成对整体系统的正常运行的宏观管理。此项培训必须包括原厂商相关项目的标准培训。</w:t>
      </w:r>
    </w:p>
    <w:p w14:paraId="3E7F0F97">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3-3、培训内容应当包括设备(产品)使用及维修各个方面的培训，以满足临床及医院质量安全管理目标为依据，充分利用产品性能，不限于目前科室的服务内容。</w:t>
      </w:r>
    </w:p>
    <w:p w14:paraId="4CD20BA1">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4、售后服务</w:t>
      </w:r>
    </w:p>
    <w:p w14:paraId="3692EA60">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4-1、乙方在接到甲方电话通知后在12小时内派出合格的服务人员到达现场进行服务，承担相应费用。</w:t>
      </w:r>
    </w:p>
    <w:p w14:paraId="2B7ACDC5">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4-2、如果乙方在收到通知后两天内没有弥补缺陷，甲方可采取必要的补救措施，但其风险和费用将由乙方承担，甲方根据合同规定对乙方行使的其它权力不受影响。</w:t>
      </w:r>
    </w:p>
    <w:p w14:paraId="005D60BA">
      <w:pPr>
        <w:adjustRightInd w:val="0"/>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5、质量保证：</w:t>
      </w:r>
    </w:p>
    <w:p w14:paraId="6A4BFFF3">
      <w:pPr>
        <w:adjustRightInd w:val="0"/>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（合同包1）：</w:t>
      </w:r>
    </w:p>
    <w:p w14:paraId="14FDF80D">
      <w:pPr>
        <w:adjustRightInd w:val="0"/>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全自动生化分析仪：</w:t>
      </w:r>
    </w:p>
    <w:p w14:paraId="0F8BAAA1">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1、每年两次配合科室完成非室间质控项目的实验室间比对。</w:t>
      </w:r>
    </w:p>
    <w:p w14:paraId="3B8EA196">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2、所有设备在有效期内提供质保（包括软硬件升级，维保的人工及配件费用），并出具原厂校准及其性能验证报告。</w:t>
      </w:r>
    </w:p>
    <w:p w14:paraId="58BD858C">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3、在质保期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rPr>
        <w:t>内提供仪器实验项目所需的质控品等，且实验使用耗材通用，无其它特殊规格的专用耗材。实验项目试剂价格不得高于对应项目当前使用试剂价格，并随国家政策改变医院有权进行相应调整。</w:t>
      </w:r>
    </w:p>
    <w:p w14:paraId="75F8EA4F">
      <w:pPr>
        <w:adjustRightInd w:val="0"/>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急诊全自动生化分析仪：</w:t>
      </w:r>
    </w:p>
    <w:p w14:paraId="2BE6FF9F">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1、所有设备在有效期内提供质保，质保期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highlight w:val="none"/>
        </w:rPr>
        <w:t>内软硬件免费升级，包括免所有人工、配件费用，并且质保期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highlight w:val="none"/>
        </w:rPr>
        <w:t>内负责维护保养，提供原厂校准并出具原厂报告。</w:t>
      </w:r>
    </w:p>
    <w:p w14:paraId="14D77CFF">
      <w:pPr>
        <w:adjustRightInd w:val="0"/>
        <w:snapToGrid w:val="0"/>
        <w:spacing w:line="360" w:lineRule="auto"/>
        <w:ind w:firstLine="480" w:firstLineChars="200"/>
        <w:rPr>
          <w:rFonts w:ascii="仿宋" w:hAnsi="仿宋" w:eastAsia="仿宋" w:cs="仿宋"/>
          <w:sz w:val="24"/>
          <w:highlight w:val="none"/>
        </w:rPr>
      </w:pPr>
      <w:bookmarkStart w:id="0" w:name="OLE_LINK25"/>
      <w:r>
        <w:rPr>
          <w:rFonts w:hint="eastAsia" w:ascii="仿宋" w:hAnsi="仿宋" w:eastAsia="仿宋" w:cs="仿宋"/>
          <w:sz w:val="24"/>
          <w:highlight w:val="none"/>
        </w:rPr>
        <w:t>2、仪器实验耗材通用，无其它另行采购的专用耗材。实验项目试剂价格不得高于对应项目当前使用试剂价格，并随国家政策改变医院有权进行相应调整。</w:t>
      </w:r>
    </w:p>
    <w:bookmarkEnd w:id="0"/>
    <w:p w14:paraId="1B4009D4">
      <w:pPr>
        <w:adjustRightInd w:val="0"/>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 xml:space="preserve">（合同包2）： </w:t>
      </w:r>
    </w:p>
    <w:p w14:paraId="42F4BFF0">
      <w:pPr>
        <w:adjustRightInd w:val="0"/>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全自动化学发光分析仪：</w:t>
      </w:r>
    </w:p>
    <w:p w14:paraId="7F3BD4B2">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1、所有设备在有效期内提供质保，质保期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rPr>
        <w:t>内软硬件免费升级，包括免所有人工、配件费用，并且质保期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rPr>
        <w:t>内负责维护保养，提供原厂校准并出具原厂报告。</w:t>
      </w:r>
    </w:p>
    <w:p w14:paraId="5BAA12E0">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rPr>
        <w:t>2、当仪器为封闭系统（专用试剂）时，需在质保期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rPr>
        <w:t>内免费提供实验所需的校准器和质控品等。实验耗材通用，无其它另行需要采购的专用耗材。实验项目试剂价格不得高于对应项目当前使用试剂价格，并随国家政策改变医院有权进</w:t>
      </w:r>
      <w:r>
        <w:rPr>
          <w:rFonts w:hint="eastAsia" w:ascii="仿宋" w:hAnsi="仿宋" w:eastAsia="仿宋" w:cs="仿宋"/>
          <w:sz w:val="24"/>
          <w:highlight w:val="none"/>
        </w:rPr>
        <w:t>行相应调整。</w:t>
      </w:r>
    </w:p>
    <w:p w14:paraId="0185D1A5">
      <w:pPr>
        <w:adjustRightInd w:val="0"/>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（合同包3）：</w:t>
      </w:r>
    </w:p>
    <w:p w14:paraId="7C43F686">
      <w:pPr>
        <w:adjustRightInd w:val="0"/>
        <w:snapToGrid w:val="0"/>
        <w:spacing w:line="360" w:lineRule="auto"/>
        <w:ind w:firstLine="482" w:firstLineChars="200"/>
        <w:rPr>
          <w:rFonts w:ascii="仿宋" w:hAnsi="仿宋" w:eastAsia="仿宋" w:cs="仿宋"/>
          <w:b/>
          <w:bCs/>
          <w:sz w:val="24"/>
          <w:highlight w:val="yellow"/>
        </w:rPr>
      </w:pPr>
      <w:r>
        <w:rPr>
          <w:rFonts w:hint="eastAsia" w:ascii="仿宋" w:hAnsi="仿宋" w:eastAsia="仿宋" w:cs="仿宋"/>
          <w:b/>
          <w:bCs/>
          <w:color w:val="000000"/>
          <w:kern w:val="0"/>
          <w:sz w:val="24"/>
        </w:rPr>
        <w:t>全自动酶免疫分析仪：</w:t>
      </w:r>
    </w:p>
    <w:p w14:paraId="6E8B32DC">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1、所有设备在有效期内提供质保，质保期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highlight w:val="none"/>
        </w:rPr>
        <w:t>内软硬件免费升级，包括免所有人工、配件费用，并且质保期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highlight w:val="none"/>
        </w:rPr>
        <w:t>内负责维护保养，原厂校准并出具原厂报告。</w:t>
      </w:r>
    </w:p>
    <w:p w14:paraId="4C243F58">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2、仪器实验耗材通用，无其它另行采购的专用耗材。实验项目试剂开放，价格不得高于对应项目当前使用试剂价格，并随国家政策改变医院有权进行相应调整。</w:t>
      </w:r>
    </w:p>
    <w:p w14:paraId="3823DA33">
      <w:pPr>
        <w:adjustRightInd w:val="0"/>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（合同包4）：</w:t>
      </w:r>
    </w:p>
    <w:p w14:paraId="7E3AF6EC">
      <w:pPr>
        <w:adjustRightInd w:val="0"/>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全自动凝血分析仪：</w:t>
      </w:r>
    </w:p>
    <w:p w14:paraId="37E77782">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1、在设备有效期内提供质保，质保期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highlight w:val="none"/>
        </w:rPr>
        <w:t>内软硬件免费升级，包括免所有人工、配件费用，并且质保期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highlight w:val="none"/>
        </w:rPr>
        <w:t>内负责维护保养，原厂校准并出具原厂报告。</w:t>
      </w:r>
    </w:p>
    <w:p w14:paraId="056715EE">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2、仪器为配套试剂时，需在质保期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highlight w:val="none"/>
        </w:rPr>
        <w:t>内免费提供实验所需的质控品等，且实验使用耗材通用，无其它另行采购的专用耗材。实验项目试剂价格不得高于对应项目当前使用试剂价格，并随国家政策改变医院有权进行相应调整。</w:t>
      </w:r>
    </w:p>
    <w:p w14:paraId="430B59F9">
      <w:pPr>
        <w:adjustRightInd w:val="0"/>
        <w:snapToGrid w:val="0"/>
        <w:spacing w:line="360" w:lineRule="auto"/>
        <w:ind w:firstLine="482" w:firstLineChars="200"/>
        <w:rPr>
          <w:rFonts w:ascii="仿宋" w:hAnsi="仿宋" w:eastAsia="仿宋" w:cs="仿宋"/>
          <w:b/>
          <w:bCs/>
          <w:sz w:val="24"/>
        </w:rPr>
      </w:pPr>
      <w:r>
        <w:rPr>
          <w:rFonts w:hint="eastAsia" w:ascii="仿宋" w:hAnsi="仿宋" w:eastAsia="仿宋" w:cs="仿宋"/>
          <w:b/>
          <w:bCs/>
          <w:sz w:val="24"/>
        </w:rPr>
        <w:t>血栓弹力图：</w:t>
      </w:r>
    </w:p>
    <w:p w14:paraId="37D9987D">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1、所有设备在有效期内提供质保，质保期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highlight w:val="none"/>
        </w:rPr>
        <w:t>内软硬件免费升级，包括免所有人工、配件费用，并且质保期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highlight w:val="none"/>
        </w:rPr>
        <w:t>内负责维护保养，原厂校准并出具原厂报告。</w:t>
      </w:r>
    </w:p>
    <w:p w14:paraId="3BF931A7">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2、检验仪器使用配套试剂，需在质保期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highlight w:val="none"/>
        </w:rPr>
        <w:t>内免费提供实验所需的质控品等，且实验使用耗材通用，无其它另行采购的专用耗材（如有专用耗材应含在试剂成本内）。实验项目试剂价格不得高于对应项目当前使用试剂价格，并随国家政策改变医院有权进行相应调整。</w:t>
      </w:r>
    </w:p>
    <w:p w14:paraId="2B37B47B">
      <w:pPr>
        <w:adjustRightInd w:val="0"/>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（合同包5）：</w:t>
      </w:r>
    </w:p>
    <w:p w14:paraId="4B9D90F2">
      <w:pPr>
        <w:adjustRightInd w:val="0"/>
        <w:snapToGrid w:val="0"/>
        <w:spacing w:line="360" w:lineRule="auto"/>
        <w:ind w:firstLine="482" w:firstLineChars="200"/>
        <w:rPr>
          <w:rFonts w:ascii="仿宋" w:hAnsi="仿宋" w:eastAsia="仿宋" w:cs="仿宋"/>
          <w:b/>
          <w:bCs/>
          <w:sz w:val="24"/>
        </w:rPr>
      </w:pPr>
      <w:r>
        <w:rPr>
          <w:rFonts w:hint="eastAsia" w:ascii="仿宋" w:hAnsi="仿宋" w:eastAsia="仿宋" w:cs="仿宋"/>
          <w:b/>
          <w:bCs/>
          <w:sz w:val="24"/>
        </w:rPr>
        <w:t>全自动粪便分析仪：</w:t>
      </w:r>
    </w:p>
    <w:p w14:paraId="4D782B97">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1、设备在有效期内提供质保，质保期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highlight w:val="none"/>
        </w:rPr>
        <w:t>内软硬件免费升级，包括免所有人工、配件费用，并且质保期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highlight w:val="none"/>
        </w:rPr>
        <w:t>内负责维护保养，原厂校准并出具原厂报告。</w:t>
      </w:r>
    </w:p>
    <w:p w14:paraId="5259274B">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2、厂家须提供配套试剂（粪便隐血试剂等），需提供注册证，并在陕西省临检中心室间质评活动中有分组（提供分组资料），需在质保期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highlight w:val="none"/>
        </w:rPr>
        <w:t>内免费提供实验所需的质控品等，且实验使用耗材通用，无其它另行采购的专用耗材（专用耗材需计入试剂成本中）。实验项目试剂价格不得高于对应项目当前使用试剂价格，并随国家政策改变医院有权进行相应调整。</w:t>
      </w:r>
    </w:p>
    <w:p w14:paraId="5892A218">
      <w:pPr>
        <w:adjustRightInd w:val="0"/>
        <w:snapToGrid w:val="0"/>
        <w:spacing w:line="360" w:lineRule="auto"/>
        <w:ind w:firstLine="482" w:firstLineChars="200"/>
        <w:rPr>
          <w:rFonts w:ascii="仿宋" w:hAnsi="仿宋" w:eastAsia="仿宋" w:cs="仿宋"/>
          <w:b/>
          <w:bCs/>
          <w:sz w:val="24"/>
        </w:rPr>
      </w:pPr>
      <w:r>
        <w:rPr>
          <w:rFonts w:hint="eastAsia" w:ascii="仿宋" w:hAnsi="仿宋" w:eastAsia="仿宋" w:cs="仿宋"/>
          <w:b/>
          <w:bCs/>
          <w:sz w:val="24"/>
        </w:rPr>
        <w:t>阴道分泌物分析仪：</w:t>
      </w:r>
    </w:p>
    <w:p w14:paraId="1C2983EA">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1、所有设备在有效期内提供质保，质保期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highlight w:val="none"/>
        </w:rPr>
        <w:t>内软硬件免费升级，包括免所有人工、配件费用，并且质保期内</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highlight w:val="none"/>
        </w:rPr>
        <w:t>负责维护保养，原厂校准并出具原厂报告。</w:t>
      </w:r>
    </w:p>
    <w:p w14:paraId="2D5E890E">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2、仪器采用配套封闭采样管时，需在质保期</w:t>
      </w:r>
      <w:r>
        <w:rPr>
          <w:rFonts w:hint="eastAsia" w:ascii="仿宋" w:hAnsi="仿宋" w:eastAsia="仿宋" w:cs="仿宋"/>
          <w:sz w:val="24"/>
          <w:lang w:eastAsia="zh-CN"/>
        </w:rPr>
        <w:t>（</w:t>
      </w:r>
      <w:r>
        <w:rPr>
          <w:rFonts w:hint="eastAsia" w:ascii="仿宋" w:hAnsi="仿宋" w:eastAsia="仿宋" w:cs="仿宋"/>
          <w:sz w:val="24"/>
          <w:highlight w:val="none"/>
        </w:rPr>
        <w:t>设备有效期</w:t>
      </w:r>
      <w:r>
        <w:rPr>
          <w:rFonts w:hint="eastAsia" w:ascii="仿宋" w:hAnsi="仿宋" w:eastAsia="仿宋" w:cs="仿宋"/>
          <w:sz w:val="24"/>
          <w:lang w:eastAsia="zh-CN"/>
        </w:rPr>
        <w:t>）</w:t>
      </w:r>
      <w:r>
        <w:rPr>
          <w:rFonts w:hint="eastAsia" w:ascii="仿宋" w:hAnsi="仿宋" w:eastAsia="仿宋" w:cs="仿宋"/>
          <w:sz w:val="24"/>
          <w:highlight w:val="none"/>
        </w:rPr>
        <w:t>内免费提供实验所需的质控品等，且实验使用耗材通用，无其它另行采购的专用耗材（专用采样管必含在配套试剂成本内）。实验项目试</w:t>
      </w:r>
      <w:bookmarkStart w:id="1" w:name="_GoBack"/>
      <w:bookmarkEnd w:id="1"/>
      <w:r>
        <w:rPr>
          <w:rFonts w:hint="eastAsia" w:ascii="仿宋" w:hAnsi="仿宋" w:eastAsia="仿宋" w:cs="仿宋"/>
          <w:sz w:val="24"/>
          <w:highlight w:val="none"/>
        </w:rPr>
        <w:t>剂价格不得高于对应项目当前使用试剂价格，并随国家政策改变医院有权进行相应调整。</w:t>
      </w:r>
    </w:p>
    <w:p w14:paraId="3C75B25E">
      <w:pPr>
        <w:widowControl/>
        <w:ind w:firstLine="482" w:firstLineChars="200"/>
        <w:jc w:val="left"/>
        <w:textAlignment w:val="center"/>
        <w:rPr>
          <w:rFonts w:ascii="仿宋" w:hAnsi="仿宋" w:eastAsia="仿宋" w:cs="仿宋"/>
          <w:color w:val="000000"/>
          <w:sz w:val="24"/>
          <w:highlight w:val="none"/>
        </w:rPr>
      </w:pPr>
      <w:r>
        <w:rPr>
          <w:rFonts w:hint="eastAsia" w:ascii="仿宋" w:hAnsi="仿宋" w:eastAsia="仿宋" w:cs="仿宋"/>
          <w:b/>
          <w:bCs/>
          <w:color w:val="000000"/>
          <w:kern w:val="0"/>
          <w:sz w:val="24"/>
          <w:highlight w:val="none"/>
        </w:rPr>
        <w:t>组织摊烤片机：</w:t>
      </w:r>
      <w:r>
        <w:rPr>
          <w:rFonts w:hint="eastAsia" w:ascii="仿宋" w:hAnsi="仿宋" w:eastAsia="仿宋" w:cs="仿宋"/>
          <w:sz w:val="24"/>
          <w:highlight w:val="none"/>
        </w:rPr>
        <w:t>保质期≥3年</w:t>
      </w:r>
    </w:p>
    <w:p w14:paraId="6BE45F7E">
      <w:pPr>
        <w:widowControl/>
        <w:ind w:firstLine="482" w:firstLineChars="200"/>
        <w:jc w:val="left"/>
        <w:textAlignment w:val="center"/>
        <w:rPr>
          <w:rFonts w:ascii="仿宋" w:hAnsi="仿宋" w:eastAsia="仿宋" w:cs="仿宋"/>
          <w:sz w:val="24"/>
          <w:highlight w:val="none"/>
        </w:rPr>
      </w:pPr>
      <w:r>
        <w:rPr>
          <w:rFonts w:hint="eastAsia" w:ascii="仿宋" w:hAnsi="仿宋" w:eastAsia="仿宋" w:cs="仿宋"/>
          <w:b/>
          <w:bCs/>
          <w:color w:val="000000"/>
          <w:kern w:val="0"/>
          <w:sz w:val="24"/>
          <w:highlight w:val="none"/>
        </w:rPr>
        <w:t>组织切片机：</w:t>
      </w:r>
      <w:r>
        <w:rPr>
          <w:rFonts w:hint="eastAsia" w:ascii="仿宋" w:hAnsi="仿宋" w:eastAsia="仿宋" w:cs="仿宋"/>
          <w:sz w:val="24"/>
          <w:highlight w:val="none"/>
        </w:rPr>
        <w:t>保质期≥5年</w:t>
      </w:r>
    </w:p>
    <w:p w14:paraId="32CC4C60">
      <w:pPr>
        <w:adjustRightInd w:val="0"/>
        <w:snapToGrid w:val="0"/>
        <w:spacing w:line="360" w:lineRule="auto"/>
        <w:ind w:firstLine="482" w:firstLineChars="200"/>
        <w:jc w:val="left"/>
        <w:rPr>
          <w:rFonts w:ascii="仿宋" w:hAnsi="仿宋" w:eastAsia="仿宋" w:cs="仿宋"/>
          <w:b/>
          <w:bCs/>
          <w:sz w:val="24"/>
          <w:highlight w:val="none"/>
        </w:rPr>
      </w:pPr>
      <w:r>
        <w:rPr>
          <w:rFonts w:hint="eastAsia" w:ascii="仿宋" w:hAnsi="仿宋" w:eastAsia="仿宋" w:cs="仿宋"/>
          <w:b/>
          <w:bCs/>
          <w:color w:val="000000"/>
          <w:kern w:val="0"/>
          <w:sz w:val="24"/>
          <w:highlight w:val="none"/>
        </w:rPr>
        <w:t>石蜡包埋机：</w:t>
      </w:r>
      <w:r>
        <w:rPr>
          <w:rFonts w:hint="eastAsia" w:ascii="仿宋" w:hAnsi="仿宋" w:eastAsia="仿宋" w:cs="仿宋"/>
          <w:sz w:val="24"/>
          <w:highlight w:val="none"/>
        </w:rPr>
        <w:t>保质期≥3年</w:t>
      </w:r>
    </w:p>
    <w:p w14:paraId="78466EE7">
      <w:pPr>
        <w:adjustRightInd w:val="0"/>
        <w:snapToGrid w:val="0"/>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（合同包6）：</w:t>
      </w:r>
    </w:p>
    <w:p w14:paraId="7E67DC83">
      <w:pPr>
        <w:widowControl/>
        <w:ind w:firstLine="480" w:firstLineChars="200"/>
        <w:jc w:val="left"/>
        <w:textAlignment w:val="center"/>
        <w:rPr>
          <w:rFonts w:ascii="仿宋" w:hAnsi="仿宋" w:eastAsia="仿宋" w:cs="仿宋"/>
          <w:sz w:val="24"/>
        </w:rPr>
      </w:pPr>
      <w:r>
        <w:rPr>
          <w:rFonts w:hint="eastAsia" w:ascii="仿宋" w:hAnsi="仿宋" w:eastAsia="仿宋" w:cs="仿宋"/>
          <w:sz w:val="24"/>
        </w:rPr>
        <w:t>所有设备质保期：≥3年</w:t>
      </w:r>
    </w:p>
    <w:p w14:paraId="12588305"/>
    <w:p w14:paraId="67B35039">
      <w:pPr>
        <w:widowControl/>
        <w:ind w:firstLine="480" w:firstLineChars="200"/>
        <w:jc w:val="left"/>
        <w:textAlignment w:val="center"/>
        <w:rPr>
          <w:rFonts w:ascii="仿宋" w:hAnsi="仿宋" w:eastAsia="仿宋" w:cs="仿宋"/>
          <w:sz w:val="24"/>
        </w:rPr>
      </w:pPr>
    </w:p>
    <w:p w14:paraId="10E20AD0">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六、验收</w:t>
      </w:r>
    </w:p>
    <w:p w14:paraId="0D4B0713">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1、验收：乙方完成服务内容后，向甲方提出验收申请，甲方接到乙方验收申请后组织验收（必要时可聘请相应专家或委托相应部门验收），验收合格后，出具使用验收合格证明。</w:t>
      </w:r>
    </w:p>
    <w:p w14:paraId="74590BC5">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2、最终验收：最终验收结果作为付款依据，乙方填写验收单，并向甲方提交实施过程中的所有资料，以便甲方日后管理和维护。</w:t>
      </w:r>
    </w:p>
    <w:p w14:paraId="1E5691B0">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3、质保期满后：由乙方出具质保期运行质量报告，若存在质量问题，应按相应规定协商处理。</w:t>
      </w:r>
    </w:p>
    <w:p w14:paraId="06B7FACC">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4、验收依据：</w:t>
      </w:r>
    </w:p>
    <w:p w14:paraId="65D2321A">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4-1、合同文本、合同附件、招标文件、投标文件。</w:t>
      </w:r>
    </w:p>
    <w:p w14:paraId="42936364">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4-2、国内相应的标准、规范。</w:t>
      </w:r>
    </w:p>
    <w:p w14:paraId="7E35C7DC">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七、违约责任</w:t>
      </w:r>
    </w:p>
    <w:p w14:paraId="26D82440">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1、按《中华人民共和国民法典》中的相关条款执行。</w:t>
      </w:r>
    </w:p>
    <w:p w14:paraId="149DFD07">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2、乙方履约延误</w:t>
      </w:r>
    </w:p>
    <w:p w14:paraId="7E11D77B">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2-1、如乙方事先未征得甲方同意并得到甲方的谅解而单方面延迟执行合同，将按违约终止合同。</w:t>
      </w:r>
    </w:p>
    <w:p w14:paraId="31E463A2">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0DA5921F">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3、违约终止合同：未按合同要求提供服务或不能满足技术要求，甲方会同监督机构有权终止合同，对乙方违约行为进行追究，同时按政府采购法的有关规定进行相应的处罚。</w:t>
      </w:r>
    </w:p>
    <w:p w14:paraId="5293F810">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八、合同组成</w:t>
      </w:r>
    </w:p>
    <w:p w14:paraId="7B3E5295">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1、中标通知书</w:t>
      </w:r>
    </w:p>
    <w:p w14:paraId="7481F2EF">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2、合同文件</w:t>
      </w:r>
    </w:p>
    <w:p w14:paraId="0545B3EE">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3、国家相关规范及标准</w:t>
      </w:r>
    </w:p>
    <w:p w14:paraId="780BEAC6">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4、招标文件</w:t>
      </w:r>
    </w:p>
    <w:p w14:paraId="6A05FA53">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5、投标文件</w:t>
      </w:r>
    </w:p>
    <w:p w14:paraId="6D1152A9">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九、解决争议的方法</w:t>
      </w:r>
    </w:p>
    <w:p w14:paraId="461B3938">
      <w:pPr>
        <w:widowControl/>
        <w:autoSpaceDE w:val="0"/>
        <w:autoSpaceDN w:val="0"/>
        <w:snapToGrid w:val="0"/>
        <w:spacing w:line="360" w:lineRule="auto"/>
        <w:ind w:right="-110" w:firstLine="480" w:firstLineChars="200"/>
        <w:textAlignment w:val="bottom"/>
        <w:rPr>
          <w:rFonts w:ascii="仿宋" w:hAnsi="仿宋" w:eastAsia="仿宋" w:cs="仿宋"/>
          <w:kern w:val="0"/>
          <w:sz w:val="24"/>
        </w:rPr>
      </w:pPr>
      <w:r>
        <w:rPr>
          <w:rFonts w:hint="eastAsia" w:ascii="仿宋" w:hAnsi="仿宋" w:eastAsia="仿宋" w:cs="仿宋"/>
          <w:kern w:val="0"/>
          <w:sz w:val="24"/>
        </w:rPr>
        <w:t>凡因本合同引起的或与本合同有关的争议，双方应友好协商解决。协商不成时，双方均同意采用以下第（1）种争议解决方式：</w:t>
      </w:r>
    </w:p>
    <w:p w14:paraId="14F12FBC">
      <w:pPr>
        <w:widowControl/>
        <w:autoSpaceDE w:val="0"/>
        <w:autoSpaceDN w:val="0"/>
        <w:snapToGrid w:val="0"/>
        <w:spacing w:line="360" w:lineRule="auto"/>
        <w:ind w:right="-110" w:firstLine="480" w:firstLineChars="200"/>
        <w:textAlignment w:val="bottom"/>
        <w:rPr>
          <w:rFonts w:ascii="仿宋" w:hAnsi="仿宋" w:eastAsia="仿宋" w:cs="仿宋"/>
          <w:kern w:val="0"/>
          <w:sz w:val="24"/>
        </w:rPr>
      </w:pPr>
      <w:r>
        <w:rPr>
          <w:rFonts w:hint="eastAsia" w:ascii="仿宋" w:hAnsi="仿宋" w:eastAsia="仿宋" w:cs="仿宋"/>
          <w:kern w:val="0"/>
          <w:sz w:val="24"/>
        </w:rPr>
        <w:t>1、甲、乙双方均同意向（甲方所在地人民法院）提起诉讼。</w:t>
      </w:r>
    </w:p>
    <w:p w14:paraId="7C633962">
      <w:pPr>
        <w:widowControl/>
        <w:autoSpaceDE w:val="0"/>
        <w:autoSpaceDN w:val="0"/>
        <w:snapToGrid w:val="0"/>
        <w:spacing w:line="360" w:lineRule="auto"/>
        <w:ind w:right="-110" w:firstLine="480" w:firstLineChars="200"/>
        <w:textAlignment w:val="bottom"/>
        <w:rPr>
          <w:rFonts w:ascii="仿宋" w:hAnsi="仿宋" w:eastAsia="仿宋" w:cs="仿宋"/>
          <w:kern w:val="0"/>
          <w:sz w:val="24"/>
        </w:rPr>
      </w:pPr>
      <w:r>
        <w:rPr>
          <w:rFonts w:hint="eastAsia" w:ascii="仿宋" w:hAnsi="仿宋" w:eastAsia="仿宋" w:cs="仿宋"/>
          <w:kern w:val="0"/>
          <w:sz w:val="24"/>
        </w:rPr>
        <w:t>2、甲、乙双方均同意向（</w:t>
      </w:r>
      <w:r>
        <w:fldChar w:fldCharType="begin"/>
      </w:r>
      <w:r>
        <w:instrText xml:space="preserve"> HYPERLINK "http://www.baidu.com/s?wd=%E4%BB%B2%E8%A3%81%E5%A7%94%E5%91%98%E4%BC%9A&amp;tn=SE_PcZhidaonwhc_ngpagmjz&amp;rsv_dl=gh_pc_zhidao" \t "_blank" </w:instrText>
      </w:r>
      <w:r>
        <w:fldChar w:fldCharType="separate"/>
      </w:r>
      <w:r>
        <w:rPr>
          <w:rFonts w:hint="eastAsia" w:ascii="仿宋" w:hAnsi="仿宋" w:eastAsia="仿宋" w:cs="仿宋"/>
          <w:kern w:val="0"/>
          <w:sz w:val="24"/>
        </w:rPr>
        <w:t>仲裁委员会</w:t>
      </w:r>
      <w:r>
        <w:rPr>
          <w:rFonts w:hint="eastAsia" w:ascii="仿宋" w:hAnsi="仿宋" w:eastAsia="仿宋" w:cs="仿宋"/>
          <w:kern w:val="0"/>
          <w:sz w:val="24"/>
        </w:rPr>
        <w:fldChar w:fldCharType="end"/>
      </w:r>
      <w:r>
        <w:rPr>
          <w:rFonts w:hint="eastAsia" w:ascii="仿宋" w:hAnsi="仿宋" w:eastAsia="仿宋" w:cs="仿宋"/>
          <w:kern w:val="0"/>
          <w:sz w:val="24"/>
        </w:rPr>
        <w:t>）提起仲裁。</w:t>
      </w:r>
    </w:p>
    <w:p w14:paraId="12A3C959">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十、合同生效及其它</w:t>
      </w:r>
    </w:p>
    <w:p w14:paraId="3A68C8E6">
      <w:pPr>
        <w:widowControl/>
        <w:autoSpaceDE w:val="0"/>
        <w:autoSpaceDN w:val="0"/>
        <w:snapToGrid w:val="0"/>
        <w:spacing w:line="360" w:lineRule="auto"/>
        <w:ind w:right="-110" w:firstLine="480" w:firstLineChars="200"/>
        <w:textAlignment w:val="bottom"/>
        <w:rPr>
          <w:rFonts w:ascii="仿宋" w:hAnsi="仿宋" w:eastAsia="仿宋" w:cs="仿宋"/>
          <w:kern w:val="0"/>
          <w:sz w:val="24"/>
        </w:rPr>
      </w:pPr>
      <w:r>
        <w:rPr>
          <w:rFonts w:hint="eastAsia" w:ascii="仿宋" w:hAnsi="仿宋" w:eastAsia="仿宋" w:cs="仿宋"/>
          <w:kern w:val="0"/>
          <w:sz w:val="24"/>
        </w:rPr>
        <w:t>1、合同未尽事宜、由甲、乙双方协商，作为合同补充，与原合同具有同等法律效力。</w:t>
      </w:r>
    </w:p>
    <w:p w14:paraId="0184450F">
      <w:pPr>
        <w:widowControl/>
        <w:tabs>
          <w:tab w:val="left" w:pos="8391"/>
        </w:tabs>
        <w:autoSpaceDE w:val="0"/>
        <w:autoSpaceDN w:val="0"/>
        <w:snapToGrid w:val="0"/>
        <w:spacing w:line="360" w:lineRule="auto"/>
        <w:ind w:right="-69" w:firstLine="480" w:firstLineChars="200"/>
        <w:textAlignment w:val="bottom"/>
        <w:rPr>
          <w:rFonts w:ascii="仿宋" w:hAnsi="仿宋" w:eastAsia="仿宋" w:cs="仿宋"/>
          <w:kern w:val="0"/>
          <w:sz w:val="24"/>
        </w:rPr>
      </w:pPr>
      <w:r>
        <w:rPr>
          <w:rFonts w:hint="eastAsia" w:ascii="仿宋" w:hAnsi="仿宋" w:eastAsia="仿宋" w:cs="仿宋"/>
          <w:kern w:val="0"/>
          <w:sz w:val="24"/>
        </w:rPr>
        <w:t>2、 本合同正本一式份，甲方、乙方双方分别执份，备案份。</w:t>
      </w:r>
    </w:p>
    <w:p w14:paraId="7C4CA5E3">
      <w:pPr>
        <w:widowControl/>
        <w:tabs>
          <w:tab w:val="left" w:pos="8391"/>
        </w:tabs>
        <w:autoSpaceDE w:val="0"/>
        <w:autoSpaceDN w:val="0"/>
        <w:snapToGrid w:val="0"/>
        <w:spacing w:line="360" w:lineRule="auto"/>
        <w:ind w:right="-69" w:firstLine="480" w:firstLineChars="200"/>
        <w:textAlignment w:val="bottom"/>
        <w:rPr>
          <w:rFonts w:ascii="仿宋" w:hAnsi="仿宋" w:eastAsia="仿宋" w:cs="仿宋"/>
          <w:kern w:val="0"/>
          <w:sz w:val="24"/>
        </w:rPr>
      </w:pPr>
      <w:r>
        <w:rPr>
          <w:rFonts w:hint="eastAsia" w:ascii="仿宋" w:hAnsi="仿宋" w:eastAsia="仿宋" w:cs="仿宋"/>
          <w:kern w:val="0"/>
          <w:sz w:val="24"/>
        </w:rPr>
        <w:t>3、合同经甲乙双方盖章、签字后生效，合同签订地点为。</w:t>
      </w:r>
    </w:p>
    <w:p w14:paraId="671D8EF9">
      <w:pPr>
        <w:widowControl/>
        <w:tabs>
          <w:tab w:val="left" w:pos="8391"/>
        </w:tabs>
        <w:autoSpaceDE w:val="0"/>
        <w:autoSpaceDN w:val="0"/>
        <w:snapToGrid w:val="0"/>
        <w:spacing w:line="360" w:lineRule="auto"/>
        <w:ind w:right="-69" w:firstLine="480" w:firstLineChars="200"/>
        <w:textAlignment w:val="bottom"/>
        <w:rPr>
          <w:rFonts w:ascii="仿宋" w:hAnsi="仿宋" w:eastAsia="仿宋" w:cs="仿宋"/>
          <w:kern w:val="0"/>
          <w:sz w:val="24"/>
        </w:rPr>
      </w:pPr>
      <w:r>
        <w:rPr>
          <w:rFonts w:hint="eastAsia" w:ascii="仿宋" w:hAnsi="仿宋" w:eastAsia="仿宋" w:cs="仿宋"/>
          <w:kern w:val="0"/>
          <w:sz w:val="24"/>
        </w:rPr>
        <w:t>4、生效时间：年月日</w:t>
      </w:r>
    </w:p>
    <w:p w14:paraId="1006FC22">
      <w:pPr>
        <w:widowControl/>
        <w:tabs>
          <w:tab w:val="left" w:pos="8391"/>
        </w:tabs>
        <w:autoSpaceDE w:val="0"/>
        <w:autoSpaceDN w:val="0"/>
        <w:snapToGrid w:val="0"/>
        <w:spacing w:line="360" w:lineRule="auto"/>
        <w:ind w:right="-69" w:firstLine="840" w:firstLineChars="350"/>
        <w:textAlignment w:val="bottom"/>
        <w:rPr>
          <w:rFonts w:ascii="仿宋" w:hAnsi="仿宋" w:eastAsia="仿宋" w:cs="仿宋"/>
          <w:kern w:val="0"/>
          <w:sz w:val="24"/>
        </w:rPr>
      </w:pPr>
    </w:p>
    <w:tbl>
      <w:tblPr>
        <w:tblStyle w:val="5"/>
        <w:tblW w:w="9286" w:type="dxa"/>
        <w:jc w:val="center"/>
        <w:tblLayout w:type="fixed"/>
        <w:tblCellMar>
          <w:top w:w="0" w:type="dxa"/>
          <w:left w:w="108" w:type="dxa"/>
          <w:bottom w:w="0" w:type="dxa"/>
          <w:right w:w="108" w:type="dxa"/>
        </w:tblCellMar>
      </w:tblPr>
      <w:tblGrid>
        <w:gridCol w:w="4643"/>
        <w:gridCol w:w="4643"/>
      </w:tblGrid>
      <w:tr w14:paraId="492718DF">
        <w:tblPrEx>
          <w:tblCellMar>
            <w:top w:w="0" w:type="dxa"/>
            <w:left w:w="108" w:type="dxa"/>
            <w:bottom w:w="0" w:type="dxa"/>
            <w:right w:w="108" w:type="dxa"/>
          </w:tblCellMar>
        </w:tblPrEx>
        <w:trPr>
          <w:jc w:val="center"/>
        </w:trPr>
        <w:tc>
          <w:tcPr>
            <w:tcW w:w="4643" w:type="dxa"/>
            <w:noWrap/>
          </w:tcPr>
          <w:p w14:paraId="7E91CCE5">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甲方名称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72294103">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地址：</w:t>
            </w:r>
          </w:p>
          <w:p w14:paraId="4ED26001">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代表人（签字）：</w:t>
            </w:r>
          </w:p>
          <w:p w14:paraId="0EF6E71F">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电话：</w:t>
            </w:r>
          </w:p>
          <w:p w14:paraId="346FA71C">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开户银行：</w:t>
            </w:r>
          </w:p>
          <w:p w14:paraId="12C42259">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账号：</w:t>
            </w:r>
          </w:p>
        </w:tc>
        <w:tc>
          <w:tcPr>
            <w:tcW w:w="4643" w:type="dxa"/>
            <w:noWrap/>
          </w:tcPr>
          <w:p w14:paraId="771CD129">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乙方名称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4F2C0CD4">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地址：</w:t>
            </w:r>
          </w:p>
          <w:p w14:paraId="630DFC1D">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代表人（签字）：</w:t>
            </w:r>
          </w:p>
          <w:p w14:paraId="00AC9AE4">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电话：</w:t>
            </w:r>
          </w:p>
          <w:p w14:paraId="223713EB">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开户银行：</w:t>
            </w:r>
          </w:p>
          <w:p w14:paraId="076807A6">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账号：</w:t>
            </w:r>
          </w:p>
        </w:tc>
      </w:tr>
    </w:tbl>
    <w:p w14:paraId="6CFD87F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2E4057DB"/>
    <w:rsid w:val="0018492D"/>
    <w:rsid w:val="00703739"/>
    <w:rsid w:val="007F5691"/>
    <w:rsid w:val="008137CA"/>
    <w:rsid w:val="00EF53B9"/>
    <w:rsid w:val="00F30B87"/>
    <w:rsid w:val="08F031BB"/>
    <w:rsid w:val="2B75310F"/>
    <w:rsid w:val="2E4057DB"/>
    <w:rsid w:val="31E83D5A"/>
    <w:rsid w:val="420C68C5"/>
    <w:rsid w:val="44B02DF3"/>
    <w:rsid w:val="513419B6"/>
    <w:rsid w:val="52017635"/>
    <w:rsid w:val="5D7E4339"/>
    <w:rsid w:val="6A9053E9"/>
    <w:rsid w:val="6E185FDB"/>
    <w:rsid w:val="774C33C7"/>
    <w:rsid w:val="7DA83C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uiPriority w:val="0"/>
    <w:pPr>
      <w:tabs>
        <w:tab w:val="left" w:pos="567"/>
      </w:tabs>
      <w:spacing w:before="120" w:line="22" w:lineRule="atLeast"/>
    </w:pPr>
    <w:rPr>
      <w:rFonts w:ascii="宋体" w:hAnsi="宋体"/>
      <w:sz w:val="24"/>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imes New Roman" w:hAnsi="Times New Roman" w:eastAsia="宋体" w:cs="Times New Roman"/>
      <w:kern w:val="2"/>
      <w:sz w:val="18"/>
      <w:szCs w:val="18"/>
    </w:rPr>
  </w:style>
  <w:style w:type="character" w:customStyle="1" w:styleId="8">
    <w:name w:val="页脚 Char"/>
    <w:basedOn w:val="6"/>
    <w:link w:val="3"/>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6</Pages>
  <Words>3085</Words>
  <Characters>3158</Characters>
  <Lines>24</Lines>
  <Paragraphs>6</Paragraphs>
  <TotalTime>0</TotalTime>
  <ScaleCrop>false</ScaleCrop>
  <LinksUpToDate>false</LinksUpToDate>
  <CharactersWithSpaces>3172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2026-05-22T08:07:00Z</dcterms:created>
  <dc:creator>招标四部</dc:creator>
  <cp:lastModifiedBy>招标四部</cp:lastModifiedBy>
  <dcterms:modified xsi:type="dcterms:W3CDTF">2026-05-22T11:09:47Z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76304E0FA82D4EBFAE9368E7A70E36B8_11</vt:lpwstr>
  </property>
  <property fmtid="{D5CDD505-2E9C-101B-9397-08002B2CF9AE}" pid="4" name="KSOTemplateDocerSaveRecord">
    <vt:lpwstr>eyJoZGlkIjoiZGE2MDUyNWI4ZWQwNzdjN2ZkOTgyMzU3YmFmM2U5NzAiLCJ1c2VySWQiOiIyNDEwNjE3OTEifQ==</vt:lpwstr>
  </property>
</Properties>
</file>