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E4C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napToGrid w:val="0"/>
          <w:color w:val="auto"/>
          <w:kern w:val="0"/>
          <w:sz w:val="30"/>
          <w:szCs w:val="30"/>
          <w:highlight w:val="none"/>
          <w:lang w:val="en-US" w:eastAsia="zh-CN"/>
        </w:rPr>
        <w:t xml:space="preserve">政府采购项目        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0"/>
          <w:szCs w:val="30"/>
          <w:highlight w:val="none"/>
          <w:lang w:eastAsia="en-US"/>
        </w:rPr>
        <w:t xml:space="preserve">             合同编号：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</w:t>
      </w:r>
    </w:p>
    <w:p w14:paraId="79C273F3">
      <w:pPr>
        <w:widowControl w:val="0"/>
        <w:spacing w:line="324" w:lineRule="auto"/>
        <w:jc w:val="both"/>
        <w:rPr>
          <w:rFonts w:hint="eastAsia" w:ascii="Times New Roman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86D5543">
      <w:pPr>
        <w:widowControl w:val="0"/>
        <w:spacing w:line="324" w:lineRule="auto"/>
        <w:jc w:val="both"/>
        <w:rPr>
          <w:rFonts w:hint="eastAsia" w:ascii="Times New Roman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0DAE5E3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E736734">
      <w:pPr>
        <w:pStyle w:val="4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095A10D">
      <w:pPr>
        <w:rPr>
          <w:rFonts w:hint="eastAsia"/>
          <w:color w:val="auto"/>
          <w:highlight w:val="none"/>
          <w:lang w:val="en-US" w:eastAsia="zh-CN"/>
        </w:rPr>
      </w:pPr>
    </w:p>
    <w:p w14:paraId="5C4446FE">
      <w:pPr>
        <w:pStyle w:val="12"/>
        <w:jc w:val="center"/>
        <w:outlineLvl w:val="2"/>
        <w:rPr>
          <w:rFonts w:ascii="宋体" w:hAnsi="宋体" w:eastAsia="宋体" w:cs="宋体"/>
          <w:b/>
          <w:bCs/>
          <w:color w:val="auto"/>
          <w:sz w:val="44"/>
          <w:szCs w:val="44"/>
          <w:highlight w:val="none"/>
          <w:u w:val="none"/>
          <w:lang w:eastAsia="zh-CN" w:bidi="ar-SA"/>
        </w:rPr>
      </w:pPr>
      <w:r>
        <w:rPr>
          <w:rFonts w:ascii="宋体" w:hAnsi="宋体" w:eastAsia="宋体" w:cs="宋体"/>
          <w:b/>
          <w:bCs/>
          <w:color w:val="auto"/>
          <w:sz w:val="44"/>
          <w:szCs w:val="44"/>
          <w:highlight w:val="none"/>
          <w:u w:val="none"/>
          <w:lang w:eastAsia="zh-CN" w:bidi="ar-SA"/>
        </w:rPr>
        <w:t>普通国省干线公路项目初步设计审查咨询</w:t>
      </w:r>
    </w:p>
    <w:p w14:paraId="3BFECA11">
      <w:pPr>
        <w:pStyle w:val="7"/>
        <w:ind w:left="0" w:leftChars="0" w:hanging="7" w:firstLineChars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u w:val="none"/>
          <w:lang w:val="en-US" w:eastAsia="zh-CN"/>
        </w:rPr>
        <w:t>服务合同</w:t>
      </w:r>
    </w:p>
    <w:p w14:paraId="00D5CBAC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65626C7A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7C3FCBC1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85D1305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90402DA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2BE1F962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3F68F2B8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25018C98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566659EA">
      <w:pPr>
        <w:spacing w:line="324" w:lineRule="auto"/>
        <w:rPr>
          <w:rFonts w:hint="eastAsia" w:ascii="Times New Roman" w:hAnsi="宋体" w:eastAsia="宋体" w:cs="宋体"/>
          <w:color w:val="auto"/>
          <w:sz w:val="18"/>
          <w:szCs w:val="21"/>
          <w:highlight w:val="none"/>
        </w:rPr>
      </w:pPr>
    </w:p>
    <w:p w14:paraId="5DED746C">
      <w:pPr>
        <w:spacing w:line="324" w:lineRule="auto"/>
        <w:jc w:val="center"/>
        <w:rPr>
          <w:rFonts w:hint="eastAsia" w:ascii="Times New Roman" w:hAnsi="宋体" w:eastAsia="宋体" w:cs="宋体"/>
          <w:b/>
          <w:color w:val="auto"/>
          <w:sz w:val="28"/>
          <w:szCs w:val="28"/>
          <w:highlight w:val="none"/>
        </w:rPr>
      </w:pPr>
    </w:p>
    <w:p w14:paraId="37CB45C4">
      <w:pPr>
        <w:spacing w:before="163" w:beforeLines="50" w:line="360" w:lineRule="auto"/>
        <w:rPr>
          <w:rFonts w:hint="eastAsia" w:ascii="Times New Roman" w:hAnsi="宋体" w:eastAsia="宋体" w:cs="宋体"/>
          <w:bCs/>
          <w:color w:val="auto"/>
          <w:sz w:val="40"/>
          <w:szCs w:val="40"/>
          <w:highlight w:val="none"/>
        </w:rPr>
      </w:pPr>
    </w:p>
    <w:p w14:paraId="7BFA4AF2">
      <w:pPr>
        <w:spacing w:before="163" w:beforeLines="50" w:line="360" w:lineRule="auto"/>
        <w:jc w:val="center"/>
        <w:rPr>
          <w:rFonts w:hint="eastAsia" w:ascii="Times New Roman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21038F95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1263" w:firstLineChars="393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 xml:space="preserve">采购人： 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  <w:t>陕西省公路局</w:t>
      </w:r>
    </w:p>
    <w:p w14:paraId="72CA46E1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1263" w:firstLineChars="393"/>
        <w:jc w:val="left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 xml:space="preserve">供应商： 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58C563CD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2866" w:firstLineChars="892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0840DC5D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2866" w:firstLineChars="892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二〇二六年  月</w:t>
      </w:r>
      <w:r>
        <w:rPr>
          <w:rFonts w:hint="eastAsia" w:ascii="Times New Roman" w:hAnsi="宋体" w:eastAsia="宋体" w:cs="宋体"/>
          <w:b/>
          <w:bCs/>
          <w:color w:val="auto"/>
          <w:sz w:val="28"/>
          <w:szCs w:val="28"/>
          <w:highlight w:val="none"/>
        </w:rPr>
        <w:br w:type="page"/>
      </w:r>
    </w:p>
    <w:p w14:paraId="4A60E024">
      <w:pPr>
        <w:spacing w:before="157" w:beforeLines="50" w:line="360" w:lineRule="auto"/>
        <w:jc w:val="center"/>
        <w:outlineLvl w:val="0"/>
        <w:rPr>
          <w:rFonts w:ascii="仿宋" w:hAnsi="仿宋" w:eastAsia="仿宋" w:cs="仿宋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合同协议书</w:t>
      </w:r>
    </w:p>
    <w:p w14:paraId="3BB8DE8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</w:pPr>
    </w:p>
    <w:p w14:paraId="76E8CC63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>甲方（采购人）：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陕西省公路局</w:t>
      </w:r>
    </w:p>
    <w:p w14:paraId="42F5CE87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>乙方（供应商）：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 </w:t>
      </w:r>
    </w:p>
    <w:p w14:paraId="29E23A3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根据《中华人民共和国民法典》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中华人民共和国政府采购法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及其他有关法律、法规， 遵循平等、自愿、公平和诚信的原则， 双方就下述项目范围与相关服务事项协商一致， 订立本合同。</w:t>
      </w:r>
    </w:p>
    <w:p w14:paraId="4B55CB4C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一、项目概况</w:t>
      </w:r>
    </w:p>
    <w:p w14:paraId="76C4D87F">
      <w:pPr>
        <w:pStyle w:val="12"/>
        <w:ind w:firstLine="560" w:firstLineChars="200"/>
        <w:outlineLvl w:val="2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：</w:t>
      </w:r>
      <w:r>
        <w:rPr>
          <w:rFonts w:ascii="宋体" w:hAnsi="宋体" w:eastAsia="宋体" w:cs="宋体"/>
          <w:b w:val="0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普通国省干线公路项目初步设计审查咨询</w:t>
      </w:r>
    </w:p>
    <w:p w14:paraId="40CACCA7">
      <w:pPr>
        <w:pStyle w:val="7"/>
        <w:ind w:firstLine="560" w:firstLineChars="200"/>
        <w:rPr>
          <w:rFonts w:hint="default"/>
          <w:b w:val="0"/>
          <w:bCs w:val="0"/>
          <w:color w:val="auto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（二）项目地点：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甲方指定地点</w:t>
      </w:r>
    </w:p>
    <w:p w14:paraId="2DE56D52">
      <w:pPr>
        <w:pStyle w:val="12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（三）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服务内容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：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本合同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内容主要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为审查项目的总体设计、路线、路基、路面、桥涵、隧道、路线交叉、交通工程及沿线设施、环境保护与景观设计、其他工程、筑路材料、施工方案等的工程勘察、初步设计的技术咨询服务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以及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-SA"/>
        </w:rPr>
        <w:t>重大初步设计变更的技术咨询服务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同时完成以下项目服务：</w:t>
      </w:r>
    </w:p>
    <w:p w14:paraId="4D9BD6B0">
      <w:pPr>
        <w:pStyle w:val="12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初步设计审查意见落实情况核查；</w:t>
      </w:r>
    </w:p>
    <w:p w14:paraId="41F7F444">
      <w:pPr>
        <w:pStyle w:val="12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普通国省干线公路在建项目地质灾害技术咨询服务；</w:t>
      </w:r>
    </w:p>
    <w:p w14:paraId="102E7D66">
      <w:pPr>
        <w:pStyle w:val="12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设计单位设计服务工作情况抽查；</w:t>
      </w:r>
    </w:p>
    <w:p w14:paraId="4740A339">
      <w:pPr>
        <w:pStyle w:val="12"/>
        <w:pageBreakBefore w:val="0"/>
        <w:wordWrap/>
        <w:overflowPunct/>
        <w:topLinePunct w:val="0"/>
        <w:autoSpaceDE/>
        <w:autoSpaceDN/>
        <w:bidi w:val="0"/>
        <w:spacing w:line="240" w:lineRule="auto"/>
        <w:ind w:firstLine="422" w:firstLine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“三阶段”设计核查工作开展情况抽查。</w:t>
      </w:r>
    </w:p>
    <w:p w14:paraId="1EDAB7C8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、合同金额</w:t>
      </w:r>
    </w:p>
    <w:p w14:paraId="32F335B7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left="839" w:leftChars="266" w:hanging="280" w:hanging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合同总价款(含税价):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¥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元)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4F57FD8C">
      <w:pPr>
        <w:spacing w:line="520" w:lineRule="exact"/>
        <w:ind w:firstLine="560" w:firstLineChars="200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合同价格为含税价，乙方报价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包含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完成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项目所需的全部费用（包括但不限于劳务费、交通费、设备费、专家论证费、技术咨询费、食宿费、材料费、保险费、国家按现行税收政策征收的一切税金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报告出具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一切费用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。甲方无需再向乙方支付其他任何费用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79A40D13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、服务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期限</w:t>
      </w:r>
    </w:p>
    <w:p w14:paraId="7F2C737A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合同服务期为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合同签订之日起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至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2026年11月30日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10ACC22D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四、结算方式</w:t>
      </w:r>
    </w:p>
    <w:p w14:paraId="035F7569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结算单位: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由甲方负责结算。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费用结算采用银行转账方式，分期付款。乙方应在甲方每次付款前，按照甲方要求的发票类型和金额，向甲方开具合法有效的发票，税费由乙方承担。否则，甲方有权拒绝付款且不承担迟延支付的违约责任。</w:t>
      </w:r>
    </w:p>
    <w:p w14:paraId="4F029B26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付款方式:</w:t>
      </w:r>
    </w:p>
    <w:p w14:paraId="1EB5C36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双方签署合同后甲方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eastAsia="zh-CN"/>
        </w:rPr>
        <w:t>收到乙方履约保证金（或保函）及等额有效发票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val="en-US" w:eastAsia="zh-CN"/>
        </w:rPr>
        <w:t>15日内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向乙方支付合同总金额的60%（￥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...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元）。</w:t>
      </w:r>
    </w:p>
    <w:p w14:paraId="08E0230E">
      <w:pPr>
        <w:spacing w:line="520" w:lineRule="exact"/>
        <w:ind w:firstLine="560" w:firstLineChars="200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u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  <w:u w:val="none"/>
          <w:lang w:eastAsia="zh-CN"/>
        </w:rPr>
        <w:t>.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按期完成合同约定内容，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提交甲方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认可的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项目全部成果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eastAsia="zh-CN"/>
        </w:rPr>
        <w:t>及等额有效发票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val="en-US" w:eastAsia="zh-CN"/>
        </w:rPr>
        <w:t>15日内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向乙方支付合同总金额的40%（￥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u w:val="none"/>
          <w:lang w:val="en-US" w:eastAsia="zh-CN"/>
        </w:rPr>
        <w:t>....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元）。</w:t>
      </w:r>
    </w:p>
    <w:p w14:paraId="3BA35935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3.合同签订前，乙方须向甲方缴纳合同总金额5%的履约保证金，履约保证金待乙方履行完全部合同义务，并经甲方验收合格且无任何纠纷后无息退还。</w:t>
      </w:r>
    </w:p>
    <w:p w14:paraId="2878FE4E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、主要工作内容</w:t>
      </w:r>
    </w:p>
    <w:p w14:paraId="15589142">
      <w:pPr>
        <w:pStyle w:val="12"/>
        <w:ind w:firstLine="422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（</w:t>
      </w: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  <w:t>一</w:t>
      </w: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）</w:t>
      </w:r>
      <w:r>
        <w:rPr>
          <w:rFonts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咨询范围</w:t>
      </w:r>
    </w:p>
    <w:p w14:paraId="6DE208A2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2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本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项目内容主要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为审查项目的总体设计、路线、路基、路面、桥涵、隧道、路线交叉、交通工程及沿线设施、环境保护与景观设计、其他工程、筑路材料、施工方案等的工程勘察、初步设计的技术咨询服务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以及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重大初步设计变更的技术咨询服务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。同时完成以下服务内容：</w:t>
      </w:r>
    </w:p>
    <w:p w14:paraId="73C3A93E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2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初步设计审查意见落实情况核查；</w:t>
      </w:r>
    </w:p>
    <w:p w14:paraId="6BD16FC7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2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普通国省干线公路在建项目地质灾害技术咨询服务；</w:t>
      </w:r>
    </w:p>
    <w:p w14:paraId="75302780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2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设计单位设计服务工作情况抽查；</w:t>
      </w:r>
    </w:p>
    <w:p w14:paraId="347F231E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“三阶段”设计核查工作开展情况抽查。</w:t>
      </w:r>
    </w:p>
    <w:p w14:paraId="1E22AF6C">
      <w:pPr>
        <w:pStyle w:val="12"/>
        <w:ind w:firstLine="422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（</w:t>
      </w: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  <w:t>二</w:t>
      </w: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）</w:t>
      </w:r>
      <w:r>
        <w:rPr>
          <w:rFonts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eastAsia="zh-CN" w:bidi="ar-SA"/>
        </w:rPr>
        <w:t>咨询内容</w:t>
      </w:r>
    </w:p>
    <w:p w14:paraId="25765B79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咨询人应提供以下技术咨询服务：</w:t>
      </w:r>
    </w:p>
    <w:p w14:paraId="16C757A3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工程勘察、设计依据的基本资料是否完整、准确、可靠，设计论证是否充分，计算是否可靠，是否符合系统运行安全的要求；</w:t>
      </w:r>
    </w:p>
    <w:p w14:paraId="40DA03AA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有关设计方案、特殊工点、施工方案和施工组织的可行性；</w:t>
      </w:r>
    </w:p>
    <w:p w14:paraId="23A97B44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设计文件总体性和各专业间的衔接是否满足要求；</w:t>
      </w:r>
    </w:p>
    <w:p w14:paraId="2CCA248A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设计文件各专业是否满足先进、适用、安全、节能、消防、环境、美观、经济的原则；</w:t>
      </w:r>
    </w:p>
    <w:p w14:paraId="47AC4A4A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5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设计文件深度及内容是否符合编制办法规定；</w:t>
      </w:r>
    </w:p>
    <w:p w14:paraId="5743018B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6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工程勘察、设计是否符合国家现行有关法律、法规和政策；</w:t>
      </w:r>
    </w:p>
    <w:p w14:paraId="506E4A75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7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工程勘察成果、设计文件是否符合交通行业规范、规程、技术标准和《公路工程基本建设项目设计文件编制办法》的要求，是否完全执行了《工程建设标准强制性条文》的规定；</w:t>
      </w:r>
    </w:p>
    <w:p w14:paraId="06C746EE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8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工程勘察成果、初步设计文件是否落实了上阶段批复精神；</w:t>
      </w:r>
    </w:p>
    <w:p w14:paraId="3F958008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9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初步设计文件是否最大限度地维护了社会公众利益和保证公众安全；</w:t>
      </w:r>
    </w:p>
    <w:p w14:paraId="6B771D17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0.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满足上述要求的前提下提出进一步优化建议，在不降低工程技术标准的前提下，尽可能减少工程造价；</w:t>
      </w:r>
    </w:p>
    <w:p w14:paraId="06B06BE5">
      <w:pPr>
        <w:pStyle w:val="12"/>
        <w:ind w:firstLine="420"/>
        <w:jc w:val="both"/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1.</w:t>
      </w:r>
      <w:r>
        <w:rPr>
          <w:rFonts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编写技术咨询报告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。</w:t>
      </w:r>
    </w:p>
    <w:p w14:paraId="7D8A0AA0">
      <w:pPr>
        <w:pStyle w:val="12"/>
        <w:ind w:firstLine="422"/>
        <w:jc w:val="both"/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highlight w:val="none"/>
          <w:lang w:val="en-US" w:eastAsia="zh-CN" w:bidi="ar-SA"/>
        </w:rPr>
        <w:t>（三）其他服务内容</w:t>
      </w:r>
    </w:p>
    <w:p w14:paraId="27576E56">
      <w:pPr>
        <w:pStyle w:val="12"/>
        <w:ind w:firstLine="422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.初步设计审查意见落实情况核查；</w:t>
      </w:r>
    </w:p>
    <w:p w14:paraId="7DB2F057">
      <w:pPr>
        <w:pStyle w:val="12"/>
        <w:ind w:firstLine="422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.普通国省干线公路在建项目地质灾害技术咨询服务；</w:t>
      </w:r>
    </w:p>
    <w:p w14:paraId="48C5FCFD">
      <w:pPr>
        <w:pStyle w:val="12"/>
        <w:ind w:firstLine="422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.设计单位设计服务工作情况抽查；</w:t>
      </w:r>
    </w:p>
    <w:p w14:paraId="311A8200">
      <w:pPr>
        <w:pStyle w:val="12"/>
        <w:ind w:firstLine="422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.“三阶段”设计核查工作开展情况抽查。</w:t>
      </w:r>
    </w:p>
    <w:p w14:paraId="201F6F34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要求</w:t>
      </w:r>
    </w:p>
    <w:p w14:paraId="68E61BD4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满足交通运输部、陕西省交通运输主管部门印发的规范性文件以及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文件相关技术要求，提交的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成果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报告需通过咨询单位的技术审查。</w:t>
      </w:r>
    </w:p>
    <w:p w14:paraId="1CF19D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6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bidi="ar-SA"/>
        </w:rPr>
        <w:t>公路工程初步设计审查依据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eastAsia="zh-CN" w:bidi="ar-SA"/>
        </w:rPr>
        <w:t>：</w:t>
      </w:r>
    </w:p>
    <w:p w14:paraId="36362B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firstLine="241" w:firstLineChars="0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</w:rPr>
        <w:t>项目前期批复及成果文件</w:t>
      </w:r>
    </w:p>
    <w:p w14:paraId="2C47E2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项目可行性研究报告及批复文件</w:t>
      </w:r>
    </w:p>
    <w:p w14:paraId="6CF479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项目立项、核准、规划选址、用地预审等批复文件</w:t>
      </w:r>
    </w:p>
    <w:p w14:paraId="4DCEDBA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项目环境影响评价、水土保持、地质灾害危险性评估、压覆矿产资源调查、行洪论证等专题批复文件</w:t>
      </w:r>
    </w:p>
    <w:p w14:paraId="35A7B90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项目工程地质勘察报告、工程测量成果等基础资料</w:t>
      </w:r>
    </w:p>
    <w:p w14:paraId="2AF2B4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firstLine="241" w:firstLineChars="0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</w:rPr>
        <w:t>国家及行业现行技术标准、规范</w:t>
      </w:r>
    </w:p>
    <w:p w14:paraId="5ED798F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B01-2014《公路工程技术标准》</w:t>
      </w:r>
    </w:p>
    <w:p w14:paraId="0B8344C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B03-2019《公路项目安全性评价规范》</w:t>
      </w:r>
    </w:p>
    <w:p w14:paraId="2EE4BE2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B02-2009《公路桥梁抗震设计规范》</w:t>
      </w:r>
    </w:p>
    <w:p w14:paraId="720FD2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B05-2021《公路项目风景园林与景观设计规范》</w:t>
      </w:r>
    </w:p>
    <w:p w14:paraId="2F7D3B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D20-2017《公路路线设计规范》</w:t>
      </w:r>
    </w:p>
    <w:p w14:paraId="330C4BD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D21-2014《公路立体交叉设计规范》</w:t>
      </w:r>
    </w:p>
    <w:p w14:paraId="53F99ED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D30-2015《公路路基设计规范》</w:t>
      </w:r>
    </w:p>
    <w:p w14:paraId="0AAE8F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D33-2012《公路排水设计规范》</w:t>
      </w:r>
    </w:p>
    <w:p w14:paraId="4D47F27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D50-2017《公路沥青路面设计规范》</w:t>
      </w:r>
    </w:p>
    <w:p w14:paraId="2220B53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D40-2011《公路水泥混凝土路面设计规范》</w:t>
      </w:r>
    </w:p>
    <w:p w14:paraId="4F1DE8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D60-2015《公路桥涵设计通用规范》</w:t>
      </w:r>
    </w:p>
    <w:p w14:paraId="653753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D61-2019《公路圬工桥涵设计规范》</w:t>
      </w:r>
    </w:p>
    <w:p w14:paraId="506FB40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D62-2012《公路钢筋混凝土及预应力混凝土桥涵设计规范》</w:t>
      </w:r>
    </w:p>
    <w:p w14:paraId="1D1237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3370.1-2018《公路隧道设计规范 第一册 土建工程》</w:t>
      </w:r>
    </w:p>
    <w:p w14:paraId="1B89FBA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3370.2-2022《公路隧道设计规范 第二册 机电工程》</w:t>
      </w:r>
    </w:p>
    <w:p w14:paraId="3303F1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D80-2018《高速公路交通工程及沿线设施设计通用规范》</w:t>
      </w:r>
    </w:p>
    <w:p w14:paraId="4400AB1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D81-2017《公路交通安全设施设计规范》</w:t>
      </w:r>
    </w:p>
    <w:p w14:paraId="6EFBFDE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19.18.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D82-2022《公路交通标志和标线设置规范》</w:t>
      </w:r>
    </w:p>
    <w:p w14:paraId="5F2FFAA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B06-02-2013《公路环境保护设计规范》</w:t>
      </w:r>
    </w:p>
    <w:p w14:paraId="698B27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21.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B06-03-2018《公路水土保持技术规范》</w:t>
      </w:r>
    </w:p>
    <w:p w14:paraId="2878F0B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3340-2018《公路设计防火规范》</w:t>
      </w:r>
    </w:p>
    <w:p w14:paraId="66FD26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D31-02-2020《公路软土地基路堤设计与施工技术规范》</w:t>
      </w:r>
    </w:p>
    <w:p w14:paraId="22C1E6A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D31-03-2011《公路滑坡防治设计规范》</w:t>
      </w:r>
    </w:p>
    <w:p w14:paraId="1522ADB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 3830-2018《公路工程建设项目概算预算编制办法》</w:t>
      </w:r>
    </w:p>
    <w:p w14:paraId="2982D6A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200" w:right="0" w:right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JTG/T 3831~3836-2018 公路工程概算、预算配套定额</w:t>
      </w:r>
    </w:p>
    <w:p w14:paraId="4E6FFB6E">
      <w:p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、售后服务</w:t>
      </w:r>
    </w:p>
    <w:p w14:paraId="7C78207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技术支持和售后服务由乙方严格按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及有关承诺执行，提供7*24小时电话咨询服务，出现问题时，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0.5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小时内电话响应，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小时内电话解决问题，如有需要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小时内到达故障现场解决问题。</w:t>
      </w:r>
    </w:p>
    <w:p w14:paraId="06D3A438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售后服务联系方式: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32496D0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乙方自身原因或不能履行售后服务义务,甲方有权委托第三方处理，由此产生的费用和风险由乙方承担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484DA1F1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验收</w:t>
      </w:r>
    </w:p>
    <w:p w14:paraId="35957088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一）乙方完成合同约定的全部内容后，应向甲方提交书面的服务成果报告及验收申请。同时向甲方提交项目实施过程中的所有资料,以便甲方日后跟踪、督导、检查所咨询项目。乙方应根据国家现行的相关技术标准、规范、规程（见第六条）等以及我省公路管理相关规定实施咨询服务，据实提交各项成果资料。</w:t>
      </w:r>
    </w:p>
    <w:p w14:paraId="41C3A85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（二）甲方收到乙方的验收申请后，组织乙方（必要时请有关专家）进行项目验收。乙方提交合同履约情况总结报告，并经甲方确认。验收合格后，填写项目验收单作为对项目的最终认可。</w:t>
      </w:r>
    </w:p>
    <w:p w14:paraId="5EB981F6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（三）验收依据：①本合同及附件文本；②竞争性磋商文件、响应文件、澄清表（函）；③国家相应的标准、规范。</w:t>
      </w:r>
    </w:p>
    <w:p w14:paraId="6F653C43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技术审查、验收不合格的限期整改，整改过程中产生的一切费用和损失由乙方承担。整改超过二次的，甲方有权单方解除本合同，乙方应无条件退还已收取的全部合同价款，给甲方造成损失的应予以赔偿，且乙方应按合同总金额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10%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向甲方支付违约金。</w:t>
      </w:r>
    </w:p>
    <w:p w14:paraId="13AEF41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九、保密</w:t>
      </w:r>
    </w:p>
    <w:p w14:paraId="53F22767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乙方对工作中了解到的甲方的技术、数据、机密等进行严格保密，不得向他人泄漏。本合同的解除或终止不免除乙方应承担的保密义务。</w:t>
      </w:r>
    </w:p>
    <w:p w14:paraId="706844C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乙方违反保密规定的，除承担法律责任外，还应向甲方支付合同总金额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%的违约金，给甲方造成损失的，乙方还应予以赔偿。</w:t>
      </w:r>
    </w:p>
    <w:p w14:paraId="149F859B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  十、知识产权</w:t>
      </w:r>
    </w:p>
    <w:p w14:paraId="4D49A82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乙方应对所供服务具有或已取得合法知识产权，乙方应保证所供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，并向甲方承担合同总金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%的违约金，给甲方造成损失的，乙方应予以赔偿。</w:t>
      </w:r>
    </w:p>
    <w:p w14:paraId="0224C994">
      <w:pPr>
        <w:pStyle w:val="6"/>
        <w:rPr>
          <w:rFonts w:hint="eastAsia" w:eastAsiaTheme="minor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   十一、违约责任</w:t>
      </w:r>
    </w:p>
    <w:p w14:paraId="1B7A5F1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（一）甲乙双方必须遵守本合同并执行合同中的各项规定，保证本合同的正常履行。</w:t>
      </w:r>
    </w:p>
    <w:p w14:paraId="75FFE5AD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二）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6B155300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三）因省财政年度预算拨款等政策要求，甲方向乙方支付全部合同价款不视为双方合同履约结束，乙方仍应按照合同约定，完成全部工作内容，否则将视为乙方存在严重失信行为，甲方将上报省财政厅，将乙方列入信用“黑名单”，并在“中国政府采购网”、“信用中国”等网站公示；同时甲方保留要求乙方退还合同价款、赔偿损失的权利。</w:t>
      </w:r>
    </w:p>
    <w:p w14:paraId="602F08B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（四）乙方逾期完成服务的，每逾期一日，向甲方承担合同总金额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0.5%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的违约金，逾期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日的，甲方有权单方解除本合同且保留追究乙方违约责任的权利，给甲方造成损失的，乙方还应予以赔偿。</w:t>
      </w:r>
    </w:p>
    <w:p w14:paraId="41C9E667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（五）乙方应保证其提交的服务成果不存在侵犯他人权益的情形，否则，因此引发的责任及纠纷由乙方承担，对甲方造成损失的，乙方应予以赔偿，此外，乙方还应向甲方承担合同总金额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%的违约金。</w:t>
      </w:r>
    </w:p>
    <w:p w14:paraId="4E142EF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（六）乙方应对其服务及服务成果的合法性、科学性、有效性、客观性、真实性负责，否则，相关责任及纠纷由乙方承担，对甲方造成损失的，乙方应予赔偿，此外，乙方还应向甲方承担合同总金额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%的违约金。</w:t>
      </w:r>
    </w:p>
    <w:p w14:paraId="5C7B4B5E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七）乙方在为甲方提供服务过程中所产生的所有成果，包括但不限于报告、方案、设计、软件等，其知识产权归甲方所有。未经甲方书面同意乙方不得给与本项目无关的第三方使用。乙方对于甲方提供的一切信息及资料负有严格的保密义务，不得以任何名义以此进行牟利活动，不得发表，也不得向任何第三方透露，否则应赔偿由此给甲方造成的损失。</w:t>
      </w:r>
    </w:p>
    <w:p w14:paraId="25A1DFB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（八）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乙方未按合同约定或甲方要求提供服务的，每出现一次应承担合同总价款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%的违约金，出现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次的，甲方有权单方解除本合同，给甲方造成损失的，乙方还应予以赔偿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 w14:paraId="73B66D5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九）若乙方违反合同约定，除按照合同约定承担违约金外，对甲方造成损失的，乙方还应予以赔偿。若合同因乙方违约导致解除的，乙方除应承担违约责任赔偿甲方损失外，已收的款项应退还甲方。甲方因乙方违约而产生的维权费用，包括但不限于诉讼费、律师费、保全费、鉴定费、评估费、公证费、差旅费等费用，均由乙方承担。</w:t>
      </w:r>
    </w:p>
    <w:p w14:paraId="012889A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十二、合同争议的解决</w:t>
      </w:r>
    </w:p>
    <w:p w14:paraId="7833DEE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在执行本合同中发生的或与本合同有关的争端，双方应通过友好协商解决，经协商无法解决的，应向甲方所在地有管辖权的人民法院提请诉讼。</w:t>
      </w:r>
    </w:p>
    <w:p w14:paraId="381CDAD5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十三、不可抗力情况下的免责约定</w:t>
      </w:r>
    </w:p>
    <w:p w14:paraId="6ECCD2A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8DDA1C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（一）在合同有效期内，任何一方因不可抗力事件导致不能履行合同，则合同履行期可延长，其延长期与不可抗力影响期相同。</w:t>
      </w:r>
    </w:p>
    <w:p w14:paraId="7B1080A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（二）不可抗力事件发生后，应立即通知对方，并寄送有关权威机构出具的证明。</w:t>
      </w:r>
    </w:p>
    <w:p w14:paraId="5A85D12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（三）不可抗力事件延续60天以上，双方应通过友好协商，确定是否继续履行合同。</w:t>
      </w:r>
    </w:p>
    <w:p w14:paraId="21C31604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十四、合同订立</w:t>
      </w:r>
    </w:p>
    <w:p w14:paraId="043DB99C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（一）本合同未尽事宜由双方协商解决，双方协商达成一致，可以对本合同进行修订或补充，任何对本合同的修订或者补充，应采用书面形式，签订补充协议，具有同等法律效力。</w:t>
      </w:r>
    </w:p>
    <w:p w14:paraId="60292EA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（二）本合同签订后,双方依法签订的补充协议也是本合同文件的组成部分，当上述文件如有不明确或不一致之处，以合同约定次序在先者为准。</w:t>
      </w:r>
    </w:p>
    <w:p w14:paraId="6E66061E">
      <w:pPr>
        <w:pStyle w:val="7"/>
        <w:rPr>
          <w:rFonts w:hint="eastAsia"/>
          <w:color w:val="auto"/>
          <w:highlight w:val="none"/>
          <w:lang w:val="en-US" w:eastAsia="zh-CN"/>
        </w:rPr>
      </w:pPr>
    </w:p>
    <w:p w14:paraId="3566D6B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（三）本合同自双方的法定代表人（负责人）或授权代表签字并加盖单位公章之日起生效。</w:t>
      </w:r>
    </w:p>
    <w:p w14:paraId="3166525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（四）本合同一式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捌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份，其中，甲方执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肆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份，乙方执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肆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份，具有同等法律效力。</w:t>
      </w:r>
    </w:p>
    <w:p w14:paraId="796DCAFF">
      <w:pPr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69B7E629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甲方：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陕西省公路局（盖章）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</w:t>
      </w:r>
    </w:p>
    <w:p w14:paraId="0DF23EB7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地 址：陕西省西安市碑林区含光北路110号 </w:t>
      </w:r>
    </w:p>
    <w:p w14:paraId="18CCC73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开户行及账号：611301033018010000003</w:t>
      </w:r>
    </w:p>
    <w:p w14:paraId="6176790E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3360" w:firstLineChars="1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交通银行西安城南支行                                   </w:t>
      </w:r>
    </w:p>
    <w:p w14:paraId="5F0EDEB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法定代表人或其授权                   </w:t>
      </w:r>
    </w:p>
    <w:p w14:paraId="46769858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的代理人：（签字）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346B46FE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Hans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</w:t>
      </w:r>
    </w:p>
    <w:p w14:paraId="5593B2A3">
      <w:pPr>
        <w:pStyle w:val="12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乙  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（盖章）</w:t>
      </w:r>
    </w:p>
    <w:p w14:paraId="01DB650E">
      <w:pPr>
        <w:pStyle w:val="12"/>
        <w:pageBreakBefore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  址：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513EF9B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default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开户行：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 </w:t>
      </w:r>
    </w:p>
    <w:p w14:paraId="6DEDF05A">
      <w:pPr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bidi="ar"/>
        </w:rPr>
        <w:t xml:space="preserve">账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bidi="ar"/>
        </w:rPr>
        <w:t>号：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</w:p>
    <w:p w14:paraId="6CE7A5C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法定代表人或其授权                   </w:t>
      </w:r>
    </w:p>
    <w:p w14:paraId="51F86C6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1400" w:firstLineChars="5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的代理人：（签字）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1F11F0AE">
      <w:pPr>
        <w:spacing w:line="520" w:lineRule="exact"/>
        <w:ind w:firstLine="7000" w:firstLineChars="2500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年   月 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C963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97A94D">
                          <w:pPr>
                            <w:pStyle w:val="9"/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97A94D">
                    <w:pPr>
                      <w:pStyle w:val="9"/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B34F2"/>
    <w:multiLevelType w:val="singleLevel"/>
    <w:tmpl w:val="A7CB34F2"/>
    <w:lvl w:ilvl="0" w:tentative="0">
      <w:start w:val="1"/>
      <w:numFmt w:val="chineseCounting"/>
      <w:pStyle w:val="3"/>
      <w:suff w:val="nothing"/>
      <w:lvlText w:val="（%1）"/>
      <w:lvlJc w:val="left"/>
      <w:pPr>
        <w:ind w:left="179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1ABF"/>
    <w:rsid w:val="01106B0B"/>
    <w:rsid w:val="02847A6B"/>
    <w:rsid w:val="02985DC6"/>
    <w:rsid w:val="03AA4003"/>
    <w:rsid w:val="04365896"/>
    <w:rsid w:val="064B351C"/>
    <w:rsid w:val="06B10B1D"/>
    <w:rsid w:val="0A977EFA"/>
    <w:rsid w:val="0ADD07FC"/>
    <w:rsid w:val="0C2801BA"/>
    <w:rsid w:val="0C6C0562"/>
    <w:rsid w:val="0D597341"/>
    <w:rsid w:val="132C440E"/>
    <w:rsid w:val="152C72C0"/>
    <w:rsid w:val="18025D64"/>
    <w:rsid w:val="181D0AC3"/>
    <w:rsid w:val="1AF04599"/>
    <w:rsid w:val="1E4E3AB1"/>
    <w:rsid w:val="1EBF6524"/>
    <w:rsid w:val="25535E50"/>
    <w:rsid w:val="2916715E"/>
    <w:rsid w:val="2C0D17E7"/>
    <w:rsid w:val="2F154177"/>
    <w:rsid w:val="2F7B4B5A"/>
    <w:rsid w:val="2F805A94"/>
    <w:rsid w:val="32F21E9F"/>
    <w:rsid w:val="36961358"/>
    <w:rsid w:val="37BA7968"/>
    <w:rsid w:val="385F6D12"/>
    <w:rsid w:val="3AE35155"/>
    <w:rsid w:val="3B051543"/>
    <w:rsid w:val="3B377D80"/>
    <w:rsid w:val="3B737EDE"/>
    <w:rsid w:val="3B7F12F6"/>
    <w:rsid w:val="3F5C7BB0"/>
    <w:rsid w:val="3FB84DD6"/>
    <w:rsid w:val="4061371B"/>
    <w:rsid w:val="440F3A80"/>
    <w:rsid w:val="4AE43AC7"/>
    <w:rsid w:val="4EFA6FB8"/>
    <w:rsid w:val="50033E4B"/>
    <w:rsid w:val="510B3690"/>
    <w:rsid w:val="51491D32"/>
    <w:rsid w:val="528200EC"/>
    <w:rsid w:val="52CB2320"/>
    <w:rsid w:val="53656BCB"/>
    <w:rsid w:val="53CB4AF7"/>
    <w:rsid w:val="53FF2328"/>
    <w:rsid w:val="54467418"/>
    <w:rsid w:val="564E369C"/>
    <w:rsid w:val="58D819D9"/>
    <w:rsid w:val="5B114AE3"/>
    <w:rsid w:val="5B530EB2"/>
    <w:rsid w:val="5D1921F4"/>
    <w:rsid w:val="5E285CC6"/>
    <w:rsid w:val="5E28660E"/>
    <w:rsid w:val="5F8623A3"/>
    <w:rsid w:val="606F5F54"/>
    <w:rsid w:val="6220088D"/>
    <w:rsid w:val="63FD01DD"/>
    <w:rsid w:val="64721148"/>
    <w:rsid w:val="65371437"/>
    <w:rsid w:val="66195D1F"/>
    <w:rsid w:val="67DA14DE"/>
    <w:rsid w:val="68D35C7D"/>
    <w:rsid w:val="691174A4"/>
    <w:rsid w:val="6AFA0E10"/>
    <w:rsid w:val="6BE036E2"/>
    <w:rsid w:val="783D0396"/>
    <w:rsid w:val="7914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0"/>
        <w:numId w:val="1"/>
      </w:numPr>
      <w:tabs>
        <w:tab w:val="left" w:pos="486"/>
        <w:tab w:val="left" w:pos="567"/>
        <w:tab w:val="left" w:pos="7020"/>
      </w:tabs>
      <w:adjustRightInd w:val="0"/>
      <w:snapToGrid w:val="0"/>
      <w:spacing w:line="500" w:lineRule="exact"/>
      <w:ind w:firstLine="602" w:firstLineChars="200"/>
      <w:outlineLvl w:val="1"/>
    </w:pPr>
    <w:rPr>
      <w:rFonts w:ascii="黑体" w:hAnsi="黑体" w:eastAsia="宋体" w:cs="Times New Roman"/>
      <w:snapToGrid w:val="0"/>
      <w:kern w:val="0"/>
      <w:sz w:val="24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 2"/>
    <w:basedOn w:val="1"/>
    <w:qFormat/>
    <w:uiPriority w:val="99"/>
    <w:pPr>
      <w:spacing w:after="120" w:line="480" w:lineRule="auto"/>
      <w:ind w:left="420" w:leftChars="200"/>
    </w:pPr>
    <w:rPr>
      <w:szCs w:val="24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4897</Words>
  <Characters>5336</Characters>
  <Lines>0</Lines>
  <Paragraphs>0</Paragraphs>
  <TotalTime>14</TotalTime>
  <ScaleCrop>false</ScaleCrop>
  <LinksUpToDate>false</LinksUpToDate>
  <CharactersWithSpaces>5863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2025-05-15T07:31:00Z</dcterms:created>
  <dc:creator>Administrator.PC-20221020ZCWL</dc:creator>
  <cp:lastModifiedBy>Eva</cp:lastModifiedBy>
  <cp:lastPrinted>2026-04-28T09:59:00Z</cp:lastPrinted>
  <dcterms:modified xsi:type="dcterms:W3CDTF">2026-05-09T07:04:58Z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eyJoZGlkIjoiMTJlZDFjYWQyZGU1MWE3ZDg0Y2FiODcwYWNhOWI2NTQiLCJ1c2VySWQiOiI0MzgwNzY2OTMifQ==</vt:lpwstr>
  </property>
  <property fmtid="{D5CDD505-2E9C-101B-9397-08002B2CF9AE}" pid="4" name="ICV">
    <vt:lpwstr>2AE24D3369384F25BB05B0BF514D5165</vt:lpwstr>
  </property>
</Properties>
</file>