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D825D">
      <w:pPr>
        <w:pStyle w:val="5"/>
        <w:spacing w:beforeLines="0" w:afterLines="0"/>
        <w:jc w:val="center"/>
        <w:outlineLvl w:val="1"/>
        <w:rPr>
          <w:rFonts w:hint="default"/>
          <w:sz w:val="20"/>
          <w:szCs w:val="24"/>
        </w:rPr>
      </w:pPr>
      <w:r>
        <w:rPr>
          <w:rFonts w:hint="eastAsia" w:ascii="仿宋_GB2312" w:hAnsi="仿宋_GB2312" w:eastAsia="仿宋_GB2312" w:cs="仿宋_GB2312"/>
          <w:b/>
          <w:sz w:val="36"/>
          <w:szCs w:val="24"/>
        </w:rPr>
        <w:t>第八章 拟签订采购合同文本</w:t>
      </w:r>
    </w:p>
    <w:p w14:paraId="2F9C6220">
      <w:pPr>
        <w:spacing w:beforeLines="0" w:afterLines="0" w:line="480" w:lineRule="auto"/>
        <w:ind w:firstLine="482"/>
        <w:rPr>
          <w:rFonts w:hint="eastAsia" w:ascii="仿宋" w:hAnsi="仿宋" w:eastAsia="仿宋" w:cs="仿宋"/>
          <w:b/>
          <w:sz w:val="21"/>
          <w:szCs w:val="24"/>
          <w:u w:val="single"/>
        </w:rPr>
      </w:pPr>
      <w:r>
        <w:rPr>
          <w:rFonts w:hint="eastAsia" w:ascii="仿宋" w:hAnsi="仿宋" w:eastAsia="仿宋" w:cs="仿宋"/>
          <w:b/>
          <w:sz w:val="21"/>
          <w:szCs w:val="24"/>
        </w:rPr>
        <w:t>采购人（甲方）：</w:t>
      </w:r>
      <w:r>
        <w:rPr>
          <w:rFonts w:hint="eastAsia" w:ascii="仿宋" w:hAnsi="仿宋" w:eastAsia="仿宋" w:cs="仿宋"/>
          <w:b/>
          <w:sz w:val="21"/>
          <w:szCs w:val="24"/>
          <w:u w:val="single"/>
        </w:rPr>
        <w:t xml:space="preserve">                            </w:t>
      </w:r>
    </w:p>
    <w:p w14:paraId="28438D5C">
      <w:pPr>
        <w:spacing w:beforeLines="0" w:afterLines="0" w:line="480" w:lineRule="auto"/>
        <w:ind w:firstLine="482"/>
        <w:rPr>
          <w:rFonts w:hint="eastAsia" w:ascii="仿宋" w:hAnsi="仿宋" w:eastAsia="仿宋" w:cs="仿宋"/>
          <w:b/>
          <w:sz w:val="21"/>
          <w:szCs w:val="24"/>
        </w:rPr>
      </w:pPr>
      <w:r>
        <w:rPr>
          <w:rFonts w:hint="eastAsia" w:ascii="仿宋" w:hAnsi="仿宋" w:eastAsia="仿宋" w:cs="仿宋"/>
          <w:b/>
          <w:sz w:val="21"/>
          <w:szCs w:val="24"/>
        </w:rPr>
        <w:t>供应商（乙方）：</w:t>
      </w:r>
      <w:r>
        <w:rPr>
          <w:rFonts w:hint="eastAsia" w:ascii="仿宋" w:hAnsi="仿宋" w:eastAsia="仿宋" w:cs="仿宋"/>
          <w:b/>
          <w:sz w:val="21"/>
          <w:szCs w:val="24"/>
          <w:u w:val="single"/>
        </w:rPr>
        <w:t xml:space="preserve">                            </w:t>
      </w:r>
    </w:p>
    <w:p w14:paraId="36FDFBAE">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根据《中华人民共和国政府采购法》、《中华人民共和国政府采购法实施条例》、《中华人民共和国民法典》、</w:t>
      </w:r>
      <w:r>
        <w:rPr>
          <w:rFonts w:hint="eastAsia" w:ascii="仿宋" w:hAnsi="仿宋" w:eastAsia="仿宋" w:cs="仿宋"/>
          <w:sz w:val="21"/>
          <w:szCs w:val="24"/>
          <w:lang w:val="en-US" w:eastAsia="zh-CN"/>
        </w:rPr>
        <w:t>2025年妇产科4K宫腹腔镜采购项目</w:t>
      </w:r>
      <w:r>
        <w:rPr>
          <w:rFonts w:hint="eastAsia" w:ascii="仿宋" w:hAnsi="仿宋" w:eastAsia="仿宋" w:cs="仿宋"/>
          <w:sz w:val="21"/>
          <w:szCs w:val="24"/>
        </w:rPr>
        <w:t>的谈判文件、谈判响应文件等有关规定，为确保采购项目的顺利实施，甲、乙双方在平等自愿原则下签订本合同，并共同遵守如下条款：</w:t>
      </w:r>
    </w:p>
    <w:p w14:paraId="04AC25E8">
      <w:pPr>
        <w:spacing w:beforeLines="0" w:afterLines="0" w:line="360" w:lineRule="auto"/>
        <w:ind w:left="420" w:leftChars="200"/>
        <w:jc w:val="left"/>
        <w:rPr>
          <w:rFonts w:hint="eastAsia" w:ascii="仿宋" w:hAnsi="仿宋" w:eastAsia="仿宋" w:cs="仿宋"/>
          <w:b/>
          <w:sz w:val="21"/>
          <w:szCs w:val="24"/>
          <w:lang w:eastAsia="zh-Hans"/>
        </w:rPr>
      </w:pPr>
      <w:bookmarkStart w:id="0" w:name="_Toc8838"/>
      <w:bookmarkStart w:id="1" w:name="_Toc29291"/>
      <w:bookmarkStart w:id="2" w:name="_Toc14559"/>
      <w:bookmarkStart w:id="3" w:name="_Toc23598"/>
      <w:bookmarkStart w:id="4" w:name="_Toc4669"/>
      <w:bookmarkStart w:id="5" w:name="_Toc8039"/>
      <w:r>
        <w:rPr>
          <w:rFonts w:hint="eastAsia" w:ascii="仿宋" w:hAnsi="仿宋" w:eastAsia="仿宋" w:cs="仿宋"/>
          <w:b/>
          <w:sz w:val="21"/>
          <w:szCs w:val="24"/>
          <w:lang w:eastAsia="zh-Hans"/>
        </w:rPr>
        <w:t>第一条 合同标的及数量</w:t>
      </w:r>
      <w:bookmarkEnd w:id="0"/>
      <w:bookmarkEnd w:id="1"/>
      <w:bookmarkEnd w:id="2"/>
      <w:bookmarkEnd w:id="3"/>
      <w:bookmarkEnd w:id="4"/>
      <w:bookmarkEnd w:id="5"/>
    </w:p>
    <w:p w14:paraId="13F047F5">
      <w:pPr>
        <w:spacing w:beforeLines="0" w:afterLines="0" w:line="360" w:lineRule="auto"/>
        <w:jc w:val="center"/>
        <w:rPr>
          <w:rFonts w:hint="eastAsia" w:ascii="仿宋" w:hAnsi="仿宋" w:eastAsia="仿宋" w:cs="仿宋"/>
          <w:b/>
          <w:sz w:val="21"/>
          <w:szCs w:val="24"/>
          <w:lang w:eastAsia="zh-Hans"/>
        </w:rPr>
      </w:pPr>
      <w:r>
        <w:rPr>
          <w:rFonts w:hint="eastAsia" w:ascii="仿宋" w:hAnsi="仿宋" w:eastAsia="仿宋" w:cs="仿宋"/>
          <w:b/>
          <w:sz w:val="21"/>
          <w:szCs w:val="24"/>
          <w:lang w:eastAsia="zh-Hans"/>
        </w:rPr>
        <w:t>供货一览表</w:t>
      </w:r>
    </w:p>
    <w:tbl>
      <w:tblPr>
        <w:tblStyle w:val="3"/>
        <w:tblpPr w:leftFromText="180" w:rightFromText="180" w:vertAnchor="text" w:horzAnchor="margin" w:tblpXSpec="center" w:tblpY="309"/>
        <w:tblW w:w="907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350"/>
        <w:gridCol w:w="1866"/>
        <w:gridCol w:w="1193"/>
        <w:gridCol w:w="1125"/>
        <w:gridCol w:w="1287"/>
        <w:gridCol w:w="1487"/>
      </w:tblGrid>
      <w:tr w14:paraId="7AEE10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tcBorders>
              <w:top w:val="double" w:color="auto" w:sz="4" w:space="0"/>
              <w:left w:val="double" w:color="auto" w:sz="4" w:space="0"/>
              <w:bottom w:val="single" w:color="auto" w:sz="4" w:space="0"/>
              <w:right w:val="single" w:color="auto" w:sz="4" w:space="0"/>
              <w:tl2br w:val="nil"/>
              <w:tr2bl w:val="nil"/>
            </w:tcBorders>
            <w:noWrap w:val="0"/>
            <w:vAlign w:val="center"/>
          </w:tcPr>
          <w:p w14:paraId="33359B35">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序号</w:t>
            </w:r>
          </w:p>
        </w:tc>
        <w:tc>
          <w:tcPr>
            <w:tcW w:w="1350" w:type="dxa"/>
            <w:tcBorders>
              <w:top w:val="double" w:color="auto" w:sz="4" w:space="0"/>
              <w:left w:val="single" w:color="auto" w:sz="4" w:space="0"/>
              <w:bottom w:val="single" w:color="auto" w:sz="4" w:space="0"/>
              <w:right w:val="single" w:color="auto" w:sz="4" w:space="0"/>
              <w:tl2br w:val="nil"/>
              <w:tr2bl w:val="nil"/>
            </w:tcBorders>
            <w:noWrap w:val="0"/>
            <w:vAlign w:val="center"/>
          </w:tcPr>
          <w:p w14:paraId="5DAAAE9B">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货物名称</w:t>
            </w:r>
          </w:p>
        </w:tc>
        <w:tc>
          <w:tcPr>
            <w:tcW w:w="1866" w:type="dxa"/>
            <w:tcBorders>
              <w:top w:val="double" w:color="auto" w:sz="4" w:space="0"/>
              <w:left w:val="single" w:color="auto" w:sz="4" w:space="0"/>
              <w:bottom w:val="single" w:color="auto" w:sz="4" w:space="0"/>
              <w:right w:val="single" w:color="auto" w:sz="4" w:space="0"/>
              <w:tl2br w:val="nil"/>
              <w:tr2bl w:val="nil"/>
            </w:tcBorders>
            <w:noWrap w:val="0"/>
            <w:vAlign w:val="center"/>
          </w:tcPr>
          <w:p w14:paraId="407E4749">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规格及型号</w:t>
            </w:r>
          </w:p>
        </w:tc>
        <w:tc>
          <w:tcPr>
            <w:tcW w:w="1193" w:type="dxa"/>
            <w:tcBorders>
              <w:top w:val="double" w:color="auto" w:sz="4" w:space="0"/>
              <w:left w:val="single" w:color="auto" w:sz="4" w:space="0"/>
              <w:bottom w:val="single" w:color="auto" w:sz="4" w:space="0"/>
              <w:right w:val="single" w:color="auto" w:sz="4" w:space="0"/>
              <w:tl2br w:val="nil"/>
              <w:tr2bl w:val="nil"/>
            </w:tcBorders>
            <w:noWrap w:val="0"/>
            <w:vAlign w:val="center"/>
          </w:tcPr>
          <w:p w14:paraId="63B70F1B">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计量单位</w:t>
            </w:r>
          </w:p>
        </w:tc>
        <w:tc>
          <w:tcPr>
            <w:tcW w:w="1125" w:type="dxa"/>
            <w:tcBorders>
              <w:top w:val="double" w:color="auto" w:sz="4" w:space="0"/>
              <w:left w:val="single" w:color="auto" w:sz="4" w:space="0"/>
              <w:bottom w:val="single" w:color="auto" w:sz="4" w:space="0"/>
              <w:right w:val="single" w:color="auto" w:sz="4" w:space="0"/>
              <w:tl2br w:val="nil"/>
              <w:tr2bl w:val="nil"/>
            </w:tcBorders>
            <w:noWrap w:val="0"/>
            <w:vAlign w:val="center"/>
          </w:tcPr>
          <w:p w14:paraId="08C0A022">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数量</w:t>
            </w:r>
          </w:p>
        </w:tc>
        <w:tc>
          <w:tcPr>
            <w:tcW w:w="1287" w:type="dxa"/>
            <w:tcBorders>
              <w:top w:val="double" w:color="auto" w:sz="4" w:space="0"/>
              <w:left w:val="single" w:color="auto" w:sz="4" w:space="0"/>
              <w:bottom w:val="single" w:color="auto" w:sz="4" w:space="0"/>
              <w:right w:val="single" w:color="auto" w:sz="4" w:space="0"/>
              <w:tl2br w:val="nil"/>
              <w:tr2bl w:val="nil"/>
            </w:tcBorders>
            <w:noWrap w:val="0"/>
            <w:vAlign w:val="center"/>
          </w:tcPr>
          <w:p w14:paraId="0895557C">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单价（元）</w:t>
            </w:r>
          </w:p>
        </w:tc>
        <w:tc>
          <w:tcPr>
            <w:tcW w:w="1487" w:type="dxa"/>
            <w:tcBorders>
              <w:top w:val="double" w:color="auto" w:sz="4" w:space="0"/>
              <w:left w:val="single" w:color="auto" w:sz="4" w:space="0"/>
              <w:bottom w:val="single" w:color="auto" w:sz="4" w:space="0"/>
              <w:right w:val="double" w:color="auto" w:sz="4" w:space="0"/>
              <w:tl2br w:val="nil"/>
              <w:tr2bl w:val="nil"/>
            </w:tcBorders>
            <w:noWrap w:val="0"/>
            <w:vAlign w:val="center"/>
          </w:tcPr>
          <w:p w14:paraId="02657436">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金额（元）</w:t>
            </w:r>
          </w:p>
        </w:tc>
      </w:tr>
      <w:tr w14:paraId="57116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tcBorders>
              <w:top w:val="single" w:color="auto" w:sz="4" w:space="0"/>
              <w:left w:val="double" w:color="auto" w:sz="4" w:space="0"/>
              <w:bottom w:val="single" w:color="auto" w:sz="4" w:space="0"/>
              <w:right w:val="single" w:color="auto" w:sz="4" w:space="0"/>
              <w:tl2br w:val="nil"/>
              <w:tr2bl w:val="nil"/>
            </w:tcBorders>
            <w:noWrap w:val="0"/>
            <w:vAlign w:val="top"/>
          </w:tcPr>
          <w:p w14:paraId="63709F84">
            <w:pPr>
              <w:spacing w:beforeLines="0" w:afterLines="0"/>
              <w:jc w:val="center"/>
              <w:rPr>
                <w:rFonts w:hint="eastAsia" w:ascii="仿宋" w:hAnsi="仿宋" w:eastAsia="仿宋" w:cs="仿宋"/>
                <w:sz w:val="21"/>
                <w:szCs w:val="24"/>
              </w:rPr>
            </w:pP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top"/>
          </w:tcPr>
          <w:p w14:paraId="2D85D4ED">
            <w:pPr>
              <w:spacing w:beforeLines="0" w:afterLines="0"/>
              <w:jc w:val="center"/>
              <w:rPr>
                <w:rFonts w:hint="eastAsia" w:ascii="仿宋" w:hAnsi="仿宋" w:eastAsia="仿宋" w:cs="仿宋"/>
                <w:sz w:val="21"/>
                <w:szCs w:val="24"/>
              </w:rPr>
            </w:pPr>
          </w:p>
        </w:tc>
        <w:tc>
          <w:tcPr>
            <w:tcW w:w="1866" w:type="dxa"/>
            <w:tcBorders>
              <w:top w:val="single" w:color="auto" w:sz="4" w:space="0"/>
              <w:left w:val="single" w:color="auto" w:sz="4" w:space="0"/>
              <w:bottom w:val="single" w:color="auto" w:sz="4" w:space="0"/>
              <w:right w:val="single" w:color="auto" w:sz="4" w:space="0"/>
              <w:tl2br w:val="nil"/>
              <w:tr2bl w:val="nil"/>
            </w:tcBorders>
            <w:noWrap w:val="0"/>
            <w:vAlign w:val="top"/>
          </w:tcPr>
          <w:p w14:paraId="0920020A">
            <w:pPr>
              <w:spacing w:beforeLines="0" w:afterLines="0"/>
              <w:jc w:val="center"/>
              <w:rPr>
                <w:rFonts w:hint="eastAsia" w:ascii="仿宋" w:hAnsi="仿宋" w:eastAsia="仿宋" w:cs="仿宋"/>
                <w:sz w:val="21"/>
                <w:szCs w:val="24"/>
              </w:rPr>
            </w:pPr>
          </w:p>
        </w:tc>
        <w:tc>
          <w:tcPr>
            <w:tcW w:w="1193" w:type="dxa"/>
            <w:tcBorders>
              <w:top w:val="single" w:color="auto" w:sz="4" w:space="0"/>
              <w:left w:val="single" w:color="auto" w:sz="4" w:space="0"/>
              <w:bottom w:val="single" w:color="auto" w:sz="4" w:space="0"/>
              <w:right w:val="single" w:color="auto" w:sz="4" w:space="0"/>
              <w:tl2br w:val="nil"/>
              <w:tr2bl w:val="nil"/>
            </w:tcBorders>
            <w:noWrap w:val="0"/>
            <w:vAlign w:val="top"/>
          </w:tcPr>
          <w:p w14:paraId="1115D5AD">
            <w:pPr>
              <w:spacing w:beforeLines="0" w:afterLines="0"/>
              <w:jc w:val="center"/>
              <w:rPr>
                <w:rFonts w:hint="eastAsia" w:ascii="仿宋" w:hAnsi="仿宋" w:eastAsia="仿宋" w:cs="仿宋"/>
                <w:sz w:val="21"/>
                <w:szCs w:val="24"/>
              </w:rPr>
            </w:pPr>
          </w:p>
        </w:tc>
        <w:tc>
          <w:tcPr>
            <w:tcW w:w="1125" w:type="dxa"/>
            <w:tcBorders>
              <w:top w:val="single" w:color="auto" w:sz="4" w:space="0"/>
              <w:left w:val="single" w:color="auto" w:sz="4" w:space="0"/>
              <w:bottom w:val="single" w:color="auto" w:sz="4" w:space="0"/>
              <w:right w:val="single" w:color="auto" w:sz="4" w:space="0"/>
              <w:tl2br w:val="nil"/>
              <w:tr2bl w:val="nil"/>
            </w:tcBorders>
            <w:noWrap w:val="0"/>
            <w:vAlign w:val="top"/>
          </w:tcPr>
          <w:p w14:paraId="13F2748B">
            <w:pPr>
              <w:spacing w:beforeLines="0" w:afterLines="0"/>
              <w:jc w:val="center"/>
              <w:rPr>
                <w:rFonts w:hint="eastAsia" w:ascii="仿宋" w:hAnsi="仿宋" w:eastAsia="仿宋" w:cs="仿宋"/>
                <w:sz w:val="21"/>
                <w:szCs w:val="24"/>
              </w:rPr>
            </w:pPr>
          </w:p>
        </w:tc>
        <w:tc>
          <w:tcPr>
            <w:tcW w:w="1287" w:type="dxa"/>
            <w:tcBorders>
              <w:top w:val="single" w:color="auto" w:sz="4" w:space="0"/>
              <w:left w:val="single" w:color="auto" w:sz="4" w:space="0"/>
              <w:bottom w:val="single" w:color="auto" w:sz="4" w:space="0"/>
              <w:right w:val="single" w:color="auto" w:sz="4" w:space="0"/>
              <w:tl2br w:val="nil"/>
              <w:tr2bl w:val="nil"/>
            </w:tcBorders>
            <w:noWrap w:val="0"/>
            <w:vAlign w:val="top"/>
          </w:tcPr>
          <w:p w14:paraId="12CCD71E">
            <w:pPr>
              <w:spacing w:beforeLines="0" w:afterLines="0"/>
              <w:jc w:val="center"/>
              <w:rPr>
                <w:rFonts w:hint="eastAsia" w:ascii="仿宋" w:hAnsi="仿宋" w:eastAsia="仿宋" w:cs="仿宋"/>
                <w:sz w:val="21"/>
                <w:szCs w:val="24"/>
              </w:rPr>
            </w:pPr>
          </w:p>
        </w:tc>
        <w:tc>
          <w:tcPr>
            <w:tcW w:w="1487" w:type="dxa"/>
            <w:tcBorders>
              <w:top w:val="single" w:color="auto" w:sz="4" w:space="0"/>
              <w:left w:val="single" w:color="auto" w:sz="4" w:space="0"/>
              <w:bottom w:val="single" w:color="auto" w:sz="4" w:space="0"/>
              <w:right w:val="double" w:color="auto" w:sz="4" w:space="0"/>
              <w:tl2br w:val="nil"/>
              <w:tr2bl w:val="nil"/>
            </w:tcBorders>
            <w:noWrap w:val="0"/>
            <w:vAlign w:val="top"/>
          </w:tcPr>
          <w:p w14:paraId="623869C1">
            <w:pPr>
              <w:spacing w:beforeLines="0" w:afterLines="0"/>
              <w:jc w:val="center"/>
              <w:rPr>
                <w:rFonts w:hint="eastAsia" w:ascii="仿宋" w:hAnsi="仿宋" w:eastAsia="仿宋" w:cs="仿宋"/>
                <w:sz w:val="21"/>
                <w:szCs w:val="24"/>
              </w:rPr>
            </w:pPr>
          </w:p>
        </w:tc>
      </w:tr>
      <w:tr w14:paraId="7005BA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tcBorders>
              <w:top w:val="single" w:color="auto" w:sz="4" w:space="0"/>
              <w:left w:val="double" w:color="auto" w:sz="4" w:space="0"/>
              <w:bottom w:val="single" w:color="auto" w:sz="4" w:space="0"/>
              <w:right w:val="single" w:color="auto" w:sz="4" w:space="0"/>
              <w:tl2br w:val="nil"/>
              <w:tr2bl w:val="nil"/>
            </w:tcBorders>
            <w:noWrap w:val="0"/>
            <w:vAlign w:val="top"/>
          </w:tcPr>
          <w:p w14:paraId="7D6FC267">
            <w:pPr>
              <w:spacing w:beforeLines="0" w:afterLines="0"/>
              <w:jc w:val="center"/>
              <w:rPr>
                <w:rFonts w:hint="eastAsia" w:ascii="仿宋" w:hAnsi="仿宋" w:eastAsia="仿宋" w:cs="仿宋"/>
                <w:sz w:val="21"/>
                <w:szCs w:val="24"/>
              </w:rPr>
            </w:pPr>
          </w:p>
        </w:tc>
        <w:tc>
          <w:tcPr>
            <w:tcW w:w="1350" w:type="dxa"/>
            <w:tcBorders>
              <w:top w:val="single" w:color="auto" w:sz="4" w:space="0"/>
              <w:left w:val="single" w:color="auto" w:sz="4" w:space="0"/>
              <w:bottom w:val="single" w:color="auto" w:sz="4" w:space="0"/>
              <w:right w:val="single" w:color="auto" w:sz="4" w:space="0"/>
              <w:tl2br w:val="nil"/>
              <w:tr2bl w:val="nil"/>
            </w:tcBorders>
            <w:noWrap w:val="0"/>
            <w:vAlign w:val="top"/>
          </w:tcPr>
          <w:p w14:paraId="4644A4B4">
            <w:pPr>
              <w:spacing w:beforeLines="0" w:afterLines="0"/>
              <w:jc w:val="center"/>
              <w:rPr>
                <w:rFonts w:hint="eastAsia" w:ascii="仿宋" w:hAnsi="仿宋" w:eastAsia="仿宋" w:cs="仿宋"/>
                <w:sz w:val="21"/>
                <w:szCs w:val="24"/>
              </w:rPr>
            </w:pPr>
          </w:p>
        </w:tc>
        <w:tc>
          <w:tcPr>
            <w:tcW w:w="1866" w:type="dxa"/>
            <w:tcBorders>
              <w:top w:val="single" w:color="auto" w:sz="4" w:space="0"/>
              <w:left w:val="single" w:color="auto" w:sz="4" w:space="0"/>
              <w:bottom w:val="single" w:color="auto" w:sz="4" w:space="0"/>
              <w:right w:val="single" w:color="auto" w:sz="4" w:space="0"/>
              <w:tl2br w:val="nil"/>
              <w:tr2bl w:val="nil"/>
            </w:tcBorders>
            <w:noWrap w:val="0"/>
            <w:vAlign w:val="top"/>
          </w:tcPr>
          <w:p w14:paraId="6AAA9B07">
            <w:pPr>
              <w:spacing w:beforeLines="0" w:afterLines="0"/>
              <w:jc w:val="center"/>
              <w:rPr>
                <w:rFonts w:hint="eastAsia" w:ascii="仿宋" w:hAnsi="仿宋" w:eastAsia="仿宋" w:cs="仿宋"/>
                <w:sz w:val="21"/>
                <w:szCs w:val="24"/>
              </w:rPr>
            </w:pPr>
          </w:p>
        </w:tc>
        <w:tc>
          <w:tcPr>
            <w:tcW w:w="1193" w:type="dxa"/>
            <w:tcBorders>
              <w:top w:val="single" w:color="auto" w:sz="4" w:space="0"/>
              <w:left w:val="single" w:color="auto" w:sz="4" w:space="0"/>
              <w:bottom w:val="single" w:color="auto" w:sz="4" w:space="0"/>
              <w:right w:val="single" w:color="auto" w:sz="4" w:space="0"/>
              <w:tl2br w:val="nil"/>
              <w:tr2bl w:val="nil"/>
            </w:tcBorders>
            <w:noWrap w:val="0"/>
            <w:vAlign w:val="top"/>
          </w:tcPr>
          <w:p w14:paraId="4AF49FE6">
            <w:pPr>
              <w:spacing w:beforeLines="0" w:afterLines="0"/>
              <w:jc w:val="center"/>
              <w:rPr>
                <w:rFonts w:hint="eastAsia" w:ascii="仿宋" w:hAnsi="仿宋" w:eastAsia="仿宋" w:cs="仿宋"/>
                <w:sz w:val="21"/>
                <w:szCs w:val="24"/>
              </w:rPr>
            </w:pPr>
          </w:p>
        </w:tc>
        <w:tc>
          <w:tcPr>
            <w:tcW w:w="1125" w:type="dxa"/>
            <w:tcBorders>
              <w:top w:val="single" w:color="auto" w:sz="4" w:space="0"/>
              <w:left w:val="single" w:color="auto" w:sz="4" w:space="0"/>
              <w:bottom w:val="single" w:color="auto" w:sz="4" w:space="0"/>
              <w:right w:val="single" w:color="auto" w:sz="4" w:space="0"/>
              <w:tl2br w:val="nil"/>
              <w:tr2bl w:val="nil"/>
            </w:tcBorders>
            <w:noWrap w:val="0"/>
            <w:vAlign w:val="top"/>
          </w:tcPr>
          <w:p w14:paraId="021AC5AC">
            <w:pPr>
              <w:spacing w:beforeLines="0" w:afterLines="0"/>
              <w:jc w:val="center"/>
              <w:rPr>
                <w:rFonts w:hint="eastAsia" w:ascii="仿宋" w:hAnsi="仿宋" w:eastAsia="仿宋" w:cs="仿宋"/>
                <w:sz w:val="21"/>
                <w:szCs w:val="24"/>
              </w:rPr>
            </w:pPr>
          </w:p>
        </w:tc>
        <w:tc>
          <w:tcPr>
            <w:tcW w:w="1287" w:type="dxa"/>
            <w:tcBorders>
              <w:top w:val="single" w:color="auto" w:sz="4" w:space="0"/>
              <w:left w:val="single" w:color="auto" w:sz="4" w:space="0"/>
              <w:bottom w:val="single" w:color="auto" w:sz="4" w:space="0"/>
              <w:right w:val="single" w:color="auto" w:sz="4" w:space="0"/>
              <w:tl2br w:val="nil"/>
              <w:tr2bl w:val="nil"/>
            </w:tcBorders>
            <w:noWrap w:val="0"/>
            <w:vAlign w:val="top"/>
          </w:tcPr>
          <w:p w14:paraId="379E1787">
            <w:pPr>
              <w:spacing w:beforeLines="0" w:afterLines="0"/>
              <w:jc w:val="center"/>
              <w:rPr>
                <w:rFonts w:hint="eastAsia" w:ascii="仿宋" w:hAnsi="仿宋" w:eastAsia="仿宋" w:cs="仿宋"/>
                <w:sz w:val="21"/>
                <w:szCs w:val="24"/>
              </w:rPr>
            </w:pPr>
          </w:p>
        </w:tc>
        <w:tc>
          <w:tcPr>
            <w:tcW w:w="1487" w:type="dxa"/>
            <w:tcBorders>
              <w:top w:val="single" w:color="auto" w:sz="4" w:space="0"/>
              <w:left w:val="single" w:color="auto" w:sz="4" w:space="0"/>
              <w:bottom w:val="single" w:color="auto" w:sz="4" w:space="0"/>
              <w:right w:val="double" w:color="auto" w:sz="4" w:space="0"/>
              <w:tl2br w:val="nil"/>
              <w:tr2bl w:val="nil"/>
            </w:tcBorders>
            <w:noWrap w:val="0"/>
            <w:vAlign w:val="top"/>
          </w:tcPr>
          <w:p w14:paraId="593D1350">
            <w:pPr>
              <w:spacing w:beforeLines="0" w:afterLines="0"/>
              <w:jc w:val="center"/>
              <w:rPr>
                <w:rFonts w:hint="eastAsia" w:ascii="仿宋" w:hAnsi="仿宋" w:eastAsia="仿宋" w:cs="仿宋"/>
                <w:sz w:val="21"/>
                <w:szCs w:val="24"/>
              </w:rPr>
            </w:pPr>
          </w:p>
        </w:tc>
      </w:tr>
      <w:tr w14:paraId="36B94C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17" w:type="dxa"/>
            <w:gridSpan w:val="2"/>
            <w:tcBorders>
              <w:top w:val="single" w:color="auto" w:sz="4" w:space="0"/>
              <w:left w:val="double" w:color="auto" w:sz="4" w:space="0"/>
              <w:bottom w:val="double" w:color="auto" w:sz="4" w:space="0"/>
              <w:right w:val="single" w:color="auto" w:sz="4" w:space="0"/>
              <w:tl2br w:val="nil"/>
              <w:tr2bl w:val="nil"/>
            </w:tcBorders>
            <w:noWrap w:val="0"/>
            <w:vAlign w:val="center"/>
          </w:tcPr>
          <w:p w14:paraId="1A6D358B">
            <w:pPr>
              <w:spacing w:beforeLines="0" w:afterLines="0"/>
              <w:jc w:val="center"/>
              <w:rPr>
                <w:rFonts w:hint="eastAsia" w:ascii="仿宋" w:hAnsi="仿宋" w:eastAsia="仿宋" w:cs="仿宋"/>
                <w:sz w:val="21"/>
                <w:szCs w:val="24"/>
              </w:rPr>
            </w:pPr>
            <w:r>
              <w:rPr>
                <w:rFonts w:hint="eastAsia" w:ascii="仿宋" w:hAnsi="仿宋" w:eastAsia="仿宋" w:cs="仿宋"/>
                <w:sz w:val="21"/>
                <w:szCs w:val="24"/>
              </w:rPr>
              <w:t>合计</w:t>
            </w:r>
          </w:p>
        </w:tc>
        <w:tc>
          <w:tcPr>
            <w:tcW w:w="4184" w:type="dxa"/>
            <w:gridSpan w:val="3"/>
            <w:tcBorders>
              <w:top w:val="single" w:color="auto" w:sz="4" w:space="0"/>
              <w:left w:val="single" w:color="auto" w:sz="4" w:space="0"/>
              <w:bottom w:val="double" w:color="auto" w:sz="4" w:space="0"/>
              <w:right w:val="single" w:color="auto" w:sz="4" w:space="0"/>
              <w:tl2br w:val="nil"/>
              <w:tr2bl w:val="nil"/>
            </w:tcBorders>
            <w:noWrap w:val="0"/>
            <w:vAlign w:val="center"/>
          </w:tcPr>
          <w:p w14:paraId="3D341FF7">
            <w:pPr>
              <w:spacing w:beforeLines="0" w:afterLines="0"/>
              <w:ind w:firstLine="480"/>
              <w:rPr>
                <w:rFonts w:hint="eastAsia" w:ascii="仿宋" w:hAnsi="仿宋" w:eastAsia="仿宋" w:cs="仿宋"/>
                <w:sz w:val="21"/>
                <w:szCs w:val="24"/>
              </w:rPr>
            </w:pPr>
            <w:r>
              <w:rPr>
                <w:rFonts w:hint="eastAsia" w:ascii="仿宋" w:hAnsi="仿宋" w:eastAsia="仿宋" w:cs="仿宋"/>
                <w:sz w:val="21"/>
                <w:szCs w:val="24"/>
              </w:rPr>
              <w:t>大写</w:t>
            </w:r>
          </w:p>
        </w:tc>
        <w:tc>
          <w:tcPr>
            <w:tcW w:w="2774" w:type="dxa"/>
            <w:gridSpan w:val="2"/>
            <w:tcBorders>
              <w:top w:val="single" w:color="auto" w:sz="4" w:space="0"/>
              <w:left w:val="single" w:color="auto" w:sz="4" w:space="0"/>
              <w:bottom w:val="double" w:color="auto" w:sz="4" w:space="0"/>
              <w:right w:val="double" w:color="auto" w:sz="4" w:space="0"/>
              <w:tl2br w:val="nil"/>
              <w:tr2bl w:val="nil"/>
            </w:tcBorders>
            <w:noWrap w:val="0"/>
            <w:vAlign w:val="center"/>
          </w:tcPr>
          <w:p w14:paraId="5D3A6C88">
            <w:pPr>
              <w:spacing w:beforeLines="0" w:afterLines="0"/>
              <w:ind w:firstLine="480"/>
              <w:rPr>
                <w:rFonts w:hint="eastAsia" w:ascii="仿宋" w:hAnsi="仿宋" w:eastAsia="仿宋" w:cs="仿宋"/>
                <w:sz w:val="21"/>
                <w:szCs w:val="24"/>
              </w:rPr>
            </w:pPr>
            <w:r>
              <w:rPr>
                <w:rFonts w:hint="eastAsia" w:ascii="仿宋" w:hAnsi="仿宋" w:eastAsia="仿宋" w:cs="仿宋"/>
                <w:sz w:val="21"/>
                <w:szCs w:val="24"/>
              </w:rPr>
              <w:t>￥</w:t>
            </w:r>
          </w:p>
        </w:tc>
      </w:tr>
    </w:tbl>
    <w:p w14:paraId="6667328C">
      <w:pPr>
        <w:spacing w:beforeLines="0" w:afterLines="0" w:line="360" w:lineRule="auto"/>
        <w:ind w:left="420" w:leftChars="200"/>
        <w:jc w:val="left"/>
        <w:rPr>
          <w:rFonts w:hint="eastAsia" w:ascii="仿宋" w:hAnsi="仿宋" w:eastAsia="仿宋" w:cs="仿宋"/>
          <w:b/>
          <w:sz w:val="21"/>
          <w:szCs w:val="24"/>
          <w:lang w:eastAsia="zh-Hans"/>
        </w:rPr>
      </w:pPr>
      <w:bookmarkStart w:id="6" w:name="_Toc29869"/>
      <w:bookmarkStart w:id="7" w:name="_Toc28546"/>
      <w:bookmarkStart w:id="8" w:name="_Toc32014"/>
      <w:bookmarkStart w:id="9" w:name="_Toc25861"/>
      <w:bookmarkStart w:id="10" w:name="_Toc29662"/>
      <w:bookmarkStart w:id="11" w:name="_Toc8661"/>
      <w:r>
        <w:rPr>
          <w:rFonts w:hint="eastAsia" w:ascii="仿宋" w:hAnsi="仿宋" w:eastAsia="仿宋" w:cs="仿宋"/>
          <w:b/>
          <w:sz w:val="21"/>
          <w:szCs w:val="24"/>
          <w:lang w:eastAsia="zh-Hans"/>
        </w:rPr>
        <w:t>第二条 合同价款</w:t>
      </w:r>
      <w:bookmarkEnd w:id="6"/>
      <w:bookmarkEnd w:id="7"/>
      <w:bookmarkEnd w:id="8"/>
      <w:bookmarkEnd w:id="9"/>
      <w:bookmarkEnd w:id="10"/>
      <w:bookmarkEnd w:id="11"/>
    </w:p>
    <w:p w14:paraId="795455CF">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1.合同总价：人民币（大写）</w:t>
      </w:r>
      <w:r>
        <w:rPr>
          <w:rFonts w:hint="eastAsia" w:ascii="仿宋" w:hAnsi="仿宋" w:eastAsia="仿宋" w:cs="仿宋"/>
          <w:sz w:val="21"/>
          <w:szCs w:val="24"/>
          <w:u w:val="single"/>
        </w:rPr>
        <w:t xml:space="preserve">                  </w:t>
      </w:r>
      <w:r>
        <w:rPr>
          <w:rFonts w:hint="eastAsia" w:ascii="仿宋" w:hAnsi="仿宋" w:eastAsia="仿宋" w:cs="仿宋"/>
          <w:sz w:val="21"/>
          <w:szCs w:val="24"/>
        </w:rPr>
        <w:t>元，（￥</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w:t>
      </w:r>
    </w:p>
    <w:p w14:paraId="1239FC8A">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2.合同总价即成交价，合同总价一次包死，不受市场价变化或实际工作量变化的影响，</w:t>
      </w:r>
    </w:p>
    <w:p w14:paraId="0D715021">
      <w:pPr>
        <w:spacing w:beforeLines="0" w:afterLines="0" w:line="360" w:lineRule="auto"/>
        <w:jc w:val="left"/>
        <w:rPr>
          <w:rFonts w:hint="eastAsia" w:ascii="仿宋" w:hAnsi="仿宋" w:eastAsia="仿宋" w:cs="仿宋"/>
          <w:sz w:val="21"/>
          <w:szCs w:val="24"/>
        </w:rPr>
      </w:pPr>
      <w:r>
        <w:rPr>
          <w:rFonts w:hint="eastAsia" w:ascii="仿宋" w:hAnsi="仿宋" w:eastAsia="仿宋" w:cs="仿宋"/>
          <w:sz w:val="21"/>
          <w:szCs w:val="24"/>
        </w:rPr>
        <w:t>合同价格为含税价，供应商（成交人）提供产品所发生的一切税（包括增值税）费等都已包含于合同价款中。</w:t>
      </w:r>
    </w:p>
    <w:p w14:paraId="1AFC8703">
      <w:pPr>
        <w:spacing w:beforeLines="0" w:afterLines="0" w:line="360" w:lineRule="auto"/>
        <w:ind w:left="420" w:leftChars="200"/>
        <w:jc w:val="left"/>
        <w:rPr>
          <w:rFonts w:hint="eastAsia" w:ascii="仿宋" w:hAnsi="仿宋" w:eastAsia="仿宋" w:cs="仿宋"/>
          <w:b/>
          <w:sz w:val="21"/>
          <w:szCs w:val="24"/>
          <w:lang w:eastAsia="zh-Hans"/>
        </w:rPr>
      </w:pPr>
      <w:bookmarkStart w:id="12" w:name="_Toc26963"/>
      <w:bookmarkStart w:id="13" w:name="_Toc5888"/>
      <w:bookmarkStart w:id="14" w:name="_Toc25078"/>
      <w:bookmarkStart w:id="15" w:name="_Toc24804"/>
      <w:bookmarkStart w:id="16" w:name="_Toc12265"/>
      <w:bookmarkStart w:id="17" w:name="_Toc16901"/>
      <w:r>
        <w:rPr>
          <w:rFonts w:hint="eastAsia" w:ascii="仿宋" w:hAnsi="仿宋" w:eastAsia="仿宋" w:cs="仿宋"/>
          <w:b/>
          <w:sz w:val="21"/>
          <w:szCs w:val="24"/>
          <w:lang w:eastAsia="zh-Hans"/>
        </w:rPr>
        <w:t>第三条 货款支付</w:t>
      </w:r>
      <w:bookmarkEnd w:id="12"/>
      <w:bookmarkEnd w:id="13"/>
      <w:bookmarkEnd w:id="14"/>
      <w:bookmarkEnd w:id="15"/>
      <w:bookmarkEnd w:id="16"/>
      <w:bookmarkEnd w:id="17"/>
    </w:p>
    <w:p w14:paraId="439169E9">
      <w:pPr>
        <w:spacing w:beforeLines="0" w:afterLines="0" w:line="360" w:lineRule="auto"/>
        <w:ind w:left="420" w:leftChars="200"/>
        <w:jc w:val="left"/>
        <w:rPr>
          <w:rFonts w:hint="eastAsia" w:ascii="仿宋" w:hAnsi="仿宋" w:eastAsia="仿宋" w:cs="仿宋"/>
          <w:b w:val="0"/>
          <w:bCs/>
          <w:sz w:val="21"/>
          <w:szCs w:val="24"/>
          <w:lang w:eastAsia="zh-Hans"/>
        </w:rPr>
      </w:pPr>
      <w:bookmarkStart w:id="18" w:name="_Toc4580"/>
      <w:bookmarkStart w:id="19" w:name="_Toc25309"/>
      <w:bookmarkStart w:id="20" w:name="_Toc16308"/>
      <w:bookmarkStart w:id="21" w:name="_Toc2948"/>
      <w:bookmarkStart w:id="22" w:name="_Toc14955"/>
      <w:bookmarkStart w:id="23" w:name="_Toc12421"/>
      <w:r>
        <w:rPr>
          <w:rFonts w:hint="eastAsia" w:ascii="仿宋" w:hAnsi="仿宋" w:eastAsia="仿宋" w:cs="仿宋"/>
          <w:b w:val="0"/>
          <w:bCs/>
          <w:sz w:val="21"/>
          <w:szCs w:val="24"/>
          <w:lang w:val="en-US" w:eastAsia="zh-Hans"/>
        </w:rPr>
        <w:t>1</w:t>
      </w:r>
      <w:r>
        <w:rPr>
          <w:rFonts w:hint="eastAsia" w:ascii="仿宋" w:hAnsi="仿宋" w:eastAsia="仿宋" w:cs="仿宋"/>
          <w:b w:val="0"/>
          <w:bCs/>
          <w:sz w:val="21"/>
          <w:szCs w:val="24"/>
          <w:lang w:val="en-US" w:eastAsia="zh-CN"/>
        </w:rPr>
        <w:t>.</w:t>
      </w:r>
      <w:r>
        <w:rPr>
          <w:rFonts w:hint="eastAsia" w:ascii="仿宋" w:hAnsi="仿宋" w:eastAsia="仿宋" w:cs="仿宋"/>
          <w:b w:val="0"/>
          <w:bCs/>
          <w:sz w:val="21"/>
          <w:szCs w:val="24"/>
          <w:lang w:eastAsia="zh-Hans"/>
        </w:rPr>
        <w:t>合同签订后，所有货物到达甲方指定地点，验收合格后，</w:t>
      </w:r>
      <w:r>
        <w:rPr>
          <w:rFonts w:hint="eastAsia" w:ascii="仿宋" w:hAnsi="仿宋" w:eastAsia="仿宋" w:cs="仿宋"/>
          <w:b w:val="0"/>
          <w:bCs/>
          <w:sz w:val="21"/>
          <w:szCs w:val="24"/>
          <w:lang w:val="en-US" w:eastAsia="zh-Hans"/>
        </w:rPr>
        <w:t>180日历天</w:t>
      </w:r>
      <w:r>
        <w:rPr>
          <w:rFonts w:hint="eastAsia" w:ascii="仿宋" w:hAnsi="仿宋" w:eastAsia="仿宋" w:cs="仿宋"/>
          <w:b w:val="0"/>
          <w:bCs/>
          <w:sz w:val="21"/>
          <w:szCs w:val="24"/>
          <w:lang w:eastAsia="zh-Hans"/>
        </w:rPr>
        <w:t>内付清合同金额；</w:t>
      </w:r>
    </w:p>
    <w:p w14:paraId="76C4F8DB">
      <w:pPr>
        <w:spacing w:beforeLines="0" w:afterLines="0" w:line="360" w:lineRule="auto"/>
        <w:ind w:left="420" w:leftChars="200"/>
        <w:jc w:val="left"/>
        <w:rPr>
          <w:rFonts w:hint="eastAsia" w:ascii="仿宋" w:hAnsi="仿宋" w:eastAsia="仿宋" w:cs="仿宋"/>
          <w:b w:val="0"/>
          <w:bCs/>
          <w:sz w:val="21"/>
          <w:szCs w:val="24"/>
          <w:lang w:eastAsia="zh-Hans"/>
        </w:rPr>
      </w:pPr>
      <w:r>
        <w:rPr>
          <w:rFonts w:hint="eastAsia" w:ascii="仿宋" w:hAnsi="仿宋" w:eastAsia="仿宋" w:cs="仿宋"/>
          <w:b w:val="0"/>
          <w:bCs/>
          <w:sz w:val="21"/>
          <w:szCs w:val="24"/>
          <w:lang w:val="en-US" w:eastAsia="zh-Hans"/>
        </w:rPr>
        <w:t>2</w:t>
      </w:r>
      <w:r>
        <w:rPr>
          <w:rFonts w:hint="eastAsia" w:ascii="仿宋" w:hAnsi="仿宋" w:eastAsia="仿宋" w:cs="仿宋"/>
          <w:b w:val="0"/>
          <w:bCs/>
          <w:sz w:val="21"/>
          <w:szCs w:val="24"/>
          <w:lang w:val="en-US" w:eastAsia="zh-CN"/>
        </w:rPr>
        <w:t>.</w:t>
      </w:r>
      <w:r>
        <w:rPr>
          <w:rFonts w:hint="eastAsia" w:ascii="仿宋" w:hAnsi="仿宋" w:eastAsia="仿宋" w:cs="仿宋"/>
          <w:b w:val="0"/>
          <w:bCs/>
          <w:sz w:val="21"/>
          <w:szCs w:val="24"/>
          <w:lang w:eastAsia="zh-Hans"/>
        </w:rPr>
        <w:t>支付方式：银行转账。</w:t>
      </w:r>
    </w:p>
    <w:p w14:paraId="0E745B2A">
      <w:pPr>
        <w:spacing w:beforeLines="0" w:afterLines="0" w:line="360" w:lineRule="auto"/>
        <w:ind w:left="420" w:leftChars="200"/>
        <w:jc w:val="left"/>
        <w:rPr>
          <w:rFonts w:hint="eastAsia" w:ascii="仿宋" w:hAnsi="仿宋" w:eastAsia="仿宋" w:cs="仿宋"/>
          <w:b w:val="0"/>
          <w:bCs/>
          <w:sz w:val="21"/>
          <w:szCs w:val="24"/>
          <w:lang w:eastAsia="zh-Hans"/>
        </w:rPr>
      </w:pPr>
      <w:r>
        <w:rPr>
          <w:rFonts w:hint="eastAsia" w:ascii="仿宋" w:hAnsi="仿宋" w:eastAsia="仿宋" w:cs="仿宋"/>
          <w:b w:val="0"/>
          <w:bCs/>
          <w:sz w:val="21"/>
          <w:szCs w:val="24"/>
          <w:lang w:val="en-US" w:eastAsia="zh-Hans"/>
        </w:rPr>
        <w:t>3</w:t>
      </w:r>
      <w:r>
        <w:rPr>
          <w:rFonts w:hint="eastAsia" w:ascii="仿宋" w:hAnsi="仿宋" w:eastAsia="仿宋" w:cs="仿宋"/>
          <w:b w:val="0"/>
          <w:bCs/>
          <w:sz w:val="21"/>
          <w:szCs w:val="24"/>
          <w:lang w:val="en-US" w:eastAsia="zh-CN"/>
        </w:rPr>
        <w:t>.</w:t>
      </w:r>
      <w:r>
        <w:rPr>
          <w:rFonts w:hint="eastAsia" w:ascii="仿宋" w:hAnsi="仿宋" w:eastAsia="仿宋" w:cs="仿宋"/>
          <w:b w:val="0"/>
          <w:bCs/>
          <w:sz w:val="21"/>
          <w:szCs w:val="24"/>
          <w:lang w:eastAsia="zh-Hans"/>
        </w:rPr>
        <w:t>结算方式：由乙方与采购人结算，发票开采购单位，到采购单位办理付款手续。</w:t>
      </w:r>
    </w:p>
    <w:p w14:paraId="3BF6D235">
      <w:pPr>
        <w:spacing w:beforeLines="0" w:afterLines="0" w:line="360" w:lineRule="auto"/>
        <w:ind w:left="420" w:leftChars="200"/>
        <w:jc w:val="left"/>
        <w:rPr>
          <w:rFonts w:hint="eastAsia" w:ascii="仿宋" w:hAnsi="仿宋" w:eastAsia="仿宋" w:cs="仿宋"/>
          <w:b/>
          <w:sz w:val="21"/>
          <w:szCs w:val="24"/>
          <w:lang w:eastAsia="zh-Hans"/>
        </w:rPr>
      </w:pPr>
      <w:r>
        <w:rPr>
          <w:rFonts w:hint="eastAsia" w:ascii="仿宋" w:hAnsi="仿宋" w:eastAsia="仿宋" w:cs="仿宋"/>
          <w:b/>
          <w:sz w:val="21"/>
          <w:szCs w:val="24"/>
          <w:lang w:eastAsia="zh-Hans"/>
        </w:rPr>
        <w:t>第四条 交货时间与地点</w:t>
      </w:r>
      <w:bookmarkEnd w:id="18"/>
      <w:bookmarkEnd w:id="19"/>
      <w:bookmarkEnd w:id="20"/>
      <w:bookmarkEnd w:id="21"/>
      <w:bookmarkEnd w:id="22"/>
      <w:bookmarkEnd w:id="23"/>
    </w:p>
    <w:p w14:paraId="13A385DA">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乙方在合同签订生效之日起，按甲方指定时间、地点交货。</w:t>
      </w:r>
    </w:p>
    <w:p w14:paraId="74F4EE0B">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1.交货时间（期限）：合同签订并收到采购人供货通知后30日历天内完成供货、安装、调试、验收合格交付使用。</w:t>
      </w:r>
    </w:p>
    <w:p w14:paraId="68CDE70F">
      <w:pPr>
        <w:spacing w:beforeLines="0" w:afterLines="0" w:line="360" w:lineRule="auto"/>
        <w:ind w:left="420" w:leftChars="200"/>
        <w:jc w:val="left"/>
        <w:rPr>
          <w:rFonts w:hint="eastAsia" w:ascii="仿宋" w:hAnsi="仿宋" w:eastAsia="仿宋" w:cs="仿宋"/>
          <w:sz w:val="21"/>
          <w:szCs w:val="24"/>
          <w:lang w:eastAsia="zh-CN"/>
        </w:rPr>
      </w:pPr>
      <w:r>
        <w:rPr>
          <w:rFonts w:hint="eastAsia" w:ascii="仿宋" w:hAnsi="仿宋" w:eastAsia="仿宋" w:cs="仿宋"/>
          <w:sz w:val="21"/>
          <w:szCs w:val="24"/>
        </w:rPr>
        <w:t>2.交货地点：采购人指定</w:t>
      </w:r>
      <w:r>
        <w:rPr>
          <w:rFonts w:hint="eastAsia" w:ascii="仿宋" w:hAnsi="仿宋" w:eastAsia="仿宋" w:cs="仿宋"/>
          <w:sz w:val="21"/>
          <w:szCs w:val="24"/>
          <w:lang w:eastAsia="zh-CN"/>
        </w:rPr>
        <w:t>地点</w:t>
      </w:r>
    </w:p>
    <w:p w14:paraId="7BF7A005">
      <w:pPr>
        <w:spacing w:beforeLines="0" w:afterLines="0" w:line="360" w:lineRule="auto"/>
        <w:ind w:left="420" w:leftChars="200"/>
        <w:jc w:val="left"/>
        <w:rPr>
          <w:rFonts w:hint="eastAsia" w:ascii="仿宋" w:hAnsi="仿宋" w:eastAsia="仿宋" w:cs="仿宋"/>
          <w:b/>
          <w:sz w:val="21"/>
          <w:szCs w:val="24"/>
          <w:lang w:eastAsia="zh-Hans"/>
        </w:rPr>
      </w:pPr>
      <w:bookmarkStart w:id="24" w:name="_Toc24283"/>
      <w:bookmarkStart w:id="25" w:name="_Toc27454"/>
      <w:bookmarkStart w:id="26" w:name="_Toc13273"/>
      <w:bookmarkStart w:id="27" w:name="_Toc15130"/>
      <w:bookmarkStart w:id="28" w:name="_Toc8242"/>
      <w:bookmarkStart w:id="29" w:name="_Toc15772"/>
      <w:r>
        <w:rPr>
          <w:rFonts w:hint="eastAsia" w:ascii="仿宋" w:hAnsi="仿宋" w:eastAsia="仿宋" w:cs="仿宋"/>
          <w:b/>
          <w:sz w:val="21"/>
          <w:szCs w:val="24"/>
          <w:lang w:eastAsia="zh-Hans"/>
        </w:rPr>
        <w:t>第五条 质量保证</w:t>
      </w:r>
      <w:bookmarkEnd w:id="24"/>
      <w:bookmarkEnd w:id="25"/>
      <w:bookmarkEnd w:id="26"/>
      <w:bookmarkEnd w:id="27"/>
      <w:bookmarkEnd w:id="28"/>
      <w:bookmarkEnd w:id="29"/>
    </w:p>
    <w:p w14:paraId="2EF9F063">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（1）质保期：</w:t>
      </w:r>
      <w:r>
        <w:rPr>
          <w:rFonts w:hint="eastAsia" w:ascii="仿宋" w:hAnsi="仿宋" w:eastAsia="仿宋" w:cs="仿宋"/>
          <w:sz w:val="21"/>
          <w:szCs w:val="24"/>
          <w:lang w:val="en-US" w:eastAsia="zh-CN"/>
        </w:rPr>
        <w:t>整机原厂质保≥3年，核心摄像主机、冷光源质保≥5年，终身提供维修及原厂配件；</w:t>
      </w:r>
    </w:p>
    <w:p w14:paraId="1A65D0D1">
      <w:pPr>
        <w:spacing w:beforeLines="0" w:afterLines="0" w:line="360" w:lineRule="auto"/>
        <w:ind w:firstLine="420" w:firstLineChars="200"/>
        <w:jc w:val="left"/>
        <w:rPr>
          <w:rFonts w:hint="eastAsia" w:ascii="仿宋" w:hAnsi="仿宋" w:eastAsia="仿宋" w:cs="仿宋"/>
          <w:sz w:val="21"/>
          <w:szCs w:val="24"/>
        </w:rPr>
      </w:pPr>
      <w:bookmarkStart w:id="30" w:name="_Toc31789"/>
      <w:bookmarkStart w:id="31" w:name="_Toc12756"/>
      <w:bookmarkStart w:id="32" w:name="_Toc19186"/>
      <w:bookmarkStart w:id="33" w:name="_Toc19975"/>
      <w:bookmarkStart w:id="34" w:name="_Toc6306"/>
      <w:bookmarkStart w:id="35" w:name="_Toc6140"/>
      <w:r>
        <w:rPr>
          <w:rFonts w:hint="eastAsia" w:ascii="仿宋" w:hAnsi="仿宋" w:eastAsia="仿宋" w:cs="仿宋"/>
          <w:sz w:val="21"/>
          <w:szCs w:val="24"/>
        </w:rPr>
        <w:t>（2）在质量保证期内发生故障，维修响应时间&lt;2小时，维修工程师抵达现场时间&lt;12 小时。48小时内无法完成维修时须提供备用机。若需要将产品返厂维修，乙方须承担维修产品所需的往返费用。</w:t>
      </w:r>
    </w:p>
    <w:p w14:paraId="17893C55">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w:t>
      </w:r>
      <w:r>
        <w:rPr>
          <w:rFonts w:hint="eastAsia" w:ascii="仿宋" w:hAnsi="仿宋" w:eastAsia="仿宋" w:cs="仿宋"/>
          <w:sz w:val="21"/>
          <w:szCs w:val="24"/>
          <w:lang w:val="en-US" w:eastAsia="zh-CN"/>
        </w:rPr>
        <w:t>3</w:t>
      </w:r>
      <w:r>
        <w:rPr>
          <w:rFonts w:hint="eastAsia" w:ascii="仿宋" w:hAnsi="仿宋" w:eastAsia="仿宋" w:cs="仿宋"/>
          <w:sz w:val="21"/>
          <w:szCs w:val="24"/>
        </w:rPr>
        <w:t>）如果乙方在收到通知后两天内没有弥补缺陷甲方可采取必要的补救措施，但其风险和费用将由乙方承担，甲方根据合同规定对乙方行使的其它权力不受影响。甲方亦可</w:t>
      </w:r>
      <w:r>
        <w:rPr>
          <w:rFonts w:hint="eastAsia" w:ascii="仿宋" w:hAnsi="仿宋" w:eastAsia="仿宋" w:cs="仿宋"/>
          <w:sz w:val="21"/>
          <w:szCs w:val="24"/>
          <w:lang w:eastAsia="zh-CN"/>
        </w:rPr>
        <w:t>要求</w:t>
      </w:r>
      <w:r>
        <w:rPr>
          <w:rFonts w:hint="eastAsia" w:ascii="仿宋" w:hAnsi="仿宋" w:eastAsia="仿宋" w:cs="仿宋"/>
          <w:sz w:val="21"/>
          <w:szCs w:val="24"/>
        </w:rPr>
        <w:t>索赔。</w:t>
      </w:r>
    </w:p>
    <w:p w14:paraId="3ED6F6A2">
      <w:pPr>
        <w:spacing w:beforeLines="0" w:afterLines="0" w:line="360" w:lineRule="auto"/>
        <w:ind w:firstLine="422" w:firstLineChars="200"/>
        <w:jc w:val="left"/>
        <w:rPr>
          <w:rFonts w:hint="eastAsia" w:ascii="仿宋" w:hAnsi="仿宋" w:eastAsia="仿宋" w:cs="仿宋"/>
          <w:b/>
          <w:sz w:val="21"/>
          <w:szCs w:val="24"/>
          <w:lang w:eastAsia="zh-Hans"/>
        </w:rPr>
      </w:pPr>
      <w:r>
        <w:rPr>
          <w:rFonts w:hint="eastAsia" w:ascii="仿宋" w:hAnsi="仿宋" w:eastAsia="仿宋" w:cs="仿宋"/>
          <w:b/>
          <w:sz w:val="21"/>
          <w:szCs w:val="24"/>
          <w:lang w:eastAsia="zh-Hans"/>
        </w:rPr>
        <w:t>第六条 权利保证</w:t>
      </w:r>
      <w:bookmarkEnd w:id="30"/>
      <w:bookmarkEnd w:id="31"/>
      <w:bookmarkEnd w:id="32"/>
      <w:bookmarkEnd w:id="33"/>
      <w:bookmarkEnd w:id="34"/>
      <w:bookmarkEnd w:id="35"/>
    </w:p>
    <w:p w14:paraId="71E5A150">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（1）乙方保证对其出售的货物享有合法的权利。</w:t>
      </w:r>
    </w:p>
    <w:p w14:paraId="5F61A3B5">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（2）乙方保证对其出售的货物上不存在任何未曾向甲方透露的担保物权，如抵押权、质押权、留置权。</w:t>
      </w:r>
    </w:p>
    <w:p w14:paraId="777B0557">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（3）乙方保证对其出售的货物或其任何一部分没有侵犯第三方的专利权、版权、商标权或其他权利。</w:t>
      </w:r>
    </w:p>
    <w:p w14:paraId="257B1D20">
      <w:pPr>
        <w:spacing w:beforeLines="0" w:afterLines="0" w:line="360" w:lineRule="auto"/>
        <w:ind w:left="420" w:leftChars="200"/>
        <w:jc w:val="left"/>
        <w:rPr>
          <w:rFonts w:hint="eastAsia" w:ascii="仿宋" w:hAnsi="仿宋" w:eastAsia="仿宋" w:cs="仿宋"/>
          <w:sz w:val="21"/>
          <w:szCs w:val="24"/>
        </w:rPr>
      </w:pPr>
      <w:r>
        <w:rPr>
          <w:rFonts w:hint="eastAsia" w:ascii="仿宋" w:hAnsi="仿宋" w:eastAsia="仿宋" w:cs="仿宋"/>
          <w:sz w:val="21"/>
          <w:szCs w:val="24"/>
        </w:rPr>
        <w:t>（4）如甲方在使用该货物构成上述侵权的，则由乙方承担全部责任。</w:t>
      </w:r>
    </w:p>
    <w:p w14:paraId="61AAB78A">
      <w:pPr>
        <w:spacing w:beforeLines="0" w:afterLines="0" w:line="360" w:lineRule="auto"/>
        <w:ind w:firstLine="422" w:firstLineChars="200"/>
        <w:jc w:val="left"/>
        <w:rPr>
          <w:rFonts w:hint="eastAsia" w:ascii="仿宋" w:hAnsi="仿宋" w:eastAsia="仿宋" w:cs="仿宋"/>
          <w:b/>
          <w:sz w:val="21"/>
          <w:szCs w:val="24"/>
        </w:rPr>
      </w:pPr>
      <w:bookmarkStart w:id="36" w:name="_Toc9158"/>
      <w:bookmarkStart w:id="37" w:name="_Toc9334"/>
      <w:bookmarkStart w:id="38" w:name="_Toc8624"/>
      <w:bookmarkStart w:id="39" w:name="_Toc5676"/>
      <w:bookmarkStart w:id="40" w:name="_Toc2461"/>
      <w:bookmarkStart w:id="41" w:name="_Toc14361"/>
      <w:r>
        <w:rPr>
          <w:rFonts w:hint="eastAsia" w:ascii="仿宋" w:hAnsi="仿宋" w:eastAsia="仿宋" w:cs="仿宋"/>
          <w:b/>
          <w:sz w:val="21"/>
          <w:szCs w:val="24"/>
          <w:lang w:eastAsia="zh-Hans"/>
        </w:rPr>
        <w:t>第七条</w:t>
      </w:r>
      <w:r>
        <w:rPr>
          <w:rFonts w:hint="eastAsia" w:ascii="仿宋" w:hAnsi="仿宋" w:eastAsia="仿宋" w:cs="仿宋"/>
          <w:b/>
          <w:sz w:val="21"/>
          <w:szCs w:val="24"/>
        </w:rPr>
        <w:t xml:space="preserve"> 双方权利与义务</w:t>
      </w:r>
    </w:p>
    <w:p w14:paraId="2C5F03C7">
      <w:pPr>
        <w:spacing w:beforeLines="0" w:afterLines="0" w:line="360" w:lineRule="auto"/>
        <w:ind w:left="420" w:left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w:t>
      </w:r>
      <w:r>
        <w:rPr>
          <w:rFonts w:hint="eastAsia" w:ascii="仿宋" w:hAnsi="仿宋" w:eastAsia="仿宋" w:cs="仿宋"/>
          <w:sz w:val="21"/>
          <w:szCs w:val="24"/>
        </w:rPr>
        <w:t>1</w:t>
      </w:r>
      <w:r>
        <w:rPr>
          <w:rFonts w:hint="eastAsia" w:ascii="仿宋" w:hAnsi="仿宋" w:eastAsia="仿宋" w:cs="仿宋"/>
          <w:sz w:val="21"/>
          <w:szCs w:val="24"/>
          <w:lang w:eastAsia="zh-Hans"/>
        </w:rPr>
        <w:t>)甲方的权利与义务</w:t>
      </w:r>
    </w:p>
    <w:p w14:paraId="46E6510B">
      <w:pPr>
        <w:spacing w:beforeLines="0" w:afterLines="0" w:line="360" w:lineRule="auto"/>
        <w:ind w:left="420" w:left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甲方在收到货物通知后，应按招标文件的需求进行核实，如发现不符合合同规定或短缺，</w:t>
      </w:r>
    </w:p>
    <w:p w14:paraId="0AEAEE5A">
      <w:pPr>
        <w:spacing w:beforeLines="0" w:afterLines="0" w:line="360" w:lineRule="auto"/>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及时提出，甲方在收到货后，组织人员按提供的技术参数指标进行验收。</w:t>
      </w:r>
    </w:p>
    <w:p w14:paraId="1090DAA6">
      <w:pPr>
        <w:spacing w:beforeLines="0" w:afterLines="0" w:line="360" w:lineRule="auto"/>
        <w:ind w:left="420" w:left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w:t>
      </w:r>
      <w:r>
        <w:rPr>
          <w:rFonts w:hint="eastAsia" w:ascii="仿宋" w:hAnsi="仿宋" w:eastAsia="仿宋" w:cs="仿宋"/>
          <w:sz w:val="21"/>
          <w:szCs w:val="24"/>
        </w:rPr>
        <w:t>2</w:t>
      </w:r>
      <w:r>
        <w:rPr>
          <w:rFonts w:hint="eastAsia" w:ascii="仿宋" w:hAnsi="仿宋" w:eastAsia="仿宋" w:cs="仿宋"/>
          <w:sz w:val="21"/>
          <w:szCs w:val="24"/>
          <w:lang w:eastAsia="zh-Hans"/>
        </w:rPr>
        <w:t>)乙方的权利与义务</w:t>
      </w:r>
    </w:p>
    <w:p w14:paraId="736CEA94">
      <w:pPr>
        <w:spacing w:beforeLines="0" w:afterLines="0" w:line="360" w:lineRule="auto"/>
        <w:ind w:left="420" w:leftChars="200"/>
        <w:jc w:val="left"/>
        <w:rPr>
          <w:rFonts w:hint="eastAsia" w:ascii="仿宋" w:hAnsi="仿宋" w:eastAsia="仿宋" w:cs="仿宋"/>
          <w:sz w:val="21"/>
          <w:szCs w:val="24"/>
          <w:lang w:eastAsia="zh-Hans"/>
        </w:rPr>
      </w:pPr>
      <w:r>
        <w:rPr>
          <w:rFonts w:hint="eastAsia" w:ascii="仿宋" w:hAnsi="仿宋" w:eastAsia="仿宋" w:cs="仿宋"/>
          <w:sz w:val="21"/>
          <w:szCs w:val="24"/>
        </w:rPr>
        <w:t>①</w:t>
      </w:r>
      <w:r>
        <w:rPr>
          <w:rFonts w:hint="eastAsia" w:ascii="仿宋" w:hAnsi="仿宋" w:eastAsia="仿宋" w:cs="仿宋"/>
          <w:sz w:val="21"/>
          <w:szCs w:val="24"/>
          <w:lang w:eastAsia="zh-Hans"/>
        </w:rPr>
        <w:t>乙方负责产品安装与调试在合同约定的时间完工。</w:t>
      </w:r>
    </w:p>
    <w:p w14:paraId="550D4AAC">
      <w:pPr>
        <w:spacing w:beforeLines="0" w:afterLines="0" w:line="360" w:lineRule="auto"/>
        <w:ind w:left="420" w:leftChars="200"/>
        <w:jc w:val="left"/>
        <w:rPr>
          <w:rFonts w:hint="eastAsia" w:ascii="仿宋" w:hAnsi="仿宋" w:eastAsia="仿宋" w:cs="仿宋"/>
          <w:sz w:val="21"/>
          <w:szCs w:val="24"/>
          <w:lang w:eastAsia="zh-Hans"/>
        </w:rPr>
      </w:pPr>
      <w:r>
        <w:rPr>
          <w:rFonts w:hint="eastAsia" w:ascii="仿宋" w:hAnsi="仿宋" w:eastAsia="仿宋" w:cs="仿宋"/>
          <w:sz w:val="21"/>
          <w:szCs w:val="24"/>
        </w:rPr>
        <w:t>②</w:t>
      </w:r>
      <w:r>
        <w:rPr>
          <w:rFonts w:hint="eastAsia" w:ascii="仿宋" w:hAnsi="仿宋" w:eastAsia="仿宋" w:cs="仿宋"/>
          <w:sz w:val="21"/>
          <w:szCs w:val="24"/>
          <w:lang w:eastAsia="zh-Hans"/>
        </w:rPr>
        <w:t>乙方所提供的产品必须是采购需求产品。</w:t>
      </w:r>
    </w:p>
    <w:p w14:paraId="76168466">
      <w:pPr>
        <w:spacing w:beforeLines="0" w:afterLines="0" w:line="360" w:lineRule="auto"/>
        <w:ind w:firstLine="422" w:firstLineChars="200"/>
        <w:jc w:val="left"/>
        <w:rPr>
          <w:rFonts w:hint="eastAsia" w:ascii="仿宋" w:hAnsi="仿宋" w:eastAsia="仿宋" w:cs="仿宋"/>
          <w:b/>
          <w:sz w:val="21"/>
          <w:szCs w:val="24"/>
          <w:lang w:eastAsia="zh-Hans"/>
        </w:rPr>
      </w:pPr>
      <w:r>
        <w:rPr>
          <w:rFonts w:hint="eastAsia" w:ascii="仿宋" w:hAnsi="仿宋" w:eastAsia="仿宋" w:cs="仿宋"/>
          <w:b/>
          <w:sz w:val="21"/>
          <w:szCs w:val="24"/>
          <w:lang w:eastAsia="zh-Hans"/>
        </w:rPr>
        <w:t>第</w:t>
      </w:r>
      <w:r>
        <w:rPr>
          <w:rFonts w:hint="eastAsia" w:ascii="仿宋" w:hAnsi="仿宋" w:eastAsia="仿宋" w:cs="仿宋"/>
          <w:b/>
          <w:sz w:val="21"/>
          <w:szCs w:val="24"/>
        </w:rPr>
        <w:t>八</w:t>
      </w:r>
      <w:r>
        <w:rPr>
          <w:rFonts w:hint="eastAsia" w:ascii="仿宋" w:hAnsi="仿宋" w:eastAsia="仿宋" w:cs="仿宋"/>
          <w:b/>
          <w:sz w:val="21"/>
          <w:szCs w:val="24"/>
          <w:lang w:eastAsia="zh-Hans"/>
        </w:rPr>
        <w:t>条 包装要求与运输方式</w:t>
      </w:r>
      <w:bookmarkEnd w:id="36"/>
      <w:bookmarkEnd w:id="37"/>
      <w:bookmarkEnd w:id="38"/>
      <w:bookmarkEnd w:id="39"/>
      <w:bookmarkEnd w:id="40"/>
      <w:bookmarkEnd w:id="41"/>
      <w:r>
        <w:rPr>
          <w:rFonts w:hint="eastAsia" w:ascii="仿宋" w:hAnsi="仿宋" w:eastAsia="仿宋" w:cs="仿宋"/>
          <w:b/>
          <w:sz w:val="21"/>
          <w:szCs w:val="24"/>
          <w:lang w:eastAsia="zh-Hans"/>
        </w:rPr>
        <w:t xml:space="preserve">   </w:t>
      </w:r>
    </w:p>
    <w:p w14:paraId="31718ADF">
      <w:pPr>
        <w:spacing w:beforeLines="0" w:afterLines="0" w:line="360" w:lineRule="auto"/>
        <w:ind w:firstLine="420" w:firstLineChars="200"/>
        <w:jc w:val="left"/>
        <w:rPr>
          <w:rFonts w:hint="eastAsia" w:ascii="仿宋" w:hAnsi="仿宋" w:eastAsia="仿宋" w:cs="仿宋"/>
          <w:sz w:val="21"/>
          <w:szCs w:val="24"/>
        </w:rPr>
      </w:pPr>
      <w:r>
        <w:rPr>
          <w:rFonts w:hint="eastAsia" w:ascii="仿宋" w:hAnsi="仿宋" w:eastAsia="仿宋" w:cs="仿宋"/>
          <w:sz w:val="21"/>
          <w:szCs w:val="24"/>
        </w:rPr>
        <w:t>（1）货物</w:t>
      </w:r>
      <w:r>
        <w:rPr>
          <w:rFonts w:hint="eastAsia" w:ascii="仿宋" w:hAnsi="仿宋" w:eastAsia="仿宋" w:cs="仿宋"/>
          <w:sz w:val="21"/>
          <w:szCs w:val="24"/>
          <w:lang w:eastAsia="zh-Hans"/>
        </w:rPr>
        <w:t>的包装必须是制造商原厂包装，其包装均应有良好的防湿、防锈、防潮、防雨、防腐及防碰撞的措施。凡由于包装不良造成的损失和由此产生的费用均由</w:t>
      </w:r>
      <w:r>
        <w:rPr>
          <w:rFonts w:hint="eastAsia" w:ascii="仿宋" w:hAnsi="仿宋" w:eastAsia="仿宋" w:cs="仿宋"/>
          <w:sz w:val="21"/>
          <w:szCs w:val="24"/>
        </w:rPr>
        <w:t>供应商</w:t>
      </w:r>
      <w:r>
        <w:rPr>
          <w:rFonts w:hint="eastAsia" w:ascii="仿宋" w:hAnsi="仿宋" w:eastAsia="仿宋" w:cs="仿宋"/>
          <w:sz w:val="21"/>
          <w:szCs w:val="24"/>
          <w:lang w:eastAsia="zh-Hans"/>
        </w:rPr>
        <w:t>承担</w:t>
      </w:r>
      <w:r>
        <w:rPr>
          <w:rFonts w:hint="eastAsia" w:ascii="仿宋" w:hAnsi="仿宋" w:eastAsia="仿宋" w:cs="仿宋"/>
          <w:sz w:val="21"/>
          <w:szCs w:val="24"/>
        </w:rPr>
        <w:t>；</w:t>
      </w:r>
    </w:p>
    <w:p w14:paraId="18C2B4AE">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rPr>
        <w:t>（2）</w:t>
      </w:r>
      <w:r>
        <w:rPr>
          <w:rFonts w:hint="eastAsia" w:ascii="仿宋" w:hAnsi="仿宋" w:eastAsia="仿宋" w:cs="仿宋"/>
          <w:sz w:val="21"/>
          <w:szCs w:val="24"/>
          <w:lang w:eastAsia="zh-Hans"/>
        </w:rPr>
        <w:t>设备至</w:t>
      </w:r>
      <w:r>
        <w:rPr>
          <w:rFonts w:hint="eastAsia" w:ascii="仿宋" w:hAnsi="仿宋" w:eastAsia="仿宋" w:cs="仿宋"/>
          <w:sz w:val="21"/>
          <w:szCs w:val="24"/>
        </w:rPr>
        <w:t>甲方</w:t>
      </w:r>
      <w:r>
        <w:rPr>
          <w:rFonts w:hint="eastAsia" w:ascii="仿宋" w:hAnsi="仿宋" w:eastAsia="仿宋" w:cs="仿宋"/>
          <w:sz w:val="21"/>
          <w:szCs w:val="24"/>
          <w:lang w:eastAsia="zh-Hans"/>
        </w:rPr>
        <w:t>指定</w:t>
      </w:r>
      <w:r>
        <w:rPr>
          <w:rFonts w:hint="eastAsia" w:ascii="仿宋" w:hAnsi="仿宋" w:eastAsia="仿宋" w:cs="仿宋"/>
          <w:sz w:val="21"/>
          <w:szCs w:val="24"/>
        </w:rPr>
        <w:t>地点</w:t>
      </w:r>
      <w:r>
        <w:rPr>
          <w:rFonts w:hint="eastAsia" w:ascii="仿宋" w:hAnsi="仿宋" w:eastAsia="仿宋" w:cs="仿宋"/>
          <w:sz w:val="21"/>
          <w:szCs w:val="24"/>
          <w:lang w:eastAsia="zh-Hans"/>
        </w:rPr>
        <w:t>的包装、保险及发运等环节和费用均由</w:t>
      </w:r>
      <w:r>
        <w:rPr>
          <w:rFonts w:hint="eastAsia" w:ascii="仿宋" w:hAnsi="仿宋" w:eastAsia="仿宋" w:cs="仿宋"/>
          <w:sz w:val="21"/>
          <w:szCs w:val="24"/>
        </w:rPr>
        <w:t>供应商</w:t>
      </w:r>
      <w:r>
        <w:rPr>
          <w:rFonts w:hint="eastAsia" w:ascii="仿宋" w:hAnsi="仿宋" w:eastAsia="仿宋" w:cs="仿宋"/>
          <w:sz w:val="21"/>
          <w:szCs w:val="24"/>
          <w:lang w:eastAsia="zh-Hans"/>
        </w:rPr>
        <w:t>负责。</w:t>
      </w:r>
    </w:p>
    <w:p w14:paraId="05DF2BEF">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rPr>
        <w:t>（3）</w:t>
      </w:r>
      <w:r>
        <w:rPr>
          <w:rFonts w:hint="eastAsia" w:ascii="仿宋" w:hAnsi="仿宋" w:eastAsia="仿宋" w:cs="仿宋"/>
          <w:sz w:val="21"/>
          <w:szCs w:val="24"/>
          <w:lang w:eastAsia="zh-Hans"/>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DC0926E">
      <w:pPr>
        <w:spacing w:beforeLines="0" w:afterLines="0" w:line="360" w:lineRule="auto"/>
        <w:ind w:firstLine="422" w:firstLineChars="200"/>
        <w:jc w:val="left"/>
        <w:rPr>
          <w:rFonts w:hint="eastAsia" w:ascii="仿宋" w:hAnsi="仿宋" w:eastAsia="仿宋" w:cs="仿宋"/>
          <w:b/>
          <w:sz w:val="21"/>
          <w:szCs w:val="24"/>
          <w:lang w:eastAsia="zh-Hans"/>
        </w:rPr>
      </w:pPr>
      <w:r>
        <w:rPr>
          <w:rFonts w:hint="eastAsia" w:ascii="仿宋" w:hAnsi="仿宋" w:eastAsia="仿宋" w:cs="仿宋"/>
          <w:b/>
          <w:sz w:val="21"/>
          <w:szCs w:val="24"/>
          <w:lang w:eastAsia="zh-Hans"/>
        </w:rPr>
        <w:t>第</w:t>
      </w:r>
      <w:r>
        <w:rPr>
          <w:rFonts w:hint="eastAsia" w:ascii="仿宋" w:hAnsi="仿宋" w:eastAsia="仿宋" w:cs="仿宋"/>
          <w:b/>
          <w:sz w:val="21"/>
          <w:szCs w:val="24"/>
        </w:rPr>
        <w:t>九</w:t>
      </w:r>
      <w:r>
        <w:rPr>
          <w:rFonts w:hint="eastAsia" w:ascii="仿宋" w:hAnsi="仿宋" w:eastAsia="仿宋" w:cs="仿宋"/>
          <w:b/>
          <w:sz w:val="21"/>
          <w:szCs w:val="24"/>
          <w:lang w:eastAsia="zh-Hans"/>
        </w:rPr>
        <w:t>条 货物验收</w:t>
      </w:r>
    </w:p>
    <w:p w14:paraId="723CE86B">
      <w:pPr>
        <w:spacing w:beforeLines="0" w:afterLines="0" w:line="360" w:lineRule="auto"/>
        <w:ind w:firstLine="420" w:firstLineChars="200"/>
        <w:jc w:val="left"/>
        <w:rPr>
          <w:rFonts w:hint="eastAsia" w:ascii="仿宋" w:hAnsi="仿宋" w:eastAsia="仿宋" w:cs="仿宋"/>
          <w:sz w:val="21"/>
          <w:szCs w:val="24"/>
          <w:lang w:val="en-US" w:eastAsia="zh-Hans"/>
        </w:rPr>
      </w:pPr>
      <w:bookmarkStart w:id="42" w:name="_Toc17184"/>
      <w:bookmarkStart w:id="43" w:name="_Toc28696"/>
      <w:bookmarkStart w:id="44" w:name="_Toc30765"/>
      <w:bookmarkStart w:id="45" w:name="_Toc21106"/>
      <w:bookmarkStart w:id="46" w:name="_Toc31797"/>
      <w:bookmarkStart w:id="47" w:name="_Toc9015"/>
      <w:r>
        <w:rPr>
          <w:rFonts w:hint="eastAsia" w:ascii="仿宋" w:hAnsi="仿宋" w:eastAsia="仿宋" w:cs="仿宋"/>
          <w:sz w:val="21"/>
          <w:szCs w:val="24"/>
          <w:lang w:eastAsia="zh-Hans"/>
        </w:rPr>
        <w:t>（1）</w:t>
      </w:r>
      <w:r>
        <w:rPr>
          <w:rFonts w:hint="eastAsia" w:ascii="仿宋" w:hAnsi="仿宋" w:eastAsia="仿宋" w:cs="仿宋"/>
          <w:sz w:val="21"/>
          <w:szCs w:val="24"/>
          <w:lang w:val="en-US" w:eastAsia="zh-Hans"/>
        </w:rPr>
        <w:t>验收分为四个阶段：到货开箱初验、安装调试验收、30日临床试运行验收、最终验收，所有阶段全部合格并签署《履约验收报告》后方视为交付完成，未完成终验采购人有权不予支付货款。</w:t>
      </w:r>
    </w:p>
    <w:p w14:paraId="08C6D9D7">
      <w:pPr>
        <w:spacing w:beforeLines="0" w:afterLines="0" w:line="360" w:lineRule="auto"/>
        <w:ind w:firstLine="420" w:firstLineChars="200"/>
        <w:jc w:val="left"/>
        <w:rPr>
          <w:rFonts w:hint="eastAsia" w:ascii="仿宋" w:hAnsi="仿宋" w:eastAsia="仿宋" w:cs="仿宋"/>
          <w:sz w:val="21"/>
          <w:szCs w:val="24"/>
          <w:lang w:val="en-US" w:eastAsia="zh-Hans"/>
        </w:rPr>
      </w:pPr>
      <w:r>
        <w:rPr>
          <w:rFonts w:hint="eastAsia" w:ascii="仿宋" w:hAnsi="仿宋" w:eastAsia="仿宋" w:cs="仿宋"/>
          <w:sz w:val="21"/>
          <w:szCs w:val="24"/>
          <w:lang w:val="en-US" w:eastAsia="zh-CN"/>
        </w:rPr>
        <w:t>（2）</w:t>
      </w:r>
      <w:r>
        <w:rPr>
          <w:rFonts w:hint="eastAsia" w:ascii="仿宋" w:hAnsi="仿宋" w:eastAsia="仿宋" w:cs="仿宋"/>
          <w:sz w:val="21"/>
          <w:szCs w:val="24"/>
          <w:lang w:val="en-US" w:eastAsia="zh-Hans"/>
        </w:rPr>
        <w:t>到货开箱初验：货物送达采购人手术室后3个工作日内组织三方开箱核验，核对设备型号、序列号、原厂配置、全套医疗器械资质文件（国产注册证 / 进口注册证、报关单、出厂合格证、完整维修手册、操作手册等），包装破损、缺件、型号不符、资质不全一律拒收，中标人 7 日内完成更换补齐，逾期承担延期交付违约金。</w:t>
      </w:r>
    </w:p>
    <w:p w14:paraId="190D3590">
      <w:pPr>
        <w:spacing w:beforeLines="0" w:afterLines="0" w:line="360" w:lineRule="auto"/>
        <w:ind w:firstLine="420" w:firstLineChars="200"/>
        <w:jc w:val="left"/>
        <w:rPr>
          <w:rFonts w:hint="eastAsia" w:ascii="仿宋" w:hAnsi="仿宋" w:eastAsia="仿宋" w:cs="仿宋"/>
          <w:sz w:val="21"/>
          <w:szCs w:val="24"/>
          <w:lang w:val="en-US" w:eastAsia="zh-Hans"/>
        </w:rPr>
      </w:pPr>
      <w:r>
        <w:rPr>
          <w:rFonts w:hint="eastAsia" w:ascii="仿宋" w:hAnsi="仿宋" w:eastAsia="仿宋" w:cs="仿宋"/>
          <w:sz w:val="21"/>
          <w:szCs w:val="24"/>
          <w:lang w:val="en-US" w:eastAsia="zh-CN"/>
        </w:rPr>
        <w:t>（3）</w:t>
      </w:r>
      <w:r>
        <w:rPr>
          <w:rFonts w:hint="eastAsia" w:ascii="仿宋" w:hAnsi="仿宋" w:eastAsia="仿宋" w:cs="仿宋"/>
          <w:sz w:val="21"/>
          <w:szCs w:val="24"/>
          <w:lang w:val="en-US" w:eastAsia="zh-Hans"/>
        </w:rPr>
        <w:t>安装调试：成交单位负责设备就位、管路电路改造、院内影像系统接口免费对接、整机24小时连续空载测试，完成妇产科医师、设备工程师操作及维保培训，所有4K成像、冷光源、气腹、存储录像功能逐项实测达标方可通过调试验收。</w:t>
      </w:r>
    </w:p>
    <w:p w14:paraId="2998A6B8">
      <w:pPr>
        <w:spacing w:beforeLines="0" w:afterLines="0" w:line="360" w:lineRule="auto"/>
        <w:ind w:firstLine="420" w:firstLineChars="200"/>
        <w:jc w:val="left"/>
        <w:rPr>
          <w:rFonts w:hint="eastAsia" w:ascii="仿宋" w:hAnsi="仿宋" w:eastAsia="仿宋" w:cs="仿宋"/>
          <w:sz w:val="21"/>
          <w:szCs w:val="24"/>
          <w:lang w:val="en-US" w:eastAsia="zh-Hans"/>
        </w:rPr>
      </w:pPr>
      <w:r>
        <w:rPr>
          <w:rFonts w:hint="eastAsia" w:ascii="仿宋" w:hAnsi="仿宋" w:eastAsia="仿宋" w:cs="仿宋"/>
          <w:sz w:val="21"/>
          <w:szCs w:val="24"/>
          <w:lang w:val="en-US" w:eastAsia="zh-CN"/>
        </w:rPr>
        <w:t>（4）</w:t>
      </w:r>
      <w:r>
        <w:rPr>
          <w:rFonts w:hint="eastAsia" w:ascii="仿宋" w:hAnsi="仿宋" w:eastAsia="仿宋" w:cs="仿宋"/>
          <w:sz w:val="21"/>
          <w:szCs w:val="24"/>
          <w:lang w:val="en-US" w:eastAsia="zh-Hans"/>
        </w:rPr>
        <w:t>临床试运行：调试合格后进入30天临床试运行，累计完成不少于30例妇科微创手术；试运行期间频繁故障、成像不达标、无法开展手术的，中标人无条件更换全套设备并重新计算试运行周期；故障停机超 7日须免费提供备用手术系统。</w:t>
      </w:r>
    </w:p>
    <w:p w14:paraId="0624B69D">
      <w:pPr>
        <w:spacing w:beforeLines="0" w:afterLines="0" w:line="360" w:lineRule="auto"/>
        <w:ind w:firstLine="420" w:firstLineChars="200"/>
        <w:jc w:val="left"/>
        <w:rPr>
          <w:rFonts w:hint="eastAsia" w:ascii="仿宋" w:hAnsi="仿宋" w:eastAsia="仿宋" w:cs="仿宋"/>
          <w:sz w:val="21"/>
          <w:szCs w:val="24"/>
          <w:lang w:val="en-US" w:eastAsia="zh-Hans"/>
        </w:rPr>
      </w:pPr>
      <w:r>
        <w:rPr>
          <w:rFonts w:hint="eastAsia" w:ascii="仿宋" w:hAnsi="仿宋" w:eastAsia="仿宋" w:cs="仿宋"/>
          <w:sz w:val="21"/>
          <w:szCs w:val="24"/>
          <w:lang w:val="en-US" w:eastAsia="zh-CN"/>
        </w:rPr>
        <w:t>（5）</w:t>
      </w:r>
      <w:r>
        <w:rPr>
          <w:rFonts w:hint="eastAsia" w:ascii="仿宋" w:hAnsi="仿宋" w:eastAsia="仿宋" w:cs="仿宋"/>
          <w:sz w:val="21"/>
          <w:szCs w:val="24"/>
          <w:lang w:val="en-US" w:eastAsia="zh-Hans"/>
        </w:rPr>
        <w:t>最终验收：试运行无质量问题后由蓝田县卫健局、采购单位会同蓝田县财政局组织聘请的第三方机构专家代表共同对采购的货物进行验收，复核全部验收记录、技术资料、培训记录，签署正式验收报告；验收过程产生的第三方检测、运输、整改全部费用由成交供应商承担。</w:t>
      </w:r>
    </w:p>
    <w:p w14:paraId="5790F3B2">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w:t>
      </w:r>
      <w:r>
        <w:rPr>
          <w:rFonts w:hint="eastAsia" w:ascii="仿宋" w:hAnsi="仿宋" w:eastAsia="仿宋" w:cs="仿宋"/>
          <w:sz w:val="21"/>
          <w:szCs w:val="24"/>
          <w:lang w:val="en-US" w:eastAsia="zh-CN"/>
        </w:rPr>
        <w:t>6</w:t>
      </w:r>
      <w:r>
        <w:rPr>
          <w:rFonts w:hint="eastAsia" w:ascii="仿宋" w:hAnsi="仿宋" w:eastAsia="仿宋" w:cs="仿宋"/>
          <w:sz w:val="21"/>
          <w:szCs w:val="24"/>
          <w:lang w:eastAsia="zh-Hans"/>
        </w:rPr>
        <w:t>）乙方向甲方提交产品供货过程中的所有资料，以便甲方日后管理和维护。</w:t>
      </w:r>
    </w:p>
    <w:p w14:paraId="3C050AB5">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（6）验收依据:</w:t>
      </w:r>
    </w:p>
    <w:p w14:paraId="5ADCD2E6">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①本合同及附加文本;</w:t>
      </w:r>
    </w:p>
    <w:p w14:paraId="7E4F72AA">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②采购文件、响应文件及澄清函;</w:t>
      </w:r>
    </w:p>
    <w:p w14:paraId="5AFEE9B1">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③国家现行相关标准、规范。</w:t>
      </w:r>
    </w:p>
    <w:p w14:paraId="72250B8D">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（7）其他内容按采购文件、响应文件及合同约定执行。</w:t>
      </w:r>
    </w:p>
    <w:p w14:paraId="6AF396D5">
      <w:pPr>
        <w:spacing w:beforeLines="0" w:afterLines="0" w:line="360" w:lineRule="auto"/>
        <w:ind w:firstLine="422" w:firstLineChars="200"/>
        <w:jc w:val="left"/>
        <w:rPr>
          <w:rFonts w:hint="eastAsia" w:ascii="仿宋" w:hAnsi="仿宋" w:eastAsia="仿宋" w:cs="仿宋"/>
          <w:b/>
          <w:sz w:val="21"/>
          <w:szCs w:val="24"/>
          <w:lang w:eastAsia="zh-Hans"/>
        </w:rPr>
      </w:pPr>
      <w:r>
        <w:rPr>
          <w:rFonts w:hint="eastAsia" w:ascii="仿宋" w:hAnsi="仿宋" w:eastAsia="仿宋" w:cs="仿宋"/>
          <w:b/>
          <w:sz w:val="21"/>
          <w:szCs w:val="24"/>
          <w:lang w:eastAsia="zh-Hans"/>
        </w:rPr>
        <w:t>第</w:t>
      </w:r>
      <w:r>
        <w:rPr>
          <w:rFonts w:hint="eastAsia" w:ascii="仿宋" w:hAnsi="仿宋" w:eastAsia="仿宋" w:cs="仿宋"/>
          <w:b/>
          <w:sz w:val="21"/>
          <w:szCs w:val="24"/>
        </w:rPr>
        <w:t>十</w:t>
      </w:r>
      <w:r>
        <w:rPr>
          <w:rFonts w:hint="eastAsia" w:ascii="仿宋" w:hAnsi="仿宋" w:eastAsia="仿宋" w:cs="仿宋"/>
          <w:b/>
          <w:sz w:val="21"/>
          <w:szCs w:val="24"/>
          <w:lang w:eastAsia="zh-Hans"/>
        </w:rPr>
        <w:t>条</w:t>
      </w:r>
      <w:r>
        <w:rPr>
          <w:rFonts w:hint="eastAsia" w:ascii="仿宋" w:hAnsi="仿宋" w:eastAsia="仿宋" w:cs="仿宋"/>
          <w:b/>
          <w:sz w:val="21"/>
          <w:szCs w:val="24"/>
        </w:rPr>
        <w:t xml:space="preserve"> </w:t>
      </w:r>
      <w:r>
        <w:rPr>
          <w:rFonts w:hint="eastAsia" w:ascii="仿宋" w:hAnsi="仿宋" w:eastAsia="仿宋" w:cs="仿宋"/>
          <w:b/>
          <w:sz w:val="21"/>
          <w:szCs w:val="24"/>
          <w:lang w:eastAsia="zh-Hans"/>
        </w:rPr>
        <w:t>违约责任</w:t>
      </w:r>
      <w:bookmarkEnd w:id="42"/>
      <w:bookmarkEnd w:id="43"/>
      <w:bookmarkEnd w:id="44"/>
    </w:p>
    <w:p w14:paraId="635D68E0">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1）乙方逾期交付货物的，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违约金，如乙方逾期交货达30 天，甲方有权终止合同，并向乙方主张因此给甲方造成的损失。</w:t>
      </w:r>
    </w:p>
    <w:p w14:paraId="64C989AA">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（2）乙方所交付的货物品种、型号、规格不符合合同规定的，甲方有权拒收。</w:t>
      </w:r>
    </w:p>
    <w:p w14:paraId="052FA437">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3）提供产品或产品质量不能满足采购技术要求，乙方必须无条件更换产品，如鉴定机构（第三方）认定货物质量不符合本合同规定标准的，则视为乙方没有按时交货而违约，乙方须在5天内无条件更换合格的货物，如逾期不能更换合格的货物，甲方有权终止本合同，乙方应另向甲方支付货款总额的 3%的违约金；</w:t>
      </w:r>
    </w:p>
    <w:p w14:paraId="1501400E">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4）在乙方承诺的或国家规定的质量保证期内（取两者中最长的期限），同一故障如经乙方两次维修或更换，货物仍不能达到合同约定的质量标准，甲方有权退货乙方应退回全部已收货款，同时还须赔偿甲方因此遭受的损失；</w:t>
      </w:r>
    </w:p>
    <w:p w14:paraId="738C97D1">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（5）乙方未按本合同的规定和“服务承诺”提供伴随服务/售后服务的，应按合同总价款的 3 %向甲方承担违约责任；</w:t>
      </w:r>
    </w:p>
    <w:p w14:paraId="5DC0836A">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（6）乙方在承担上述 1-6 款一项或多项违约责任后，仍应继续履行合同规定的义务（甲方解除合同的除外）。甲方未能及时追究乙方的任何一项违约责任并不表明甲方放弃追究乙方该项或其他违约责任；</w:t>
      </w:r>
    </w:p>
    <w:p w14:paraId="4427E6AD">
      <w:pPr>
        <w:spacing w:beforeLines="0" w:afterLines="0" w:line="360" w:lineRule="auto"/>
        <w:ind w:firstLine="420" w:firstLineChars="200"/>
        <w:jc w:val="left"/>
        <w:rPr>
          <w:rFonts w:hint="eastAsia" w:ascii="仿宋_GB2312" w:hAnsi="仿宋_GB2312" w:eastAsia="仿宋_GB2312" w:cs="仿宋_GB2312"/>
          <w:sz w:val="24"/>
          <w:szCs w:val="24"/>
          <w:shd w:val="clear" w:color="auto" w:fill="FFFFFF"/>
        </w:rPr>
      </w:pPr>
      <w:r>
        <w:rPr>
          <w:rFonts w:hint="eastAsia" w:ascii="仿宋" w:hAnsi="仿宋" w:eastAsia="仿宋" w:cs="仿宋"/>
          <w:sz w:val="21"/>
          <w:szCs w:val="24"/>
          <w:lang w:eastAsia="zh-Hans"/>
        </w:rPr>
        <w:t>（7）乙方偿付的违约金不足以弥补甲方损失的，还应按甲方损失尚未弥补的部分，支付赔偿金给甲方。</w:t>
      </w:r>
    </w:p>
    <w:p w14:paraId="50E8970E">
      <w:pPr>
        <w:spacing w:beforeLines="0" w:afterLines="0" w:line="360" w:lineRule="auto"/>
        <w:ind w:firstLine="422" w:firstLineChars="200"/>
        <w:jc w:val="left"/>
        <w:rPr>
          <w:rFonts w:hint="eastAsia" w:ascii="仿宋" w:hAnsi="仿宋" w:eastAsia="仿宋" w:cs="仿宋"/>
          <w:b/>
          <w:sz w:val="21"/>
          <w:szCs w:val="24"/>
          <w:lang w:eastAsia="zh-Hans"/>
        </w:rPr>
      </w:pPr>
      <w:bookmarkStart w:id="48" w:name="_Toc30761"/>
      <w:bookmarkStart w:id="49" w:name="_Toc22609"/>
      <w:bookmarkStart w:id="50" w:name="_Toc17573"/>
      <w:r>
        <w:rPr>
          <w:rFonts w:hint="eastAsia" w:ascii="仿宋" w:hAnsi="仿宋" w:eastAsia="仿宋" w:cs="仿宋"/>
          <w:b/>
          <w:sz w:val="21"/>
          <w:szCs w:val="24"/>
          <w:lang w:eastAsia="zh-Hans"/>
        </w:rPr>
        <w:t>第十</w:t>
      </w:r>
      <w:r>
        <w:rPr>
          <w:rFonts w:hint="eastAsia" w:ascii="仿宋" w:hAnsi="仿宋" w:eastAsia="仿宋" w:cs="仿宋"/>
          <w:b/>
          <w:sz w:val="21"/>
          <w:szCs w:val="24"/>
        </w:rPr>
        <w:t>一</w:t>
      </w:r>
      <w:r>
        <w:rPr>
          <w:rFonts w:hint="eastAsia" w:ascii="仿宋" w:hAnsi="仿宋" w:eastAsia="仿宋" w:cs="仿宋"/>
          <w:b/>
          <w:sz w:val="21"/>
          <w:szCs w:val="24"/>
          <w:lang w:eastAsia="zh-Hans"/>
        </w:rPr>
        <w:t>条 争议的解决</w:t>
      </w:r>
      <w:bookmarkEnd w:id="45"/>
      <w:bookmarkEnd w:id="46"/>
      <w:bookmarkEnd w:id="47"/>
      <w:bookmarkEnd w:id="48"/>
      <w:bookmarkEnd w:id="49"/>
      <w:bookmarkEnd w:id="50"/>
    </w:p>
    <w:p w14:paraId="7EEE5BA3">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（1）因货物的质量问题发生争议，由质量技术监督部门或其指定的质量鉴定机构进行质量鉴定。货物符合标准的，鉴定费由甲方承担；货物不符合质量标准的，鉴定费由乙方承担。</w:t>
      </w:r>
    </w:p>
    <w:p w14:paraId="5B30C9D0">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2）任何一方因不可抗力原因不能履行协议时，应尽快通知对方，双方均设法补偿。如仍无法约协议，可协商延缓或撤销协议，双方责任免除。本合同在履行过程中发生的争议，由甲、乙双方当事人协商解决，协商不成的按下列第②种方式解决:</w:t>
      </w:r>
    </w:p>
    <w:p w14:paraId="2146E3BF">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①提交</w:t>
      </w:r>
      <w:r>
        <w:rPr>
          <w:rFonts w:hint="eastAsia" w:ascii="仿宋" w:hAnsi="仿宋" w:eastAsia="仿宋" w:cs="仿宋"/>
          <w:sz w:val="21"/>
          <w:szCs w:val="24"/>
          <w:u w:val="single"/>
          <w:lang w:eastAsia="zh-Hans"/>
        </w:rPr>
        <w:t xml:space="preserve"> 西安市 </w:t>
      </w:r>
      <w:r>
        <w:rPr>
          <w:rFonts w:hint="eastAsia" w:ascii="仿宋" w:hAnsi="仿宋" w:eastAsia="仿宋" w:cs="仿宋"/>
          <w:sz w:val="21"/>
          <w:szCs w:val="24"/>
          <w:lang w:eastAsia="zh-Hans"/>
        </w:rPr>
        <w:t>仲裁委员会仲裁;</w:t>
      </w:r>
    </w:p>
    <w:p w14:paraId="174AF849">
      <w:pPr>
        <w:spacing w:beforeLines="0" w:afterLines="0" w:line="360" w:lineRule="auto"/>
        <w:ind w:left="420" w:leftChars="200" w:firstLine="0" w:firstLineChars="0"/>
        <w:jc w:val="left"/>
        <w:rPr>
          <w:rFonts w:hint="eastAsia" w:ascii="仿宋" w:hAnsi="仿宋" w:eastAsia="仿宋" w:cs="仿宋"/>
          <w:b/>
          <w:sz w:val="21"/>
          <w:szCs w:val="24"/>
          <w:lang w:eastAsia="zh-Hans"/>
        </w:rPr>
      </w:pPr>
      <w:r>
        <w:rPr>
          <w:rFonts w:hint="eastAsia" w:ascii="仿宋" w:hAnsi="仿宋" w:eastAsia="仿宋" w:cs="仿宋"/>
          <w:sz w:val="21"/>
          <w:szCs w:val="24"/>
          <w:lang w:eastAsia="zh-Hans"/>
        </w:rPr>
        <w:t>②依法向甲方所在地人民法院起诉。</w:t>
      </w:r>
      <w:r>
        <w:rPr>
          <w:rFonts w:hint="eastAsia" w:ascii="仿宋_GB2312" w:hAnsi="仿宋_GB2312" w:eastAsia="仿宋_GB2312" w:cs="仿宋_GB2312"/>
          <w:sz w:val="24"/>
          <w:szCs w:val="24"/>
          <w:shd w:val="clear" w:color="auto" w:fill="FFFFFF"/>
          <w:lang w:eastAsia="zh-Hans"/>
        </w:rPr>
        <w:br w:type="textWrapping"/>
      </w:r>
      <w:bookmarkStart w:id="51" w:name="_Toc14669"/>
      <w:bookmarkStart w:id="52" w:name="_Toc30233"/>
      <w:bookmarkStart w:id="53" w:name="_Toc27395"/>
      <w:bookmarkStart w:id="54" w:name="_Toc1641"/>
      <w:bookmarkStart w:id="55" w:name="_Toc20848"/>
      <w:bookmarkStart w:id="56" w:name="_Toc17938"/>
      <w:r>
        <w:rPr>
          <w:rFonts w:hint="eastAsia" w:ascii="仿宋" w:hAnsi="仿宋" w:eastAsia="仿宋" w:cs="仿宋"/>
          <w:b/>
          <w:sz w:val="21"/>
          <w:szCs w:val="24"/>
          <w:lang w:eastAsia="zh-Hans"/>
        </w:rPr>
        <w:t>第十</w:t>
      </w:r>
      <w:r>
        <w:rPr>
          <w:rFonts w:hint="eastAsia" w:ascii="仿宋" w:hAnsi="仿宋" w:eastAsia="仿宋" w:cs="仿宋"/>
          <w:b/>
          <w:sz w:val="21"/>
          <w:szCs w:val="24"/>
        </w:rPr>
        <w:t>二</w:t>
      </w:r>
      <w:r>
        <w:rPr>
          <w:rFonts w:hint="eastAsia" w:ascii="仿宋" w:hAnsi="仿宋" w:eastAsia="仿宋" w:cs="仿宋"/>
          <w:b/>
          <w:sz w:val="21"/>
          <w:szCs w:val="24"/>
          <w:lang w:eastAsia="zh-Hans"/>
        </w:rPr>
        <w:t>条 合同文件</w:t>
      </w:r>
      <w:bookmarkEnd w:id="51"/>
      <w:bookmarkEnd w:id="52"/>
      <w:bookmarkEnd w:id="53"/>
      <w:bookmarkEnd w:id="54"/>
      <w:bookmarkEnd w:id="55"/>
      <w:bookmarkEnd w:id="56"/>
    </w:p>
    <w:p w14:paraId="380EFB58">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详细技术说明及其他有关合同项目的特定信息由合同附件予以说明，下列文件构成本合同的组成部分，应该认为是一个整体，彼此相互解释，相互补充。组成合同的多个文件的优先支配地位的次序如下：</w:t>
      </w:r>
    </w:p>
    <w:p w14:paraId="50617521">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（1）本合同书</w:t>
      </w:r>
    </w:p>
    <w:p w14:paraId="0AB157E4">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（2）成交通知书</w:t>
      </w:r>
      <w:r>
        <w:rPr>
          <w:rFonts w:hint="eastAsia" w:ascii="仿宋" w:hAnsi="仿宋" w:eastAsia="仿宋" w:cs="仿宋"/>
          <w:sz w:val="21"/>
          <w:szCs w:val="24"/>
          <w:lang w:eastAsia="zh-Hans"/>
        </w:rPr>
        <w:tab/>
      </w:r>
    </w:p>
    <w:p w14:paraId="13663E2C">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（3）补充协议</w:t>
      </w:r>
    </w:p>
    <w:p w14:paraId="136DE06B">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（4）采购文件（含澄清或者修改文件）</w:t>
      </w:r>
    </w:p>
    <w:p w14:paraId="0FB672A6">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（5）响应文件</w:t>
      </w:r>
    </w:p>
    <w:p w14:paraId="1165D71B">
      <w:pPr>
        <w:spacing w:beforeLines="0" w:afterLines="0" w:line="360" w:lineRule="auto"/>
        <w:ind w:firstLine="422" w:firstLineChars="200"/>
        <w:jc w:val="left"/>
        <w:rPr>
          <w:rFonts w:hint="eastAsia" w:ascii="仿宋" w:hAnsi="仿宋" w:eastAsia="仿宋" w:cs="仿宋"/>
          <w:b/>
          <w:bCs/>
          <w:sz w:val="21"/>
          <w:szCs w:val="24"/>
          <w:lang w:eastAsia="zh-Hans"/>
        </w:rPr>
      </w:pPr>
      <w:bookmarkStart w:id="57" w:name="_Toc25476"/>
      <w:bookmarkStart w:id="58" w:name="_Toc14625"/>
      <w:bookmarkStart w:id="59" w:name="_Toc28762"/>
      <w:bookmarkStart w:id="60" w:name="_Toc4321"/>
      <w:bookmarkStart w:id="61" w:name="_Toc2436"/>
      <w:bookmarkStart w:id="62" w:name="_Toc26875"/>
      <w:bookmarkStart w:id="63" w:name="_GoBack"/>
      <w:bookmarkEnd w:id="63"/>
      <w:r>
        <w:rPr>
          <w:rFonts w:hint="eastAsia" w:ascii="仿宋" w:hAnsi="仿宋" w:eastAsia="仿宋" w:cs="仿宋"/>
          <w:b/>
          <w:bCs/>
          <w:sz w:val="21"/>
          <w:szCs w:val="24"/>
          <w:lang w:eastAsia="zh-Hans"/>
        </w:rPr>
        <w:t>第十三条 合同生效及其他</w:t>
      </w:r>
      <w:bookmarkEnd w:id="57"/>
      <w:bookmarkEnd w:id="58"/>
      <w:bookmarkEnd w:id="59"/>
      <w:bookmarkEnd w:id="60"/>
      <w:bookmarkEnd w:id="61"/>
      <w:bookmarkEnd w:id="62"/>
    </w:p>
    <w:p w14:paraId="4259CE36">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1.如有未尽事宜，由双方依法订立补充合同。</w:t>
      </w:r>
    </w:p>
    <w:p w14:paraId="7050D6D3">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2.本合同自签订之日起生效。</w:t>
      </w:r>
    </w:p>
    <w:p w14:paraId="06BA21AB">
      <w:pPr>
        <w:spacing w:beforeLines="0" w:afterLines="0" w:line="360" w:lineRule="auto"/>
        <w:ind w:firstLine="420" w:firstLineChars="200"/>
        <w:jc w:val="left"/>
        <w:rPr>
          <w:rFonts w:hint="eastAsia" w:ascii="仿宋" w:hAnsi="仿宋" w:eastAsia="仿宋" w:cs="仿宋"/>
          <w:sz w:val="21"/>
          <w:szCs w:val="24"/>
          <w:lang w:eastAsia="zh-Hans"/>
        </w:rPr>
      </w:pPr>
      <w:r>
        <w:rPr>
          <w:rFonts w:hint="eastAsia" w:ascii="仿宋" w:hAnsi="仿宋" w:eastAsia="仿宋" w:cs="仿宋"/>
          <w:sz w:val="21"/>
          <w:szCs w:val="24"/>
          <w:lang w:eastAsia="zh-Hans"/>
        </w:rPr>
        <w:t>3.本合同一式</w:t>
      </w:r>
      <w:r>
        <w:rPr>
          <w:rFonts w:hint="eastAsia" w:ascii="仿宋" w:hAnsi="仿宋" w:eastAsia="仿宋" w:cs="仿宋"/>
          <w:sz w:val="21"/>
          <w:szCs w:val="24"/>
          <w:u w:val="single"/>
          <w:lang w:eastAsia="zh-Hans"/>
        </w:rPr>
        <w:t xml:space="preserve">    </w:t>
      </w:r>
      <w:r>
        <w:rPr>
          <w:rFonts w:hint="eastAsia" w:ascii="仿宋" w:hAnsi="仿宋" w:eastAsia="仿宋" w:cs="仿宋"/>
          <w:sz w:val="21"/>
          <w:szCs w:val="24"/>
          <w:lang w:eastAsia="zh-Hans"/>
        </w:rPr>
        <w:t>份，具有同等法律效力，甲乙双方各执</w:t>
      </w:r>
      <w:r>
        <w:rPr>
          <w:rFonts w:hint="eastAsia" w:ascii="仿宋" w:hAnsi="仿宋" w:eastAsia="仿宋" w:cs="仿宋"/>
          <w:sz w:val="21"/>
          <w:szCs w:val="24"/>
          <w:u w:val="single"/>
          <w:lang w:eastAsia="zh-Hans"/>
        </w:rPr>
        <w:t xml:space="preserve">    </w:t>
      </w:r>
      <w:r>
        <w:rPr>
          <w:rFonts w:hint="eastAsia" w:ascii="仿宋" w:hAnsi="仿宋" w:eastAsia="仿宋" w:cs="仿宋"/>
          <w:sz w:val="21"/>
          <w:szCs w:val="24"/>
          <w:lang w:eastAsia="zh-Hans"/>
        </w:rPr>
        <w:t>份。</w:t>
      </w:r>
    </w:p>
    <w:p w14:paraId="46406FF3">
      <w:pPr>
        <w:adjustRightInd w:val="0"/>
        <w:snapToGrid w:val="0"/>
        <w:spacing w:beforeLines="0" w:afterLines="0" w:line="440" w:lineRule="exact"/>
        <w:ind w:firstLine="415" w:firstLineChars="198"/>
        <w:rPr>
          <w:rFonts w:hint="default" w:hAnsi="宋体"/>
          <w:sz w:val="21"/>
          <w:szCs w:val="24"/>
        </w:rPr>
      </w:pPr>
    </w:p>
    <w:p w14:paraId="7A88F2C7">
      <w:pPr>
        <w:adjustRightInd w:val="0"/>
        <w:snapToGrid w:val="0"/>
        <w:spacing w:beforeLines="0" w:afterLines="0" w:line="440" w:lineRule="exact"/>
        <w:ind w:firstLine="415" w:firstLineChars="198"/>
        <w:rPr>
          <w:rFonts w:hint="eastAsia" w:ascii="仿宋" w:hAnsi="仿宋" w:eastAsia="仿宋" w:cs="仿宋"/>
          <w:sz w:val="21"/>
          <w:szCs w:val="24"/>
          <w:u w:val="single"/>
        </w:rPr>
      </w:pPr>
      <w:r>
        <w:rPr>
          <w:rFonts w:hint="eastAsia" w:ascii="仿宋" w:hAnsi="仿宋" w:eastAsia="仿宋" w:cs="仿宋"/>
          <w:sz w:val="21"/>
          <w:szCs w:val="24"/>
        </w:rPr>
        <w:t>甲    方：</w:t>
      </w:r>
      <w:r>
        <w:rPr>
          <w:rFonts w:hint="eastAsia" w:ascii="仿宋" w:hAnsi="仿宋" w:eastAsia="仿宋" w:cs="仿宋"/>
          <w:sz w:val="21"/>
          <w:szCs w:val="24"/>
          <w:u w:val="single"/>
        </w:rPr>
        <w:t xml:space="preserve">   （盖章）     </w:t>
      </w:r>
      <w:r>
        <w:rPr>
          <w:rFonts w:hint="eastAsia" w:ascii="仿宋" w:hAnsi="仿宋" w:eastAsia="仿宋" w:cs="仿宋"/>
          <w:sz w:val="21"/>
          <w:szCs w:val="24"/>
        </w:rPr>
        <w:t xml:space="preserve">                  乙方：</w:t>
      </w:r>
      <w:r>
        <w:rPr>
          <w:rFonts w:hint="eastAsia" w:ascii="仿宋" w:hAnsi="仿宋" w:eastAsia="仿宋" w:cs="仿宋"/>
          <w:sz w:val="21"/>
          <w:szCs w:val="24"/>
          <w:u w:val="single"/>
        </w:rPr>
        <w:t xml:space="preserve">   （盖章）    </w:t>
      </w:r>
    </w:p>
    <w:p w14:paraId="0A69559F">
      <w:pPr>
        <w:adjustRightInd w:val="0"/>
        <w:snapToGrid w:val="0"/>
        <w:spacing w:beforeLines="0" w:afterLines="0" w:line="440" w:lineRule="exact"/>
        <w:ind w:firstLine="415" w:firstLineChars="198"/>
        <w:rPr>
          <w:rFonts w:hint="eastAsia" w:ascii="仿宋" w:hAnsi="仿宋" w:eastAsia="仿宋" w:cs="仿宋"/>
          <w:sz w:val="21"/>
          <w:szCs w:val="24"/>
        </w:rPr>
      </w:pPr>
      <w:r>
        <w:rPr>
          <w:rFonts w:hint="eastAsia" w:ascii="仿宋" w:hAnsi="仿宋" w:eastAsia="仿宋" w:cs="仿宋"/>
          <w:sz w:val="21"/>
          <w:szCs w:val="24"/>
        </w:rPr>
        <w:t>法定代表人或其授权                          法定代表人或其授权</w:t>
      </w:r>
    </w:p>
    <w:p w14:paraId="39517830">
      <w:pPr>
        <w:adjustRightInd w:val="0"/>
        <w:snapToGrid w:val="0"/>
        <w:spacing w:beforeLines="0" w:afterLines="0" w:line="440" w:lineRule="exact"/>
        <w:ind w:firstLine="415" w:firstLineChars="198"/>
        <w:rPr>
          <w:rFonts w:hint="eastAsia" w:ascii="仿宋" w:hAnsi="仿宋" w:eastAsia="仿宋" w:cs="仿宋"/>
          <w:sz w:val="21"/>
          <w:szCs w:val="24"/>
        </w:rPr>
      </w:pPr>
      <w:r>
        <w:rPr>
          <w:rFonts w:hint="eastAsia" w:ascii="仿宋" w:hAnsi="仿宋" w:eastAsia="仿宋" w:cs="仿宋"/>
          <w:sz w:val="21"/>
          <w:szCs w:val="24"/>
        </w:rPr>
        <w:t>的代理人：</w:t>
      </w:r>
      <w:r>
        <w:rPr>
          <w:rFonts w:hint="eastAsia" w:ascii="仿宋" w:hAnsi="仿宋" w:eastAsia="仿宋" w:cs="仿宋"/>
          <w:sz w:val="21"/>
          <w:szCs w:val="24"/>
          <w:u w:val="single"/>
        </w:rPr>
        <w:t xml:space="preserve">（签字或盖章）     </w:t>
      </w:r>
      <w:r>
        <w:rPr>
          <w:rFonts w:hint="eastAsia" w:ascii="仿宋" w:hAnsi="仿宋" w:eastAsia="仿宋" w:cs="仿宋"/>
          <w:sz w:val="21"/>
          <w:szCs w:val="24"/>
        </w:rPr>
        <w:t xml:space="preserve">               的代理人：</w:t>
      </w:r>
      <w:r>
        <w:rPr>
          <w:rFonts w:hint="eastAsia" w:ascii="仿宋" w:hAnsi="仿宋" w:eastAsia="仿宋" w:cs="仿宋"/>
          <w:sz w:val="21"/>
          <w:szCs w:val="24"/>
          <w:u w:val="single"/>
        </w:rPr>
        <w:t xml:space="preserve">（签字或盖章）        </w:t>
      </w:r>
    </w:p>
    <w:p w14:paraId="04DF41CA">
      <w:pPr>
        <w:adjustRightInd w:val="0"/>
        <w:snapToGrid w:val="0"/>
        <w:spacing w:beforeLines="0" w:afterLines="0" w:line="440" w:lineRule="exact"/>
        <w:ind w:firstLine="415" w:firstLineChars="198"/>
        <w:rPr>
          <w:rFonts w:hint="eastAsia" w:ascii="仿宋" w:hAnsi="仿宋" w:eastAsia="仿宋" w:cs="仿宋"/>
          <w:sz w:val="21"/>
          <w:szCs w:val="24"/>
        </w:rPr>
      </w:pPr>
      <w:r>
        <w:rPr>
          <w:rFonts w:hint="eastAsia" w:ascii="仿宋" w:hAnsi="仿宋" w:eastAsia="仿宋" w:cs="仿宋"/>
          <w:sz w:val="21"/>
          <w:szCs w:val="24"/>
        </w:rPr>
        <w:t xml:space="preserve">地址： </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地址： </w:t>
      </w:r>
      <w:r>
        <w:rPr>
          <w:rFonts w:hint="eastAsia" w:ascii="仿宋" w:hAnsi="仿宋" w:eastAsia="仿宋" w:cs="仿宋"/>
          <w:sz w:val="21"/>
          <w:szCs w:val="24"/>
          <w:u w:val="single"/>
        </w:rPr>
        <w:t xml:space="preserve">                      </w:t>
      </w:r>
    </w:p>
    <w:p w14:paraId="52CA1F02">
      <w:pPr>
        <w:adjustRightInd w:val="0"/>
        <w:snapToGrid w:val="0"/>
        <w:spacing w:beforeLines="0" w:afterLines="0" w:line="440" w:lineRule="exact"/>
        <w:ind w:firstLine="420" w:firstLineChars="200"/>
        <w:rPr>
          <w:rFonts w:hint="eastAsia" w:ascii="仿宋" w:hAnsi="仿宋" w:eastAsia="仿宋" w:cs="仿宋"/>
          <w:sz w:val="21"/>
          <w:szCs w:val="24"/>
        </w:rPr>
      </w:pPr>
      <w:r>
        <w:rPr>
          <w:rFonts w:hint="eastAsia" w:ascii="仿宋" w:hAnsi="仿宋" w:eastAsia="仿宋" w:cs="仿宋"/>
          <w:sz w:val="21"/>
          <w:szCs w:val="24"/>
        </w:rPr>
        <w:t xml:space="preserve">电话： </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电话： </w:t>
      </w:r>
      <w:r>
        <w:rPr>
          <w:rFonts w:hint="eastAsia" w:ascii="仿宋" w:hAnsi="仿宋" w:eastAsia="仿宋" w:cs="仿宋"/>
          <w:sz w:val="21"/>
          <w:szCs w:val="24"/>
          <w:u w:val="single"/>
        </w:rPr>
        <w:t xml:space="preserve">                      </w:t>
      </w:r>
    </w:p>
    <w:p w14:paraId="67D96C6B">
      <w:pPr>
        <w:adjustRightInd w:val="0"/>
        <w:snapToGrid w:val="0"/>
        <w:spacing w:beforeLines="0" w:afterLines="0" w:line="440" w:lineRule="exact"/>
        <w:ind w:firstLine="420" w:firstLineChars="200"/>
        <w:rPr>
          <w:rFonts w:hint="eastAsia" w:ascii="仿宋" w:hAnsi="仿宋" w:eastAsia="仿宋" w:cs="仿宋"/>
          <w:sz w:val="21"/>
          <w:szCs w:val="24"/>
        </w:rPr>
      </w:pPr>
      <w:r>
        <w:rPr>
          <w:rFonts w:hint="eastAsia" w:ascii="仿宋" w:hAnsi="仿宋" w:eastAsia="仿宋" w:cs="仿宋"/>
          <w:sz w:val="21"/>
          <w:szCs w:val="24"/>
        </w:rPr>
        <w:t>邮政编码：</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邮政编码：</w:t>
      </w:r>
      <w:r>
        <w:rPr>
          <w:rFonts w:hint="eastAsia" w:ascii="仿宋" w:hAnsi="仿宋" w:eastAsia="仿宋" w:cs="仿宋"/>
          <w:sz w:val="21"/>
          <w:szCs w:val="24"/>
          <w:u w:val="single"/>
        </w:rPr>
        <w:t xml:space="preserve">                  </w:t>
      </w:r>
    </w:p>
    <w:p w14:paraId="6BF9CE14">
      <w:pPr>
        <w:adjustRightInd w:val="0"/>
        <w:snapToGrid w:val="0"/>
        <w:spacing w:beforeLines="0" w:afterLines="0" w:line="440" w:lineRule="exact"/>
        <w:ind w:firstLine="415" w:firstLineChars="198"/>
        <w:rPr>
          <w:rFonts w:hint="eastAsia" w:ascii="仿宋" w:hAnsi="仿宋" w:eastAsia="仿宋" w:cs="仿宋"/>
          <w:sz w:val="21"/>
          <w:szCs w:val="24"/>
        </w:rPr>
      </w:pPr>
      <w:r>
        <w:rPr>
          <w:rFonts w:hint="eastAsia" w:ascii="仿宋" w:hAnsi="仿宋" w:eastAsia="仿宋" w:cs="仿宋"/>
          <w:sz w:val="21"/>
          <w:szCs w:val="24"/>
        </w:rPr>
        <w:t>开户银行：</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开户银行：</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w:t>
      </w:r>
    </w:p>
    <w:p w14:paraId="40EAEF8A">
      <w:pPr>
        <w:adjustRightInd w:val="0"/>
        <w:snapToGrid w:val="0"/>
        <w:spacing w:beforeLines="0" w:afterLines="0" w:line="440" w:lineRule="exact"/>
        <w:ind w:firstLine="415" w:firstLineChars="198"/>
        <w:rPr>
          <w:rFonts w:hint="eastAsia" w:ascii="仿宋" w:hAnsi="仿宋" w:eastAsia="仿宋" w:cs="仿宋"/>
          <w:sz w:val="21"/>
          <w:szCs w:val="24"/>
        </w:rPr>
      </w:pPr>
      <w:r>
        <w:rPr>
          <w:rFonts w:hint="eastAsia" w:ascii="仿宋" w:hAnsi="仿宋" w:eastAsia="仿宋" w:cs="仿宋"/>
          <w:sz w:val="21"/>
          <w:szCs w:val="24"/>
        </w:rPr>
        <w:t xml:space="preserve">账   号： </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账   号： </w:t>
      </w:r>
      <w:r>
        <w:rPr>
          <w:rFonts w:hint="eastAsia" w:ascii="仿宋" w:hAnsi="仿宋" w:eastAsia="仿宋" w:cs="仿宋"/>
          <w:sz w:val="21"/>
          <w:szCs w:val="24"/>
          <w:u w:val="single"/>
        </w:rPr>
        <w:t xml:space="preserve">                   </w:t>
      </w:r>
      <w:r>
        <w:rPr>
          <w:rFonts w:hint="eastAsia" w:ascii="仿宋" w:hAnsi="仿宋" w:eastAsia="仿宋" w:cs="仿宋"/>
          <w:sz w:val="21"/>
          <w:szCs w:val="24"/>
        </w:rPr>
        <w:t xml:space="preserve">                  </w:t>
      </w:r>
    </w:p>
    <w:p w14:paraId="63D7BCDD">
      <w:pPr>
        <w:adjustRightInd w:val="0"/>
        <w:snapToGrid w:val="0"/>
        <w:spacing w:beforeLines="0" w:afterLines="0" w:line="440" w:lineRule="exact"/>
        <w:ind w:firstLine="415" w:firstLineChars="198"/>
        <w:rPr>
          <w:rFonts w:hint="default" w:ascii="仿宋" w:hAnsi="仿宋" w:eastAsia="仿宋" w:cs="仿宋"/>
          <w:sz w:val="21"/>
          <w:szCs w:val="24"/>
          <w:lang w:val="en-US" w:eastAsia="zh-CN"/>
        </w:rPr>
      </w:pPr>
      <w:r>
        <w:rPr>
          <w:rFonts w:hint="eastAsia" w:ascii="仿宋" w:hAnsi="仿宋" w:eastAsia="仿宋" w:cs="仿宋"/>
          <w:sz w:val="21"/>
          <w:szCs w:val="24"/>
          <w:lang w:eastAsia="zh-CN"/>
        </w:rPr>
        <w:t>日</w:t>
      </w:r>
      <w:r>
        <w:rPr>
          <w:rFonts w:hint="eastAsia" w:ascii="仿宋" w:hAnsi="仿宋" w:eastAsia="仿宋" w:cs="仿宋"/>
          <w:sz w:val="21"/>
          <w:szCs w:val="24"/>
          <w:lang w:val="en-US" w:eastAsia="zh-CN"/>
        </w:rPr>
        <w:t xml:space="preserve">   </w:t>
      </w:r>
      <w:r>
        <w:rPr>
          <w:rFonts w:hint="eastAsia" w:ascii="仿宋" w:hAnsi="仿宋" w:eastAsia="仿宋" w:cs="仿宋"/>
          <w:sz w:val="21"/>
          <w:szCs w:val="24"/>
          <w:lang w:eastAsia="zh-CN"/>
        </w:rPr>
        <w:t>期：</w:t>
      </w:r>
      <w:r>
        <w:rPr>
          <w:rFonts w:hint="eastAsia" w:ascii="仿宋" w:hAnsi="仿宋" w:eastAsia="仿宋" w:cs="仿宋"/>
          <w:sz w:val="21"/>
          <w:szCs w:val="24"/>
          <w:u w:val="single"/>
          <w:lang w:val="en-US" w:eastAsia="zh-CN"/>
        </w:rPr>
        <w:t xml:space="preserve">     </w:t>
      </w:r>
      <w:r>
        <w:rPr>
          <w:rFonts w:hint="eastAsia" w:ascii="仿宋" w:hAnsi="仿宋" w:eastAsia="仿宋" w:cs="仿宋"/>
          <w:sz w:val="21"/>
          <w:szCs w:val="24"/>
          <w:lang w:val="en-US" w:eastAsia="zh-CN"/>
        </w:rPr>
        <w:t>年</w:t>
      </w:r>
      <w:r>
        <w:rPr>
          <w:rFonts w:hint="eastAsia" w:ascii="仿宋" w:hAnsi="仿宋" w:eastAsia="仿宋" w:cs="仿宋"/>
          <w:sz w:val="21"/>
          <w:szCs w:val="24"/>
          <w:u w:val="single"/>
          <w:lang w:val="en-US" w:eastAsia="zh-CN"/>
        </w:rPr>
        <w:t xml:space="preserve">    </w:t>
      </w:r>
      <w:r>
        <w:rPr>
          <w:rFonts w:hint="eastAsia" w:ascii="仿宋" w:hAnsi="仿宋" w:eastAsia="仿宋" w:cs="仿宋"/>
          <w:sz w:val="21"/>
          <w:szCs w:val="24"/>
          <w:lang w:val="en-US" w:eastAsia="zh-CN"/>
        </w:rPr>
        <w:t>月</w:t>
      </w:r>
      <w:r>
        <w:rPr>
          <w:rFonts w:hint="eastAsia" w:ascii="仿宋" w:hAnsi="仿宋" w:eastAsia="仿宋" w:cs="仿宋"/>
          <w:sz w:val="21"/>
          <w:szCs w:val="24"/>
          <w:u w:val="single"/>
          <w:lang w:val="en-US" w:eastAsia="zh-CN"/>
        </w:rPr>
        <w:t xml:space="preserve">    </w:t>
      </w:r>
      <w:r>
        <w:rPr>
          <w:rFonts w:hint="eastAsia" w:ascii="仿宋" w:hAnsi="仿宋" w:eastAsia="仿宋" w:cs="仿宋"/>
          <w:sz w:val="21"/>
          <w:szCs w:val="24"/>
          <w:lang w:val="en-US" w:eastAsia="zh-CN"/>
        </w:rPr>
        <w:t xml:space="preserve">日                </w:t>
      </w:r>
      <w:r>
        <w:rPr>
          <w:rFonts w:hint="eastAsia" w:ascii="仿宋" w:hAnsi="仿宋" w:eastAsia="仿宋" w:cs="仿宋"/>
          <w:sz w:val="21"/>
          <w:szCs w:val="24"/>
          <w:lang w:eastAsia="zh-CN"/>
        </w:rPr>
        <w:t>日</w:t>
      </w:r>
      <w:r>
        <w:rPr>
          <w:rFonts w:hint="eastAsia" w:ascii="仿宋" w:hAnsi="仿宋" w:eastAsia="仿宋" w:cs="仿宋"/>
          <w:sz w:val="21"/>
          <w:szCs w:val="24"/>
          <w:lang w:val="en-US" w:eastAsia="zh-CN"/>
        </w:rPr>
        <w:t xml:space="preserve">   </w:t>
      </w:r>
      <w:r>
        <w:rPr>
          <w:rFonts w:hint="eastAsia" w:ascii="仿宋" w:hAnsi="仿宋" w:eastAsia="仿宋" w:cs="仿宋"/>
          <w:sz w:val="21"/>
          <w:szCs w:val="24"/>
          <w:lang w:eastAsia="zh-CN"/>
        </w:rPr>
        <w:t>期：</w:t>
      </w:r>
      <w:r>
        <w:rPr>
          <w:rFonts w:hint="eastAsia" w:ascii="仿宋" w:hAnsi="仿宋" w:eastAsia="仿宋" w:cs="仿宋"/>
          <w:sz w:val="21"/>
          <w:szCs w:val="24"/>
          <w:u w:val="single"/>
          <w:lang w:val="en-US" w:eastAsia="zh-CN"/>
        </w:rPr>
        <w:t xml:space="preserve">     </w:t>
      </w:r>
      <w:r>
        <w:rPr>
          <w:rFonts w:hint="eastAsia" w:ascii="仿宋" w:hAnsi="仿宋" w:eastAsia="仿宋" w:cs="仿宋"/>
          <w:sz w:val="21"/>
          <w:szCs w:val="24"/>
          <w:lang w:val="en-US" w:eastAsia="zh-CN"/>
        </w:rPr>
        <w:t>年</w:t>
      </w:r>
      <w:r>
        <w:rPr>
          <w:rFonts w:hint="eastAsia" w:ascii="仿宋" w:hAnsi="仿宋" w:eastAsia="仿宋" w:cs="仿宋"/>
          <w:sz w:val="21"/>
          <w:szCs w:val="24"/>
          <w:u w:val="single"/>
          <w:lang w:val="en-US" w:eastAsia="zh-CN"/>
        </w:rPr>
        <w:t xml:space="preserve">    </w:t>
      </w:r>
      <w:r>
        <w:rPr>
          <w:rFonts w:hint="eastAsia" w:ascii="仿宋" w:hAnsi="仿宋" w:eastAsia="仿宋" w:cs="仿宋"/>
          <w:sz w:val="21"/>
          <w:szCs w:val="24"/>
          <w:lang w:val="en-US" w:eastAsia="zh-CN"/>
        </w:rPr>
        <w:t>月</w:t>
      </w:r>
      <w:r>
        <w:rPr>
          <w:rFonts w:hint="eastAsia" w:ascii="仿宋" w:hAnsi="仿宋" w:eastAsia="仿宋" w:cs="仿宋"/>
          <w:sz w:val="21"/>
          <w:szCs w:val="24"/>
          <w:u w:val="single"/>
          <w:lang w:val="en-US" w:eastAsia="zh-CN"/>
        </w:rPr>
        <w:t xml:space="preserve">    </w:t>
      </w:r>
      <w:r>
        <w:rPr>
          <w:rFonts w:hint="eastAsia" w:ascii="仿宋" w:hAnsi="仿宋" w:eastAsia="仿宋" w:cs="仿宋"/>
          <w:sz w:val="21"/>
          <w:szCs w:val="24"/>
          <w:lang w:val="en-US" w:eastAsia="zh-CN"/>
        </w:rPr>
        <w:t>日</w:t>
      </w:r>
    </w:p>
    <w:p w14:paraId="2BF8FA61">
      <w:pPr>
        <w:adjustRightInd w:val="0"/>
        <w:snapToGrid w:val="0"/>
        <w:spacing w:beforeLines="0" w:afterLines="0" w:line="440" w:lineRule="exact"/>
        <w:ind w:firstLine="415" w:firstLineChars="198"/>
        <w:rPr>
          <w:rFonts w:hint="default" w:ascii="仿宋" w:hAnsi="仿宋" w:eastAsia="仿宋" w:cs="仿宋"/>
          <w:sz w:val="21"/>
          <w:szCs w:val="24"/>
          <w:lang w:val="en-US" w:eastAsia="zh-CN"/>
        </w:rPr>
      </w:pPr>
    </w:p>
    <w:p w14:paraId="45E09959">
      <w:pPr>
        <w:adjustRightInd w:val="0"/>
        <w:snapToGrid w:val="0"/>
        <w:spacing w:beforeLines="0" w:afterLines="0" w:line="440" w:lineRule="exact"/>
        <w:ind w:firstLine="415" w:firstLineChars="198"/>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 xml:space="preserve"> </w:t>
      </w:r>
    </w:p>
    <w:p w14:paraId="10F149DE">
      <w:pPr>
        <w:pStyle w:val="5"/>
        <w:spacing w:beforeLines="0" w:afterLines="0"/>
        <w:rPr>
          <w:rFonts w:hint="eastAsia" w:ascii="仿宋_GB2312" w:hAnsi="仿宋_GB2312" w:eastAsia="仿宋_GB2312" w:cs="仿宋_GB2312"/>
          <w:sz w:val="20"/>
          <w:szCs w:val="24"/>
        </w:rPr>
      </w:pPr>
    </w:p>
    <w:p w14:paraId="4378C776">
      <w:pPr>
        <w:jc w:val="left"/>
        <w:rPr>
          <w:rFonts w:hint="default"/>
          <w:sz w:val="21"/>
          <w:szCs w:val="24"/>
        </w:rPr>
      </w:pPr>
    </w:p>
    <w:p w14:paraId="08A6C567"/>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9D1341"/>
    <w:rsid w:val="27B5073C"/>
    <w:rsid w:val="361110AC"/>
    <w:rsid w:val="6393538E"/>
    <w:rsid w:val="6C9D1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uiPriority w:val="0"/>
    <w:pPr>
      <w:spacing w:beforeLines="0" w:afterLines="0"/>
      <w:jc w:val="both"/>
    </w:pPr>
    <w:rPr>
      <w:rFonts w:hint="default" w:ascii="Times New Roman" w:hAnsi="Times New Roman" w:eastAsia="宋体" w:cs="Times New Roman"/>
      <w:kern w:val="2"/>
      <w:sz w:val="21"/>
      <w:szCs w:val="2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customStyle="1" w:styleId="5">
    <w:name w:val="null3"/>
    <w:unhideWhenUsed/>
    <w:qFormat/>
    <w:uiPriority w:val="0"/>
    <w:pPr>
      <w:spacing w:beforeLines="0" w:afterLines="0"/>
    </w:pPr>
    <w:rPr>
      <w:rFonts w:hint="eastAsia" w:ascii="Calibri" w:hAnsi="Calibri" w:eastAsia="宋体" w:cs="Times New Roman"/>
      <w:sz w:val="24"/>
      <w:szCs w:val="24"/>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3086</Words>
  <Characters>3125</Characters>
  <Lines>0</Lines>
  <Paragraphs>0</Paragraphs>
  <TotalTime>1</TotalTime>
  <ScaleCrop>false</ScaleCrop>
  <LinksUpToDate>false</LinksUpToDate>
  <CharactersWithSpaces>3633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2026-05-23T02:43:00Z</dcterms:created>
  <dc:creator>纪</dc:creator>
  <cp:lastModifiedBy>冰糖葫芦</cp:lastModifiedBy>
  <dcterms:modified xsi:type="dcterms:W3CDTF">2026-08-02T04:36:07Z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11E25B76B76944E5B27F27C53E6F1194_11</vt:lpwstr>
  </property>
  <property fmtid="{D5CDD505-2E9C-101B-9397-08002B2CF9AE}" pid="4" name="KSOTemplateDocerSaveRecord">
    <vt:lpwstr>eyJoZGlkIjoiODRiZDEyMDhjMjUxMDgxNmU3MTJiN2RlMzg0NDRiOTIiLCJ1c2VySWQiOiIzMDQyMTIwMzAifQ==</vt:lpwstr>
  </property>
</Properties>
</file>