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版本号：HYTF-20260604020260612001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地质公园全面调查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HYTF-202606040</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地质公园全面调查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HYTF-202606040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地质公园全面调查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地质公园全面调查，1项。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采购包1（地质公园全面调查）：属于专门面向中小企业采购。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2025年12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4、社保缴纳证明：提供2025年12月至今已缴存任意一个月社会保障资金缴存单据或社保机构开具的社会保险参保缴费证明，依法不需要缴纳社会保障资金的单位应提供相应证明文件；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长安区关中环线S107与子午大道十字向西850米路北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029-84266178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联系电话：029-89284433-604</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地质公园全面调查，1项。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地质公园全面调查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标的名称：地质公园全面调查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一、项目采购内容：</w:t>
            </w:r>
          </w:p>
          <w:p>
            <w:pPr>
              <w:pStyle w:val="null3"/>
              <w:ind w:firstLine="480"/>
              <w:jc w:val="both"/>
            </w:pPr>
            <w:r>
              <w:rPr>
                <w:rFonts w:ascii="仿宋_GB2312" w:hAnsi="仿宋_GB2312" w:cs="仿宋_GB2312" w:eastAsia="仿宋_GB2312"/>
                <w:sz w:val="24"/>
              </w:rPr>
              <w:t>通过系统的资源调查和评价，查明公园地质遗迹、动植物及其它自然资源、人文资源分布、特征、类型、保存状况、保护现状、开发利用条件，分析其成因、演化过程，评述其科学价值、观赏价值、科普教育价值和旅游开发价值，为秦岭终南山世界地质公园资源保护、旅游开发利用、科普展示提供基础支撑和科学决策依据。</w:t>
            </w:r>
          </w:p>
          <w:p>
            <w:pPr>
              <w:pStyle w:val="null3"/>
              <w:ind w:firstLine="482"/>
              <w:jc w:val="both"/>
            </w:pPr>
            <w:r>
              <w:rPr>
                <w:rFonts w:ascii="仿宋_GB2312" w:hAnsi="仿宋_GB2312" w:cs="仿宋_GB2312" w:eastAsia="仿宋_GB2312"/>
                <w:sz w:val="24"/>
                <w:b/>
              </w:rPr>
              <w:t>二、项目周期：</w:t>
            </w:r>
          </w:p>
          <w:p>
            <w:pPr>
              <w:pStyle w:val="null3"/>
              <w:ind w:firstLine="480"/>
              <w:jc w:val="both"/>
            </w:pPr>
            <w:r>
              <w:rPr>
                <w:rFonts w:ascii="仿宋_GB2312" w:hAnsi="仿宋_GB2312" w:cs="仿宋_GB2312" w:eastAsia="仿宋_GB2312"/>
                <w:sz w:val="24"/>
              </w:rPr>
              <w:t>要求于</w:t>
            </w:r>
            <w:r>
              <w:rPr>
                <w:rFonts w:ascii="仿宋_GB2312" w:hAnsi="仿宋_GB2312" w:cs="仿宋_GB2312" w:eastAsia="仿宋_GB2312"/>
                <w:sz w:val="24"/>
              </w:rPr>
              <w:t>2026年</w:t>
            </w:r>
            <w:r>
              <w:rPr>
                <w:rFonts w:ascii="仿宋_GB2312" w:hAnsi="仿宋_GB2312" w:cs="仿宋_GB2312" w:eastAsia="仿宋_GB2312"/>
                <w:sz w:val="24"/>
              </w:rPr>
              <w:t>9</w:t>
            </w:r>
            <w:r>
              <w:rPr>
                <w:rFonts w:ascii="仿宋_GB2312" w:hAnsi="仿宋_GB2312" w:cs="仿宋_GB2312" w:eastAsia="仿宋_GB2312"/>
                <w:sz w:val="24"/>
              </w:rPr>
              <w:t>月底前完成全部调查及成果提交工作（含报告编制、图件制作、数据整理等）。</w:t>
            </w:r>
          </w:p>
          <w:p>
            <w:pPr>
              <w:pStyle w:val="null3"/>
              <w:ind w:firstLine="482"/>
              <w:jc w:val="both"/>
            </w:pPr>
            <w:r>
              <w:rPr>
                <w:rFonts w:ascii="仿宋_GB2312" w:hAnsi="仿宋_GB2312" w:cs="仿宋_GB2312" w:eastAsia="仿宋_GB2312"/>
                <w:sz w:val="24"/>
                <w:b/>
              </w:rPr>
              <w:t>三、项目采购要求：</w:t>
            </w:r>
          </w:p>
          <w:p>
            <w:pPr>
              <w:pStyle w:val="null3"/>
              <w:ind w:firstLine="482"/>
              <w:jc w:val="both"/>
            </w:pPr>
            <w:r>
              <w:rPr>
                <w:rFonts w:ascii="仿宋_GB2312" w:hAnsi="仿宋_GB2312" w:cs="仿宋_GB2312" w:eastAsia="仿宋_GB2312"/>
                <w:sz w:val="24"/>
                <w:b/>
              </w:rPr>
              <w:t>（一）、资源调查总体要求</w:t>
            </w:r>
          </w:p>
          <w:p>
            <w:pPr>
              <w:pStyle w:val="null3"/>
              <w:ind w:firstLine="480"/>
              <w:jc w:val="both"/>
            </w:pPr>
            <w:r>
              <w:rPr>
                <w:rFonts w:ascii="仿宋_GB2312" w:hAnsi="仿宋_GB2312" w:cs="仿宋_GB2312" w:eastAsia="仿宋_GB2312"/>
                <w:sz w:val="24"/>
              </w:rPr>
              <w:t>对秦岭终南山世界地质公园2760平方公里范围内组织开展全面资源调查，包括：</w:t>
            </w:r>
          </w:p>
          <w:p>
            <w:pPr>
              <w:pStyle w:val="null3"/>
              <w:ind w:firstLine="480"/>
              <w:jc w:val="both"/>
            </w:pPr>
            <w:r>
              <w:rPr>
                <w:rFonts w:ascii="仿宋_GB2312" w:hAnsi="仿宋_GB2312" w:cs="仿宋_GB2312" w:eastAsia="仿宋_GB2312"/>
                <w:sz w:val="24"/>
              </w:rPr>
              <w:t>1.地质遗迹调查严格按照《地质遗迹调查评价规范（2025年版）》执行。动植物及其他自然资源、人文资源调查参照国家或行业相关规范（如生物多样性调查规范、人文资源调查指南等）执行，确保数据科学性、可比性。</w:t>
            </w:r>
          </w:p>
          <w:p>
            <w:pPr>
              <w:pStyle w:val="null3"/>
              <w:ind w:firstLine="480"/>
              <w:jc w:val="both"/>
            </w:pPr>
            <w:r>
              <w:rPr>
                <w:rFonts w:ascii="仿宋_GB2312" w:hAnsi="仿宋_GB2312" w:cs="仿宋_GB2312" w:eastAsia="仿宋_GB2312"/>
                <w:sz w:val="24"/>
              </w:rPr>
              <w:t>2.最终资源总数量以实际调查为准，重要价值的资源不得遗漏。其中地质遗迹点数量不低于100个；其他资源数量无下限要求，但应完整记录调查到的所有具有保护或开发价值的对象。</w:t>
            </w:r>
          </w:p>
          <w:p>
            <w:pPr>
              <w:pStyle w:val="null3"/>
              <w:ind w:firstLine="480"/>
              <w:jc w:val="both"/>
            </w:pPr>
            <w:r>
              <w:rPr>
                <w:rFonts w:ascii="仿宋_GB2312" w:hAnsi="仿宋_GB2312" w:cs="仿宋_GB2312" w:eastAsia="仿宋_GB2312"/>
                <w:sz w:val="24"/>
              </w:rPr>
              <w:t>3.收集公园范围内相关基础地质、自然、人文等资料，建立公园基础信息资料。</w:t>
            </w:r>
          </w:p>
          <w:p>
            <w:pPr>
              <w:pStyle w:val="null3"/>
              <w:ind w:firstLine="482"/>
              <w:jc w:val="both"/>
            </w:pPr>
            <w:r>
              <w:rPr>
                <w:rFonts w:ascii="仿宋_GB2312" w:hAnsi="仿宋_GB2312" w:cs="仿宋_GB2312" w:eastAsia="仿宋_GB2312"/>
                <w:sz w:val="24"/>
                <w:b/>
              </w:rPr>
              <w:t>（二）、调查卡片与信息采集表</w:t>
            </w:r>
          </w:p>
          <w:p>
            <w:pPr>
              <w:pStyle w:val="null3"/>
              <w:ind w:firstLine="480"/>
              <w:jc w:val="both"/>
            </w:pPr>
            <w:r>
              <w:rPr>
                <w:rFonts w:ascii="仿宋_GB2312" w:hAnsi="仿宋_GB2312" w:cs="仿宋_GB2312" w:eastAsia="仿宋_GB2312"/>
                <w:sz w:val="24"/>
              </w:rPr>
              <w:t>1.地质遗迹点：按《地质遗迹调查评价规范（2025年版）》填写地质遗迹点信息采集表，数量以实际调查为准，不低于100份。</w:t>
            </w:r>
          </w:p>
          <w:p>
            <w:pPr>
              <w:pStyle w:val="null3"/>
              <w:ind w:firstLine="480"/>
              <w:jc w:val="both"/>
            </w:pPr>
            <w:r>
              <w:rPr>
                <w:rFonts w:ascii="仿宋_GB2312" w:hAnsi="仿宋_GB2312" w:cs="仿宋_GB2312" w:eastAsia="仿宋_GB2312"/>
                <w:sz w:val="24"/>
              </w:rPr>
              <w:t>2.自然资源：填写自然资源调查卡片，内容包括名称、位置、种类、分布、数量、特征或覆盖度、生境、保护现状等，确保资料完整。</w:t>
            </w:r>
          </w:p>
          <w:p>
            <w:pPr>
              <w:pStyle w:val="null3"/>
              <w:ind w:firstLine="480"/>
              <w:jc w:val="both"/>
            </w:pPr>
            <w:r>
              <w:rPr>
                <w:rFonts w:ascii="仿宋_GB2312" w:hAnsi="仿宋_GB2312" w:cs="仿宋_GB2312" w:eastAsia="仿宋_GB2312"/>
                <w:sz w:val="24"/>
              </w:rPr>
              <w:t>3.人文资源：填写人文资源调查卡片，内容包括名称、位置、年代、类型、特征、保存状况、文化价值等，确保资料完整。</w:t>
            </w:r>
          </w:p>
          <w:p>
            <w:pPr>
              <w:pStyle w:val="null3"/>
              <w:ind w:firstLine="480"/>
              <w:jc w:val="both"/>
            </w:pPr>
            <w:r>
              <w:rPr>
                <w:rFonts w:ascii="仿宋_GB2312" w:hAnsi="仿宋_GB2312" w:cs="仿宋_GB2312" w:eastAsia="仿宋_GB2312"/>
                <w:sz w:val="24"/>
              </w:rPr>
              <w:t>4.所有原始调查卡片、信息采集表均须提交纸质及电子版。</w:t>
            </w:r>
          </w:p>
          <w:p>
            <w:pPr>
              <w:pStyle w:val="null3"/>
              <w:ind w:firstLine="482"/>
              <w:jc w:val="both"/>
            </w:pPr>
            <w:r>
              <w:rPr>
                <w:rFonts w:ascii="仿宋_GB2312" w:hAnsi="仿宋_GB2312" w:cs="仿宋_GB2312" w:eastAsia="仿宋_GB2312"/>
                <w:sz w:val="24"/>
                <w:b/>
              </w:rPr>
              <w:t>（三）、图件成果（均须提交矢量数据）</w:t>
            </w:r>
          </w:p>
          <w:p>
            <w:pPr>
              <w:pStyle w:val="null3"/>
              <w:ind w:firstLine="480"/>
              <w:jc w:val="both"/>
            </w:pPr>
            <w:r>
              <w:rPr>
                <w:rFonts w:ascii="仿宋_GB2312" w:hAnsi="仿宋_GB2312" w:cs="仿宋_GB2312" w:eastAsia="仿宋_GB2312"/>
                <w:sz w:val="24"/>
              </w:rPr>
              <w:t>1.实际材料图1张（反映调查路线、样点、采样位置等）</w:t>
            </w:r>
          </w:p>
          <w:p>
            <w:pPr>
              <w:pStyle w:val="null3"/>
              <w:ind w:firstLine="480"/>
              <w:jc w:val="both"/>
            </w:pPr>
            <w:r>
              <w:rPr>
                <w:rFonts w:ascii="仿宋_GB2312" w:hAnsi="仿宋_GB2312" w:cs="仿宋_GB2312" w:eastAsia="仿宋_GB2312"/>
                <w:sz w:val="24"/>
              </w:rPr>
              <w:t>2.地质遗迹及自然人文景观资源图1张（综合反映地质遗迹、自然人文资源分布）</w:t>
            </w:r>
          </w:p>
          <w:p>
            <w:pPr>
              <w:pStyle w:val="null3"/>
              <w:ind w:firstLine="480"/>
              <w:jc w:val="both"/>
            </w:pPr>
            <w:r>
              <w:rPr>
                <w:rFonts w:ascii="仿宋_GB2312" w:hAnsi="仿宋_GB2312" w:cs="仿宋_GB2312" w:eastAsia="仿宋_GB2312"/>
                <w:sz w:val="24"/>
              </w:rPr>
              <w:t>3.地质遗迹自然区划图1张（按规范编制，仅针对地质遗迹）</w:t>
            </w:r>
          </w:p>
          <w:p>
            <w:pPr>
              <w:pStyle w:val="null3"/>
              <w:ind w:firstLine="480"/>
              <w:jc w:val="both"/>
            </w:pPr>
            <w:r>
              <w:rPr>
                <w:rFonts w:ascii="仿宋_GB2312" w:hAnsi="仿宋_GB2312" w:cs="仿宋_GB2312" w:eastAsia="仿宋_GB2312"/>
                <w:sz w:val="24"/>
              </w:rPr>
              <w:t>4.地质遗迹保护规划建议图1张（按规范编制，仅针对地质遗迹）</w:t>
            </w:r>
          </w:p>
          <w:p>
            <w:pPr>
              <w:pStyle w:val="null3"/>
              <w:ind w:firstLine="480"/>
              <w:jc w:val="both"/>
            </w:pPr>
            <w:r>
              <w:rPr>
                <w:rFonts w:ascii="仿宋_GB2312" w:hAnsi="仿宋_GB2312" w:cs="仿宋_GB2312" w:eastAsia="仿宋_GB2312"/>
                <w:sz w:val="24"/>
              </w:rPr>
              <w:t>说明：自然人文资源的保护建议可在综合报告或相应专题图中体现，不单独要求此类区划图。</w:t>
            </w:r>
          </w:p>
          <w:p>
            <w:pPr>
              <w:pStyle w:val="null3"/>
              <w:ind w:firstLine="482"/>
              <w:jc w:val="both"/>
            </w:pPr>
            <w:r>
              <w:rPr>
                <w:rFonts w:ascii="仿宋_GB2312" w:hAnsi="仿宋_GB2312" w:cs="仿宋_GB2312" w:eastAsia="仿宋_GB2312"/>
                <w:sz w:val="24"/>
                <w:b/>
              </w:rPr>
              <w:t>（四）、报告成果</w:t>
            </w:r>
          </w:p>
          <w:p>
            <w:pPr>
              <w:pStyle w:val="null3"/>
              <w:ind w:firstLine="480"/>
              <w:jc w:val="both"/>
            </w:pPr>
            <w:r>
              <w:rPr>
                <w:rFonts w:ascii="仿宋_GB2312" w:hAnsi="仿宋_GB2312" w:cs="仿宋_GB2312" w:eastAsia="仿宋_GB2312"/>
                <w:sz w:val="24"/>
              </w:rPr>
              <w:t>1.野外总结报告1套（简明扼要，重点记录野外工作过程、方法、初步认识，涵盖所有资源类型）</w:t>
            </w:r>
          </w:p>
          <w:p>
            <w:pPr>
              <w:pStyle w:val="null3"/>
              <w:ind w:firstLine="480"/>
              <w:jc w:val="both"/>
            </w:pPr>
            <w:r>
              <w:rPr>
                <w:rFonts w:ascii="仿宋_GB2312" w:hAnsi="仿宋_GB2312" w:cs="仿宋_GB2312" w:eastAsia="仿宋_GB2312"/>
                <w:sz w:val="24"/>
              </w:rPr>
              <w:t>2.地质遗迹调查报告1套（严格参照《地质遗迹调查评价规范（2025年版）》编制，内容应包括调查方法、地质遗迹分类、特征描述、评价分析等）</w:t>
            </w:r>
          </w:p>
          <w:p>
            <w:pPr>
              <w:pStyle w:val="null3"/>
              <w:ind w:firstLine="482"/>
              <w:jc w:val="both"/>
            </w:pPr>
            <w:r>
              <w:rPr>
                <w:rFonts w:ascii="仿宋_GB2312" w:hAnsi="仿宋_GB2312" w:cs="仿宋_GB2312" w:eastAsia="仿宋_GB2312"/>
                <w:sz w:val="24"/>
                <w:b/>
              </w:rPr>
              <w:t>（五）、扩园申请专项成果</w:t>
            </w:r>
          </w:p>
          <w:p>
            <w:pPr>
              <w:pStyle w:val="null3"/>
              <w:ind w:firstLine="480"/>
              <w:jc w:val="both"/>
            </w:pPr>
            <w:r>
              <w:rPr>
                <w:rFonts w:ascii="仿宋_GB2312" w:hAnsi="仿宋_GB2312" w:cs="仿宋_GB2312" w:eastAsia="仿宋_GB2312"/>
                <w:sz w:val="24"/>
              </w:rPr>
              <w:t>按国际通用地质遗迹分类标准梳理一套完整的公园地质遗迹分类方案及清单，用于扩园申请报告。</w:t>
            </w:r>
          </w:p>
          <w:p>
            <w:pPr>
              <w:pStyle w:val="null3"/>
              <w:ind w:firstLine="482"/>
              <w:jc w:val="both"/>
            </w:pPr>
            <w:r>
              <w:rPr>
                <w:rFonts w:ascii="仿宋_GB2312" w:hAnsi="仿宋_GB2312" w:cs="仿宋_GB2312" w:eastAsia="仿宋_GB2312"/>
                <w:sz w:val="24"/>
                <w:b/>
              </w:rPr>
              <w:t>（六）、数据提交要求</w:t>
            </w:r>
          </w:p>
          <w:p>
            <w:pPr>
              <w:pStyle w:val="null3"/>
              <w:ind w:firstLine="480"/>
              <w:jc w:val="both"/>
            </w:pPr>
            <w:r>
              <w:rPr>
                <w:rFonts w:ascii="仿宋_GB2312" w:hAnsi="仿宋_GB2312" w:cs="仿宋_GB2312" w:eastAsia="仿宋_GB2312"/>
                <w:sz w:val="24"/>
              </w:rPr>
              <w:t>全部成果（包括但不限于以下内容）须向甲方提交矢量数据、原始调查数据、成果研究矢量数据：</w:t>
            </w:r>
          </w:p>
          <w:p>
            <w:pPr>
              <w:pStyle w:val="null3"/>
              <w:numPr>
                <w:ilvl w:val="0"/>
                <w:numId w:val="1"/>
              </w:numPr>
              <w:ind w:left="465"/>
              <w:jc w:val="both"/>
            </w:pPr>
            <w:r>
              <w:rPr>
                <w:rFonts w:ascii="仿宋_GB2312" w:hAnsi="仿宋_GB2312" w:cs="仿宋_GB2312" w:eastAsia="仿宋_GB2312"/>
                <w:sz w:val="24"/>
              </w:rPr>
              <w:t>所有图件的矢量文件</w:t>
            </w:r>
          </w:p>
          <w:p>
            <w:pPr>
              <w:pStyle w:val="null3"/>
              <w:numPr>
                <w:ilvl w:val="0"/>
                <w:numId w:val="1"/>
              </w:numPr>
              <w:ind w:left="465"/>
              <w:jc w:val="both"/>
            </w:pPr>
            <w:r>
              <w:rPr>
                <w:rFonts w:ascii="仿宋_GB2312" w:hAnsi="仿宋_GB2312" w:cs="仿宋_GB2312" w:eastAsia="仿宋_GB2312"/>
                <w:sz w:val="24"/>
              </w:rPr>
              <w:t>地质遗迹点信息采集表、自然资源调查卡片、人文资源调查卡片的原始扫描件及结构化数据</w:t>
            </w:r>
          </w:p>
          <w:p>
            <w:pPr>
              <w:pStyle w:val="null3"/>
              <w:numPr>
                <w:ilvl w:val="0"/>
                <w:numId w:val="1"/>
              </w:numPr>
              <w:ind w:left="465"/>
              <w:jc w:val="both"/>
            </w:pPr>
            <w:r>
              <w:rPr>
                <w:rFonts w:ascii="仿宋_GB2312" w:hAnsi="仿宋_GB2312" w:cs="仿宋_GB2312" w:eastAsia="仿宋_GB2312"/>
                <w:sz w:val="24"/>
              </w:rPr>
              <w:t>自然人文资源调查记录</w:t>
            </w:r>
          </w:p>
          <w:p>
            <w:pPr>
              <w:pStyle w:val="null3"/>
              <w:numPr>
                <w:ilvl w:val="0"/>
                <w:numId w:val="1"/>
              </w:numPr>
              <w:ind w:left="465"/>
              <w:jc w:val="both"/>
            </w:pPr>
            <w:r>
              <w:rPr>
                <w:rFonts w:ascii="仿宋_GB2312" w:hAnsi="仿宋_GB2312" w:cs="仿宋_GB2312" w:eastAsia="仿宋_GB2312"/>
                <w:sz w:val="24"/>
              </w:rPr>
              <w:t>报告电子版</w:t>
            </w:r>
          </w:p>
          <w:p>
            <w:pPr>
              <w:pStyle w:val="null3"/>
              <w:numPr>
                <w:ilvl w:val="0"/>
                <w:numId w:val="1"/>
              </w:numPr>
              <w:ind w:left="465"/>
              <w:jc w:val="both"/>
            </w:pPr>
            <w:r>
              <w:rPr>
                <w:rFonts w:ascii="仿宋_GB2312" w:hAnsi="仿宋_GB2312" w:cs="仿宋_GB2312" w:eastAsia="仿宋_GB2312"/>
                <w:sz w:val="24"/>
              </w:rPr>
              <w:t>照片、录像等辅助资料</w:t>
            </w:r>
          </w:p>
          <w:p>
            <w:pPr>
              <w:pStyle w:val="null3"/>
              <w:ind w:firstLine="482"/>
              <w:jc w:val="both"/>
            </w:pPr>
            <w:r>
              <w:rPr>
                <w:rFonts w:ascii="仿宋_GB2312" w:hAnsi="仿宋_GB2312" w:cs="仿宋_GB2312" w:eastAsia="仿宋_GB2312"/>
                <w:sz w:val="24"/>
                <w:b/>
              </w:rPr>
              <w:t>说明</w:t>
            </w:r>
          </w:p>
          <w:p>
            <w:pPr>
              <w:pStyle w:val="null3"/>
              <w:numPr>
                <w:ilvl w:val="0"/>
                <w:numId w:val="1"/>
              </w:numPr>
              <w:ind w:left="465"/>
              <w:jc w:val="both"/>
            </w:pPr>
            <w:r>
              <w:rPr>
                <w:rFonts w:ascii="仿宋_GB2312" w:hAnsi="仿宋_GB2312" w:cs="仿宋_GB2312" w:eastAsia="仿宋_GB2312"/>
                <w:sz w:val="24"/>
              </w:rPr>
              <w:t>以上图文资料编制数量为最低标准，实际数量以调查工作需要为准。</w:t>
            </w:r>
          </w:p>
          <w:p>
            <w:pPr>
              <w:pStyle w:val="null3"/>
              <w:numPr>
                <w:ilvl w:val="0"/>
                <w:numId w:val="1"/>
              </w:numPr>
              <w:ind w:left="465"/>
              <w:jc w:val="both"/>
            </w:pPr>
            <w:r>
              <w:rPr>
                <w:rFonts w:ascii="仿宋_GB2312" w:hAnsi="仿宋_GB2312" w:cs="仿宋_GB2312" w:eastAsia="仿宋_GB2312"/>
                <w:sz w:val="24"/>
              </w:rPr>
              <w:t>所有成果应符合国家及行业相关规范，确保数据真实、完整、可追溯。</w:t>
            </w:r>
          </w:p>
          <w:p>
            <w:pPr>
              <w:pStyle w:val="null3"/>
              <w:numPr>
                <w:ilvl w:val="0"/>
                <w:numId w:val="1"/>
              </w:numPr>
              <w:ind w:left="465"/>
              <w:jc w:val="both"/>
            </w:pPr>
            <w:r>
              <w:rPr>
                <w:rFonts w:ascii="仿宋_GB2312" w:hAnsi="仿宋_GB2312" w:cs="仿宋_GB2312" w:eastAsia="仿宋_GB2312"/>
                <w:sz w:val="24"/>
              </w:rPr>
              <w:t>自然资源、人文资源调查不要求参照《地质遗迹调查</w:t>
            </w:r>
            <w:r>
              <w:rPr>
                <w:rFonts w:ascii="仿宋_GB2312" w:hAnsi="仿宋_GB2312" w:cs="仿宋_GB2312" w:eastAsia="仿宋_GB2312"/>
                <w:sz w:val="24"/>
              </w:rPr>
              <w:t>评价规范（</w:t>
            </w:r>
            <w:r>
              <w:rPr>
                <w:rFonts w:ascii="仿宋_GB2312" w:hAnsi="仿宋_GB2312" w:cs="仿宋_GB2312" w:eastAsia="仿宋_GB2312"/>
                <w:sz w:val="24"/>
              </w:rPr>
              <w:t>2025年版）》，但应参照对应领域的规范或公认方法，并在报告中说明所采用的标准。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于2026年9月底前完成全部调查及成果提交工作（含报告编制、图件制作、数据整理等）。</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其他，成果提交后，经甲方验收通过后付款，达到付款条件起7个工作日内，支付合同总金额的30.0%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其他，2027年再评估通过后，达到付款条件起7个工作日内，支付合同总金额的30.0%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提供2025年12月至今已缴存任意一个月社会保障资金缴存单据或社保机构开具的社会保险参保缴费证明，依法不需要缴纳社会保障资金的单位应提供相应证明文件；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本项目的实施背景、实施目的、实施意义、相关政策及发展动向等具备充分的认识。对本项目的总体认识定位准确，理解深刻，表述清晰，对项目实施的重点、难点把握精准、满足采购需求计6分；对本项目的总体认识定位基本准确，表述较清晰，对项目实施的重点、难点具有一定的认识，基本满足采购需求计4分；对本项目的总体认识定位较准确，表述一般，对项目实施的重点、难点认识欠缺，部分内容偏离采购需求计2分；对本项目的总体认识定位不准确，理解不深刻，表述不清晰，对项目实施的重点、难点把握偏离计1分；相关内容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供应商提供针对本项目的服务方案，包括①调查和评价工作的开展；②调查的方式方法；③项目成果编制方案。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供应商提供针对本项目的质量保障措施，包括①质量过程控制；②数据成果审核方案。 二、评审标准 方案内容专门针对本项目编制，切合本项目实际情况及实施要求，内容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一、评审内容 供应商提供针对本项目的进度计划方案，包括①项目服务期间的时间节点安排；②各阶段的资源投入实施计划及进度保障措施。 二、评审标准 方案内容专门针对本项目编制，切合本项目实际情况及实施要求，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项目配置</w:t>
            </w:r>
          </w:p>
        </w:tc>
        <w:tc>
          <w:tcPr>
            <w:tcW w:type="dxa" w:w="2492"/>
          </w:tcPr>
          <w:p>
            <w:pPr>
              <w:pStyle w:val="null3"/>
            </w:pPr>
            <w:r>
              <w:rPr>
                <w:rFonts w:ascii="仿宋_GB2312" w:hAnsi="仿宋_GB2312" w:cs="仿宋_GB2312" w:eastAsia="仿宋_GB2312"/>
              </w:rPr>
              <w:t>一、评审内容 供应商提供针对本项目的项目配置方案，包括①团队人员各专业岗位配置及人员职责；②团队人员管理制度；③项目设备配置。 二、评审标准 方案内容专门针对本项目编制，切合本项目实际情况及实施要求，与要点相符、每个要点均有展开详细的阐述且能够适用于本项目的计12分；评审内容每缺一项扣4分，扣完为止；评审内容有缺陷的每任意一项缺陷扣1分，扣完为止。（缺陷是指：内容不完整或缺少关键点；逻辑混乱、前后表述矛盾；职责不明确；制度不合理；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供应商提供针对本项目的应急方案，包括①预防预警机制；②应急响应措施。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供应商针对本项目的合理化建议、增值服务等内容进行阐述。 建议可行、增值服务合理、有可实施性计6分； 建议基本可行、增值服务一般计4分；建议可行性差、无增值服务计1分。未提供不计分。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供应商提供针对本项目的保密方案，包括①数据保密措施；②保密制度。 二、评审标准 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供应商提供针对本项目的服务承诺，包括①与采购人配合的服务承诺；②对本项目周期、计划、服务时限内团队稳定性、人员到位情况等相关内容做出承诺；③不能完全履行承诺时愿意接受相关处罚等。 二、评审标准 服务承诺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供应商提供自2023年1月1日至今（以合同签订时间为准）类似项目业绩，响应文件中附有其业绩证明材料，业绩以合同为依据，每提供一个计2分，满分10分。 （注：响应文件中提供复印件加盖供应商公章）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