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3E57B1">
      <w:pPr>
        <w:spacing w:line="360" w:lineRule="auto"/>
        <w:ind w:firstLine="0" w:firstLineChars="0"/>
        <w:jc w:val="center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合同文本</w:t>
      </w:r>
    </w:p>
    <w:p w14:paraId="61853E50">
      <w:pPr>
        <w:spacing w:line="360" w:lineRule="auto"/>
        <w:ind w:firstLine="0" w:firstLineChars="0"/>
        <w:jc w:val="center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（本格式合同条款供双方签订合同参考，采购人可根据项目的实际情况增减条款和内容）</w:t>
      </w:r>
    </w:p>
    <w:p w14:paraId="7573219F">
      <w:pPr>
        <w:spacing w:line="360" w:lineRule="auto"/>
        <w:ind w:firstLine="964"/>
        <w:jc w:val="center"/>
        <w:rPr>
          <w:rFonts w:ascii="仿宋" w:hAnsi="仿宋" w:eastAsia="仿宋" w:cs="仿宋"/>
          <w:b/>
          <w:bCs/>
          <w:color w:val="000000"/>
          <w:sz w:val="48"/>
          <w:szCs w:val="48"/>
          <w:lang w:bidi="en-US"/>
        </w:rPr>
      </w:pPr>
      <w:r>
        <w:rPr>
          <w:rFonts w:hint="eastAsia" w:ascii="仿宋" w:hAnsi="仿宋" w:eastAsia="仿宋" w:cs="仿宋"/>
          <w:b/>
          <w:bCs/>
          <w:color w:val="000000"/>
          <w:sz w:val="48"/>
          <w:szCs w:val="48"/>
          <w:lang w:bidi="en-US"/>
        </w:rPr>
        <w:br w:type="page"/>
      </w:r>
    </w:p>
    <w:p w14:paraId="1B8ED033">
      <w:pPr>
        <w:keepNext/>
        <w:keepLines/>
        <w:spacing w:after="120" w:line="360" w:lineRule="auto"/>
        <w:ind w:left="620" w:firstLine="1160"/>
        <w:jc w:val="center"/>
        <w:outlineLvl w:val="0"/>
        <w:rPr>
          <w:rFonts w:ascii="仿宋" w:hAnsi="仿宋" w:eastAsia="仿宋" w:cs="仿宋"/>
          <w:sz w:val="58"/>
          <w:szCs w:val="58"/>
          <w:lang w:bidi="en-US"/>
        </w:rPr>
      </w:pPr>
    </w:p>
    <w:p w14:paraId="68892E3B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ascii="仿宋" w:hAnsi="仿宋" w:eastAsia="仿宋" w:cs="仿宋"/>
          <w:b/>
          <w:bCs/>
          <w:color w:val="000000"/>
          <w:sz w:val="72"/>
          <w:szCs w:val="72"/>
          <w:lang w:eastAsia="zh-Hans" w:bidi="zh-TW"/>
        </w:rPr>
      </w:pPr>
      <w:r>
        <w:rPr>
          <w:rFonts w:hint="eastAsia" w:ascii="仿宋" w:hAnsi="仿宋" w:eastAsia="仿宋" w:cs="仿宋"/>
          <w:b/>
          <w:bCs/>
          <w:color w:val="000000"/>
          <w:sz w:val="72"/>
          <w:szCs w:val="72"/>
          <w:lang w:bidi="zh-TW"/>
        </w:rPr>
        <w:t>地质公园全面调查</w:t>
      </w:r>
    </w:p>
    <w:p w14:paraId="433B487F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65BD3132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ascii="仿宋" w:hAnsi="仿宋" w:eastAsia="仿宋" w:cs="仿宋"/>
          <w:b/>
          <w:bCs/>
          <w:color w:val="000000"/>
          <w:sz w:val="48"/>
          <w:szCs w:val="48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48"/>
          <w:szCs w:val="48"/>
          <w:lang w:val="zh-TW" w:eastAsia="zh-TW" w:bidi="zh-TW"/>
        </w:rPr>
        <w:t>服务合同</w:t>
      </w:r>
      <w:bookmarkEnd w:id="0"/>
    </w:p>
    <w:p w14:paraId="1D83E8C7">
      <w:pPr>
        <w:spacing w:after="120" w:line="360" w:lineRule="auto"/>
        <w:ind w:firstLine="2400" w:firstLineChars="800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6009606B">
      <w:pPr>
        <w:spacing w:after="120" w:line="360" w:lineRule="auto"/>
        <w:ind w:firstLine="2400" w:firstLineChars="800"/>
        <w:rPr>
          <w:rFonts w:ascii="仿宋" w:hAnsi="仿宋" w:eastAsia="仿宋" w:cs="仿宋"/>
          <w:color w:val="000000"/>
          <w:sz w:val="30"/>
          <w:szCs w:val="30"/>
          <w:lang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</w:t>
      </w:r>
      <w:r>
        <w:rPr>
          <w:rFonts w:hint="eastAsia" w:ascii="仿宋" w:hAnsi="仿宋" w:eastAsia="仿宋" w:cs="仿宋"/>
          <w:color w:val="000000"/>
          <w:sz w:val="30"/>
          <w:szCs w:val="30"/>
          <w:lang w:bidi="zh-TW"/>
        </w:rPr>
        <w:t>HYTF-202606040）</w:t>
      </w:r>
    </w:p>
    <w:p w14:paraId="25220CAD">
      <w:pPr>
        <w:spacing w:after="460" w:line="360" w:lineRule="auto"/>
        <w:ind w:left="1360" w:firstLine="60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1B6B9F8">
      <w:pPr>
        <w:spacing w:after="460" w:line="360" w:lineRule="auto"/>
        <w:ind w:left="1360" w:firstLine="60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59D3936B">
      <w:pPr>
        <w:spacing w:after="460" w:line="360" w:lineRule="auto"/>
        <w:ind w:left="1360" w:firstLine="600"/>
        <w:jc w:val="left"/>
        <w:rPr>
          <w:rFonts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4CC506A4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3"/>
      <w:bookmarkStart w:id="3" w:name="bookmark5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西安市秦岭生态环境保护管理局</w:t>
      </w:r>
    </w:p>
    <w:p w14:paraId="2BBAFFB9">
      <w:pPr>
        <w:spacing w:after="480" w:line="360" w:lineRule="auto"/>
        <w:ind w:left="200" w:firstLine="621" w:firstLineChars="207"/>
        <w:jc w:val="left"/>
        <w:rPr>
          <w:rFonts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</w:t>
      </w:r>
    </w:p>
    <w:p w14:paraId="24B13F8E">
      <w:pPr>
        <w:spacing w:line="360" w:lineRule="auto"/>
        <w:ind w:firstLine="600"/>
        <w:jc w:val="center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月</w:t>
      </w:r>
    </w:p>
    <w:p w14:paraId="3335E830">
      <w:pPr>
        <w:spacing w:line="360" w:lineRule="auto"/>
        <w:ind w:firstLine="600"/>
        <w:jc w:val="center"/>
        <w:rPr>
          <w:rFonts w:ascii="仿宋" w:hAnsi="仿宋" w:eastAsia="仿宋" w:cs="仿宋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中国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西安</w:t>
      </w:r>
    </w:p>
    <w:p w14:paraId="1371BF46">
      <w:pPr>
        <w:spacing w:line="360" w:lineRule="auto"/>
        <w:ind w:firstLine="480"/>
        <w:jc w:val="left"/>
        <w:rPr>
          <w:rFonts w:ascii="仿宋" w:hAnsi="仿宋" w:eastAsia="仿宋" w:cs="仿宋"/>
          <w:color w:val="000000"/>
          <w:kern w:val="0"/>
          <w:sz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08AC7994">
      <w:pPr>
        <w:spacing w:line="360" w:lineRule="auto"/>
        <w:ind w:firstLine="48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lang w:bidi="zh-TW"/>
        </w:rPr>
        <w:t>西安市秦岭生态环境保护管理局</w:t>
      </w:r>
    </w:p>
    <w:p w14:paraId="56368BD1">
      <w:pPr>
        <w:spacing w:line="360" w:lineRule="auto"/>
        <w:ind w:firstLine="48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</w:p>
    <w:p w14:paraId="377580EC">
      <w:pPr>
        <w:spacing w:line="360" w:lineRule="auto"/>
        <w:ind w:firstLine="480"/>
        <w:outlineLvl w:val="2"/>
        <w:rPr>
          <w:rFonts w:ascii="仿宋" w:hAnsi="仿宋" w:eastAsia="仿宋" w:cs="仿宋"/>
          <w:sz w:val="24"/>
          <w:lang w:val="zh-TW" w:eastAsia="zh-Hans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地质公园全面调查（项目编号：HYTF-202606040），在监管部门的监督管理下，按照政府采购程序组织竞争性磋商，确定乙方为成交供应商。依据《中华人民共和国政府采购法》、《中华人民共和国民法典》以及竞争性磋商文件、成交通知书，经甲、乙双方协商，达成如下合同条款。</w:t>
      </w:r>
    </w:p>
    <w:p w14:paraId="0296F717">
      <w:pPr>
        <w:spacing w:line="360" w:lineRule="auto"/>
        <w:ind w:firstLine="480"/>
        <w:outlineLvl w:val="2"/>
        <w:rPr>
          <w:rFonts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66"/>
        <w:gridCol w:w="1677"/>
        <w:gridCol w:w="1677"/>
        <w:gridCol w:w="1212"/>
        <w:gridCol w:w="1395"/>
        <w:gridCol w:w="1396"/>
      </w:tblGrid>
      <w:tr w14:paraId="6C42A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8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34A64D82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33EE8BDC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007" w:type="pct"/>
            <w:shd w:val="clear" w:color="auto" w:fill="auto"/>
            <w:vAlign w:val="center"/>
          </w:tcPr>
          <w:p w14:paraId="74E2466B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728" w:type="pct"/>
            <w:shd w:val="clear" w:color="auto" w:fill="auto"/>
            <w:vAlign w:val="center"/>
          </w:tcPr>
          <w:p w14:paraId="17236613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63E8CBD0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33B1AE6D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1BAFDC6F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019ABE8A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2BED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453856DD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007" w:type="pct"/>
            <w:shd w:val="clear" w:color="auto" w:fill="auto"/>
          </w:tcPr>
          <w:p w14:paraId="1BA23CA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04C89412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E39FBB0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6E0405BD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3A54B2A8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B767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45CD98CF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007" w:type="pct"/>
            <w:shd w:val="clear" w:color="auto" w:fill="auto"/>
          </w:tcPr>
          <w:p w14:paraId="15D2C0C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427787AF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1D7C1205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5450157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76217B06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E9B9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02EFDC60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007" w:type="pct"/>
            <w:shd w:val="clear" w:color="auto" w:fill="auto"/>
          </w:tcPr>
          <w:p w14:paraId="35D774EA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32B5FAAA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F9FFBB4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C46162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2DD2595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CBEF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580" w:type="pct"/>
            <w:shd w:val="clear" w:color="auto" w:fill="auto"/>
            <w:vAlign w:val="center"/>
          </w:tcPr>
          <w:p w14:paraId="24CBCFFB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007" w:type="pct"/>
            <w:shd w:val="clear" w:color="auto" w:fill="auto"/>
          </w:tcPr>
          <w:p w14:paraId="32696A95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65AA0A18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62D5A3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3657635D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48ADCAAD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F0E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14CF2737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007" w:type="pct"/>
            <w:shd w:val="clear" w:color="auto" w:fill="auto"/>
          </w:tcPr>
          <w:p w14:paraId="21D7728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46FD564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67C9966E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61043799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4DC0F546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221C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1A5ACD2B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007" w:type="pct"/>
            <w:shd w:val="clear" w:color="auto" w:fill="auto"/>
          </w:tcPr>
          <w:p w14:paraId="2CEFFC3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69E04BC7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6378E497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2DC052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140FD81D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AD30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7EC52571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007" w:type="pct"/>
            <w:shd w:val="clear" w:color="auto" w:fill="auto"/>
          </w:tcPr>
          <w:p w14:paraId="2A94BE3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13A90CE2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3E8D2DB7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798A647E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27364176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3B1D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6A1C849B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007" w:type="pct"/>
            <w:shd w:val="clear" w:color="auto" w:fill="auto"/>
          </w:tcPr>
          <w:p w14:paraId="58D8F06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62001F4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5C63854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6811DBFC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5BC7DF1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C8BA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580" w:type="pct"/>
            <w:shd w:val="clear" w:color="auto" w:fill="auto"/>
            <w:vAlign w:val="bottom"/>
          </w:tcPr>
          <w:p w14:paraId="086DE4F4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007" w:type="pct"/>
            <w:shd w:val="clear" w:color="auto" w:fill="auto"/>
          </w:tcPr>
          <w:p w14:paraId="2DFBD232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07" w:type="pct"/>
            <w:shd w:val="clear" w:color="auto" w:fill="auto"/>
          </w:tcPr>
          <w:p w14:paraId="47D14E7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728" w:type="pct"/>
            <w:shd w:val="clear" w:color="auto" w:fill="auto"/>
          </w:tcPr>
          <w:p w14:paraId="75404EC5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7C75A3D6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838" w:type="pct"/>
            <w:shd w:val="clear" w:color="auto" w:fill="auto"/>
          </w:tcPr>
          <w:p w14:paraId="0CBEE6C1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4EC9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965" w:type="dxa"/>
            <w:shd w:val="clear" w:color="auto" w:fill="auto"/>
            <w:vAlign w:val="bottom"/>
          </w:tcPr>
          <w:p w14:paraId="34185D9F">
            <w:pPr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7358" w:type="dxa"/>
            <w:gridSpan w:val="5"/>
            <w:shd w:val="clear" w:color="auto" w:fill="auto"/>
          </w:tcPr>
          <w:p w14:paraId="39A8988B">
            <w:pPr>
              <w:spacing w:line="360" w:lineRule="auto"/>
              <w:ind w:firstLine="0" w:firstLineChars="0"/>
              <w:jc w:val="left"/>
              <w:rPr>
                <w:rFonts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358DFFC8">
      <w:pPr>
        <w:spacing w:after="80" w:line="360" w:lineRule="auto"/>
        <w:ind w:firstLine="482"/>
        <w:jc w:val="left"/>
        <w:rPr>
          <w:rFonts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54363747">
      <w:pPr>
        <w:spacing w:line="360" w:lineRule="auto"/>
        <w:ind w:firstLine="240" w:firstLineChars="100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服务期限：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</w:p>
    <w:p w14:paraId="73C44252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 </w:t>
      </w:r>
    </w:p>
    <w:p w14:paraId="101CF37B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11D1ABDD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元）。</w:t>
      </w:r>
    </w:p>
    <w:p w14:paraId="6D5C27E1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06599924">
      <w:pPr>
        <w:tabs>
          <w:tab w:val="left" w:pos="6015"/>
          <w:tab w:val="left" w:pos="7407"/>
        </w:tabs>
        <w:spacing w:line="360" w:lineRule="auto"/>
        <w:ind w:firstLine="48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6C9CAEC8">
      <w:pPr>
        <w:tabs>
          <w:tab w:val="left" w:pos="6015"/>
          <w:tab w:val="left" w:pos="7407"/>
        </w:tabs>
        <w:spacing w:line="360" w:lineRule="auto"/>
        <w:ind w:firstLine="482"/>
        <w:jc w:val="left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73A9BBA7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合同款的支付：</w:t>
      </w:r>
    </w:p>
    <w:p w14:paraId="3DC3D099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1）</w:t>
      </w:r>
      <w:r>
        <w:rPr>
          <w:rFonts w:ascii="仿宋" w:hAnsi="仿宋" w:eastAsia="仿宋" w:cs="仿宋"/>
          <w:sz w:val="24"/>
          <w:szCs w:val="24"/>
        </w:rPr>
        <w:t>合同签订后 ，达到付款条件起</w:t>
      </w:r>
      <w:r>
        <w:rPr>
          <w:rFonts w:ascii="仿宋" w:hAnsi="仿宋" w:eastAsia="仿宋" w:cs="仿宋"/>
          <w:sz w:val="24"/>
          <w:szCs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工作日</w:t>
      </w:r>
      <w:r>
        <w:rPr>
          <w:rFonts w:ascii="仿宋" w:hAnsi="仿宋" w:eastAsia="仿宋" w:cs="仿宋"/>
          <w:sz w:val="24"/>
          <w:szCs w:val="24"/>
        </w:rPr>
        <w:t xml:space="preserve">内，支付合同总金额的 </w:t>
      </w:r>
      <w:r>
        <w:rPr>
          <w:rFonts w:hint="default" w:ascii="仿宋" w:hAnsi="仿宋" w:eastAsia="仿宋" w:cs="仿宋"/>
          <w:sz w:val="24"/>
          <w:szCs w:val="24"/>
          <w:lang w:eastAsia="zh-CN"/>
        </w:rPr>
        <w:t>4</w:t>
      </w:r>
      <w:r>
        <w:rPr>
          <w:rFonts w:ascii="仿宋" w:hAnsi="仿宋" w:eastAsia="仿宋" w:cs="仿宋"/>
          <w:sz w:val="24"/>
          <w:szCs w:val="24"/>
        </w:rPr>
        <w:t>0.00%。</w:t>
      </w:r>
    </w:p>
    <w:p w14:paraId="37E773B4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>2）</w:t>
      </w:r>
      <w:r>
        <w:rPr>
          <w:rFonts w:ascii="仿宋" w:hAnsi="仿宋" w:eastAsia="仿宋" w:cs="仿宋"/>
          <w:sz w:val="24"/>
          <w:szCs w:val="24"/>
        </w:rPr>
        <w:t>成果提交后，经甲方验收通过后付款，达到付款条件起</w:t>
      </w:r>
      <w:r>
        <w:rPr>
          <w:rFonts w:ascii="仿宋" w:hAnsi="仿宋" w:eastAsia="仿宋" w:cs="仿宋"/>
          <w:sz w:val="24"/>
          <w:szCs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工作日</w:t>
      </w:r>
      <w:r>
        <w:rPr>
          <w:rFonts w:ascii="仿宋" w:hAnsi="仿宋" w:eastAsia="仿宋" w:cs="仿宋"/>
          <w:sz w:val="24"/>
          <w:szCs w:val="24"/>
        </w:rPr>
        <w:t>内，支付合同总金额的</w:t>
      </w:r>
      <w:r>
        <w:rPr>
          <w:rFonts w:hint="default" w:ascii="仿宋" w:hAnsi="仿宋" w:eastAsia="仿宋" w:cs="仿宋"/>
          <w:sz w:val="24"/>
          <w:szCs w:val="24"/>
          <w:lang w:eastAsia="zh-CN"/>
        </w:rPr>
        <w:t>3</w:t>
      </w:r>
      <w:r>
        <w:rPr>
          <w:rFonts w:ascii="仿宋" w:hAnsi="仿宋" w:eastAsia="仿宋" w:cs="仿宋"/>
          <w:sz w:val="24"/>
          <w:szCs w:val="24"/>
        </w:rPr>
        <w:t>0.00%。</w:t>
      </w:r>
    </w:p>
    <w:p w14:paraId="6466420A">
      <w:pPr>
        <w:pStyle w:val="4"/>
        <w:spacing w:line="360" w:lineRule="auto"/>
        <w:ind w:firstLine="480" w:firstLineChars="200"/>
        <w:rPr>
          <w:rFonts w:hint="default"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  <w:lang w:eastAsia="zh-CN"/>
        </w:rPr>
        <w:t xml:space="preserve">3） </w:t>
      </w:r>
      <w:r>
        <w:rPr>
          <w:rFonts w:ascii="仿宋" w:hAnsi="仿宋" w:eastAsia="仿宋" w:cs="仿宋"/>
          <w:sz w:val="24"/>
          <w:szCs w:val="24"/>
        </w:rPr>
        <w:t>2027年再评估通过后，达到付款条件起</w:t>
      </w:r>
      <w:r>
        <w:rPr>
          <w:rFonts w:ascii="仿宋" w:hAnsi="仿宋" w:eastAsia="仿宋" w:cs="仿宋"/>
          <w:sz w:val="24"/>
          <w:szCs w:val="24"/>
          <w:lang w:eastAsia="zh-CN"/>
        </w:rPr>
        <w:t>7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个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工作日</w:t>
      </w:r>
      <w:r>
        <w:rPr>
          <w:rFonts w:ascii="仿宋" w:hAnsi="仿宋" w:eastAsia="仿宋" w:cs="仿宋"/>
          <w:sz w:val="24"/>
          <w:szCs w:val="24"/>
        </w:rPr>
        <w:t>内，支付合同总金额的</w:t>
      </w:r>
      <w:r>
        <w:rPr>
          <w:rFonts w:ascii="仿宋" w:hAnsi="仿宋" w:eastAsia="仿宋" w:cs="仿宋"/>
          <w:sz w:val="24"/>
          <w:szCs w:val="24"/>
          <w:lang w:eastAsia="zh-CN"/>
        </w:rPr>
        <w:t>3</w:t>
      </w:r>
      <w:r>
        <w:rPr>
          <w:rFonts w:ascii="仿宋" w:hAnsi="仿宋" w:eastAsia="仿宋" w:cs="仿宋"/>
          <w:sz w:val="24"/>
          <w:szCs w:val="24"/>
        </w:rPr>
        <w:t>0.00%。</w:t>
      </w:r>
    </w:p>
    <w:p w14:paraId="0BCB3174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4742A650">
      <w:pPr>
        <w:spacing w:line="360" w:lineRule="auto"/>
        <w:ind w:firstLine="480"/>
        <w:jc w:val="left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结算方式：付款前乙方应向甲方提供合法有效的发票。乙方持成交通知书、服务合同、发票，与甲方结算。</w:t>
      </w:r>
    </w:p>
    <w:p w14:paraId="0358A38E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2ADD70E6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0D2BED9C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05EFB774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33190E0B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3391906F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55A77994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12CAAAE6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6BBBC93E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5D9A3A39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1033FDEF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69A0FA71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51B4B380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07517E90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449A182C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225DF2F8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580A504C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45403104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6148A427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34CCE054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（二）符合国家有关服务规范要求，确保各项服务达到最佳效果。</w:t>
      </w:r>
    </w:p>
    <w:p w14:paraId="5A0DC2C6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04EF3E97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3B062A51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7D19FC19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21111F12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29BFCF8A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1DCC5FC2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41FEF3B1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7661D222">
      <w:pPr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708A305E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321E9FA9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534A86D7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096703F7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三）在本合同履行过程中，双方因违约或造成对方经济、社会效益等损失的应当赔偿合同总价款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%的违约金。</w:t>
      </w:r>
    </w:p>
    <w:p w14:paraId="06E2735E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56D92490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04DE4209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</w:t>
      </w:r>
      <w:r>
        <w:rPr>
          <w:rFonts w:hint="eastAsia" w:ascii="仿宋" w:hAnsi="仿宋" w:eastAsia="仿宋" w:cs="仿宋"/>
          <w:sz w:val="24"/>
          <w:lang w:bidi="zh-TW"/>
        </w:rPr>
        <w:t>书面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同意，乙方不得擅自将本合同服务分包或转包第三方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4A95F689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7B5F0B1C">
      <w:pPr>
        <w:tabs>
          <w:tab w:val="left" w:pos="1438"/>
        </w:tabs>
        <w:spacing w:line="360" w:lineRule="auto"/>
        <w:ind w:firstLine="480"/>
        <w:rPr>
          <w:rFonts w:ascii="仿宋" w:hAnsi="仿宋" w:eastAsia="仿宋" w:cs="仿宋"/>
          <w:sz w:val="24"/>
          <w:lang w:val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（八）因违约方的违约行为给守约方造成损失的，应当按照本条所列违约情形支付违约金，并承担守约方因维权产生的合理支出，包括但不限于诉讼费、律师费、保全费、保全保险费等。</w:t>
      </w:r>
    </w:p>
    <w:p w14:paraId="54C0958C">
      <w:pPr>
        <w:spacing w:line="360" w:lineRule="auto"/>
        <w:ind w:firstLine="482"/>
        <w:jc w:val="left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7C98C876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7ECE96ED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0B54E792">
      <w:pPr>
        <w:spacing w:line="360" w:lineRule="auto"/>
        <w:ind w:firstLine="480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512F5EA1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23B0512C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6F20CA3E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2D57628C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69A65F59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76EEC277">
      <w:pPr>
        <w:spacing w:line="360" w:lineRule="auto"/>
        <w:ind w:firstLine="482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2CFB3E88">
      <w:pPr>
        <w:spacing w:line="360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0C715E0F">
      <w:pPr>
        <w:spacing w:line="312" w:lineRule="auto"/>
        <w:ind w:firstLine="482"/>
        <w:rPr>
          <w:rFonts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05F0C890">
      <w:pPr>
        <w:spacing w:after="100" w:line="312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3EAA02E9">
      <w:pPr>
        <w:spacing w:line="312" w:lineRule="auto"/>
        <w:ind w:firstLine="482"/>
        <w:jc w:val="left"/>
        <w:rPr>
          <w:rFonts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5421019A">
      <w:pPr>
        <w:spacing w:line="312" w:lineRule="auto"/>
        <w:ind w:firstLine="480"/>
        <w:rPr>
          <w:rFonts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（一）在合同的履行期间以及履行期后，监管部门可以随时检查项目的执行情况，对采购标准、釆购内容进行调查核实，并对发现的问题进行处理。</w:t>
      </w:r>
    </w:p>
    <w:p w14:paraId="4617A15E">
      <w:pPr>
        <w:spacing w:line="312" w:lineRule="auto"/>
        <w:ind w:firstLine="480"/>
        <w:jc w:val="left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5FD50546">
      <w:pPr>
        <w:spacing w:line="312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2425F910">
      <w:pPr>
        <w:spacing w:line="312" w:lineRule="auto"/>
        <w:ind w:firstLine="480"/>
        <w:rPr>
          <w:rFonts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tbl>
      <w:tblPr>
        <w:tblStyle w:val="2"/>
        <w:tblpPr w:leftFromText="181" w:rightFromText="181" w:vertAnchor="text" w:horzAnchor="margin" w:tblpXSpec="center" w:tblpY="24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4"/>
        <w:gridCol w:w="4035"/>
      </w:tblGrid>
      <w:tr w14:paraId="51192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3" w:hRule="atLeast"/>
          <w:jc w:val="center"/>
        </w:trPr>
        <w:tc>
          <w:tcPr>
            <w:tcW w:w="2632" w:type="pct"/>
          </w:tcPr>
          <w:p w14:paraId="6C417F7F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35514DC4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63979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2632" w:type="pct"/>
            <w:vAlign w:val="center"/>
          </w:tcPr>
          <w:p w14:paraId="25B015E6">
            <w:pPr>
              <w:overflowPunct w:val="0"/>
              <w:topLinePunct/>
              <w:spacing w:line="360" w:lineRule="auto"/>
              <w:ind w:firstLine="0" w:firstLineChars="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0F96D63B">
            <w:pPr>
              <w:overflowPunct w:val="0"/>
              <w:topLinePunct/>
              <w:spacing w:line="360" w:lineRule="auto"/>
              <w:ind w:firstLine="0" w:firstLineChars="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0ED42ED7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26C39740">
            <w:pPr>
              <w:overflowPunct w:val="0"/>
              <w:topLinePunct/>
              <w:spacing w:line="360" w:lineRule="auto"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60EFA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632" w:type="pct"/>
          </w:tcPr>
          <w:p w14:paraId="1D0F6E77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26E18A43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486D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632" w:type="pct"/>
          </w:tcPr>
          <w:p w14:paraId="3B531241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3F9095D5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5DEA0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2632" w:type="pct"/>
          </w:tcPr>
          <w:p w14:paraId="4B84511B">
            <w:pPr>
              <w:overflowPunct w:val="0"/>
              <w:topLinePunct/>
              <w:spacing w:line="360" w:lineRule="auto"/>
              <w:ind w:firstLine="0" w:firstLineChars="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2367" w:type="pct"/>
          </w:tcPr>
          <w:p w14:paraId="497CDD12">
            <w:pPr>
              <w:overflowPunct w:val="0"/>
              <w:topLinePunct/>
              <w:spacing w:line="360" w:lineRule="auto"/>
              <w:ind w:firstLine="0" w:firstLineChars="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31B0C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2632" w:type="pct"/>
          </w:tcPr>
          <w:p w14:paraId="21EF141E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7454768D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365A1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632" w:type="pct"/>
          </w:tcPr>
          <w:p w14:paraId="0089E9D7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5BDF5021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7BEA5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  <w:jc w:val="center"/>
        </w:trPr>
        <w:tc>
          <w:tcPr>
            <w:tcW w:w="2632" w:type="pct"/>
          </w:tcPr>
          <w:p w14:paraId="0DF8880A">
            <w:pPr>
              <w:overflowPunct w:val="0"/>
              <w:topLinePunct/>
              <w:spacing w:line="360" w:lineRule="auto"/>
              <w:ind w:firstLine="48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5B924BC1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62CA7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2632" w:type="pct"/>
          </w:tcPr>
          <w:p w14:paraId="4AEF80D4">
            <w:pPr>
              <w:overflowPunct w:val="0"/>
              <w:topLinePunct/>
              <w:spacing w:line="360" w:lineRule="auto"/>
              <w:ind w:firstLine="480"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14CB7842">
            <w:pPr>
              <w:overflowPunct w:val="0"/>
              <w:topLinePunct/>
              <w:spacing w:line="360" w:lineRule="auto"/>
              <w:ind w:firstLine="480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44138C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000" w:type="pct"/>
            <w:gridSpan w:val="2"/>
          </w:tcPr>
          <w:p w14:paraId="1838EF61">
            <w:pPr>
              <w:overflowPunct w:val="0"/>
              <w:topLinePunct/>
              <w:spacing w:line="360" w:lineRule="auto"/>
              <w:ind w:firstLine="48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71398B59">
      <w:pPr>
        <w:ind w:left="0" w:leftChars="0" w:firstLine="0" w:firstLineChars="0"/>
      </w:pPr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5263A8"/>
    <w:rsid w:val="6952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2026-06-12T04:34:00Z</dcterms:created>
  <dc:creator>四方衡裕</dc:creator>
  <cp:lastModifiedBy>四方衡裕</cp:lastModifiedBy>
  <dcterms:modified xsi:type="dcterms:W3CDTF">2026-06-12T04:36:39Z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932DCD1158D64705B1F0DBBFC405A8A0_11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