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47B69">
      <w:pPr>
        <w:spacing w:line="360" w:lineRule="auto"/>
        <w:jc w:val="center"/>
        <w:rPr>
          <w:rFonts w:eastAsia="黑体"/>
          <w:sz w:val="48"/>
          <w:szCs w:val="48"/>
          <w:highlight w:val="none"/>
        </w:rPr>
      </w:pPr>
    </w:p>
    <w:p w14:paraId="2B8A355D">
      <w:pPr>
        <w:spacing w:line="360" w:lineRule="auto"/>
        <w:jc w:val="center"/>
        <w:rPr>
          <w:rFonts w:eastAsia="黑体"/>
          <w:sz w:val="48"/>
          <w:szCs w:val="48"/>
          <w:highlight w:val="none"/>
        </w:rPr>
      </w:pPr>
    </w:p>
    <w:p w14:paraId="18A83C74">
      <w:pPr>
        <w:spacing w:line="360" w:lineRule="auto"/>
        <w:jc w:val="center"/>
        <w:rPr>
          <w:rFonts w:hint="eastAsia" w:eastAsia="黑体"/>
          <w:sz w:val="48"/>
          <w:szCs w:val="48"/>
          <w:highlight w:val="none"/>
        </w:rPr>
      </w:pPr>
      <w:r>
        <w:rPr>
          <w:rFonts w:hint="eastAsia" w:eastAsia="黑体"/>
          <w:sz w:val="48"/>
          <w:szCs w:val="48"/>
          <w:highlight w:val="none"/>
        </w:rPr>
        <w:t>铜川市耀州区2026-2027学年度校园食堂米面油大宗食材，蔬菜肉蛋奶、调味品等采购项目</w:t>
      </w:r>
    </w:p>
    <w:p w14:paraId="5FA1F6BF">
      <w:pPr>
        <w:spacing w:line="360" w:lineRule="auto"/>
        <w:jc w:val="center"/>
        <w:rPr>
          <w:rFonts w:hint="eastAsia" w:eastAsia="黑体"/>
          <w:sz w:val="48"/>
          <w:szCs w:val="48"/>
          <w:highlight w:val="none"/>
          <w:lang w:eastAsia="zh-CN"/>
        </w:rPr>
      </w:pPr>
      <w:r>
        <w:rPr>
          <w:rFonts w:hint="eastAsia" w:eastAsia="黑体"/>
          <w:sz w:val="48"/>
          <w:szCs w:val="48"/>
          <w:highlight w:val="none"/>
          <w:lang w:eastAsia="zh-CN"/>
        </w:rPr>
        <w:t>（米面油）</w:t>
      </w:r>
    </w:p>
    <w:p w14:paraId="4061E9A7">
      <w:pPr>
        <w:spacing w:line="360" w:lineRule="auto"/>
        <w:jc w:val="center"/>
        <w:rPr>
          <w:rFonts w:eastAsia="黑体"/>
          <w:sz w:val="48"/>
          <w:szCs w:val="48"/>
          <w:highlight w:val="none"/>
        </w:rPr>
      </w:pPr>
      <w:r>
        <w:rPr>
          <w:rFonts w:eastAsia="黑体"/>
          <w:sz w:val="48"/>
          <w:szCs w:val="48"/>
          <w:highlight w:val="none"/>
        </w:rPr>
        <w:t>采</w:t>
      </w:r>
      <w:r>
        <w:rPr>
          <w:rFonts w:hint="eastAsia" w:eastAsia="黑体"/>
          <w:sz w:val="48"/>
          <w:szCs w:val="48"/>
          <w:highlight w:val="none"/>
        </w:rPr>
        <w:t xml:space="preserve">  </w:t>
      </w:r>
      <w:r>
        <w:rPr>
          <w:rFonts w:eastAsia="黑体"/>
          <w:sz w:val="48"/>
          <w:szCs w:val="48"/>
          <w:highlight w:val="none"/>
        </w:rPr>
        <w:t>购</w:t>
      </w:r>
      <w:r>
        <w:rPr>
          <w:rFonts w:hint="eastAsia" w:eastAsia="黑体"/>
          <w:sz w:val="48"/>
          <w:szCs w:val="48"/>
          <w:highlight w:val="none"/>
        </w:rPr>
        <w:t xml:space="preserve">  </w:t>
      </w:r>
      <w:r>
        <w:rPr>
          <w:rFonts w:eastAsia="黑体"/>
          <w:sz w:val="48"/>
          <w:szCs w:val="48"/>
          <w:highlight w:val="none"/>
        </w:rPr>
        <w:t>合</w:t>
      </w:r>
      <w:r>
        <w:rPr>
          <w:rFonts w:hint="eastAsia" w:eastAsia="黑体"/>
          <w:sz w:val="48"/>
          <w:szCs w:val="48"/>
          <w:highlight w:val="none"/>
        </w:rPr>
        <w:t xml:space="preserve">  </w:t>
      </w:r>
      <w:r>
        <w:rPr>
          <w:rFonts w:eastAsia="黑体"/>
          <w:sz w:val="48"/>
          <w:szCs w:val="48"/>
          <w:highlight w:val="none"/>
        </w:rPr>
        <w:t>同</w:t>
      </w:r>
    </w:p>
    <w:p w14:paraId="0174C367">
      <w:pPr>
        <w:spacing w:line="360" w:lineRule="auto"/>
        <w:jc w:val="center"/>
        <w:rPr>
          <w:rFonts w:hint="eastAsia" w:eastAsia="黑体"/>
          <w:sz w:val="48"/>
          <w:szCs w:val="48"/>
          <w:highlight w:val="none"/>
          <w:lang w:eastAsia="zh-CN"/>
        </w:rPr>
      </w:pPr>
      <w:r>
        <w:rPr>
          <w:rFonts w:hint="eastAsia" w:eastAsia="黑体"/>
          <w:sz w:val="48"/>
          <w:szCs w:val="48"/>
          <w:highlight w:val="none"/>
          <w:lang w:eastAsia="zh-CN"/>
        </w:rPr>
        <w:t>（参考文本）</w:t>
      </w:r>
    </w:p>
    <w:p w14:paraId="14E6F2AF">
      <w:pPr>
        <w:spacing w:line="360" w:lineRule="auto"/>
        <w:jc w:val="both"/>
        <w:rPr>
          <w:rFonts w:eastAsia="隶书"/>
          <w:w w:val="80"/>
          <w:sz w:val="96"/>
          <w:szCs w:val="21"/>
          <w:highlight w:val="none"/>
        </w:rPr>
      </w:pPr>
    </w:p>
    <w:p w14:paraId="684A79C8">
      <w:pPr>
        <w:spacing w:line="360" w:lineRule="auto"/>
        <w:jc w:val="center"/>
        <w:rPr>
          <w:rFonts w:eastAsia="隶书"/>
          <w:w w:val="80"/>
          <w:sz w:val="96"/>
          <w:szCs w:val="96"/>
          <w:highlight w:val="none"/>
        </w:rPr>
      </w:pPr>
      <w:r>
        <w:rPr>
          <w:rFonts w:eastAsia="隶书"/>
          <w:w w:val="80"/>
          <w:sz w:val="96"/>
          <w:szCs w:val="96"/>
          <w:highlight w:val="none"/>
        </w:rPr>
        <w:t>合</w:t>
      </w:r>
    </w:p>
    <w:p w14:paraId="361AFB49">
      <w:pPr>
        <w:spacing w:line="360" w:lineRule="auto"/>
        <w:jc w:val="center"/>
        <w:rPr>
          <w:rFonts w:eastAsia="隶书"/>
          <w:w w:val="80"/>
          <w:sz w:val="96"/>
          <w:szCs w:val="96"/>
          <w:highlight w:val="none"/>
        </w:rPr>
      </w:pPr>
      <w:r>
        <w:rPr>
          <w:rFonts w:eastAsia="隶书"/>
          <w:w w:val="80"/>
          <w:sz w:val="96"/>
          <w:szCs w:val="96"/>
          <w:highlight w:val="none"/>
        </w:rPr>
        <w:t>同</w:t>
      </w:r>
    </w:p>
    <w:p w14:paraId="269B71BF">
      <w:pPr>
        <w:spacing w:line="360" w:lineRule="auto"/>
        <w:jc w:val="center"/>
        <w:rPr>
          <w:rFonts w:eastAsia="隶书"/>
          <w:w w:val="80"/>
          <w:sz w:val="96"/>
          <w:szCs w:val="96"/>
          <w:highlight w:val="none"/>
        </w:rPr>
      </w:pPr>
      <w:r>
        <w:rPr>
          <w:rFonts w:eastAsia="隶书"/>
          <w:w w:val="80"/>
          <w:sz w:val="96"/>
          <w:szCs w:val="96"/>
          <w:highlight w:val="none"/>
        </w:rPr>
        <w:t>书</w:t>
      </w:r>
    </w:p>
    <w:p w14:paraId="58DA4D01">
      <w:pPr>
        <w:spacing w:line="360" w:lineRule="auto"/>
        <w:ind w:firstLine="440" w:firstLineChars="200"/>
        <w:rPr>
          <w:rFonts w:eastAsia="黑体"/>
          <w:sz w:val="22"/>
          <w:szCs w:val="28"/>
          <w:highlight w:val="none"/>
        </w:rPr>
      </w:pPr>
    </w:p>
    <w:p w14:paraId="5AE5F9F1">
      <w:pPr>
        <w:pStyle w:val="2"/>
      </w:pPr>
    </w:p>
    <w:p w14:paraId="1CC9C108">
      <w:pPr>
        <w:spacing w:line="360" w:lineRule="auto"/>
        <w:ind w:firstLine="440" w:firstLineChars="200"/>
        <w:rPr>
          <w:rFonts w:eastAsia="黑体"/>
          <w:sz w:val="22"/>
          <w:szCs w:val="28"/>
          <w:highlight w:val="none"/>
        </w:rPr>
      </w:pPr>
    </w:p>
    <w:p w14:paraId="2CF410F7">
      <w:pPr>
        <w:spacing w:line="360" w:lineRule="auto"/>
        <w:ind w:firstLine="440" w:firstLineChars="200"/>
        <w:rPr>
          <w:rFonts w:eastAsia="黑体"/>
          <w:sz w:val="22"/>
          <w:szCs w:val="28"/>
          <w:highlight w:val="none"/>
        </w:rPr>
      </w:pPr>
    </w:p>
    <w:p w14:paraId="2E9D6607">
      <w:pPr>
        <w:spacing w:line="360" w:lineRule="auto"/>
        <w:jc w:val="center"/>
        <w:rPr>
          <w:rFonts w:eastAsia="黑体"/>
          <w:sz w:val="36"/>
          <w:szCs w:val="36"/>
          <w:highlight w:val="none"/>
        </w:rPr>
      </w:pPr>
      <w:r>
        <w:rPr>
          <w:rFonts w:eastAsia="黑体"/>
          <w:sz w:val="36"/>
          <w:szCs w:val="36"/>
          <w:highlight w:val="none"/>
        </w:rPr>
        <w:t xml:space="preserve">年 </w:t>
      </w:r>
      <w:r>
        <w:rPr>
          <w:rFonts w:hint="eastAsia" w:eastAsia="黑体"/>
          <w:sz w:val="36"/>
          <w:szCs w:val="36"/>
          <w:highlight w:val="none"/>
        </w:rPr>
        <w:t xml:space="preserve">    </w:t>
      </w:r>
      <w:r>
        <w:rPr>
          <w:rFonts w:eastAsia="黑体"/>
          <w:sz w:val="36"/>
          <w:szCs w:val="36"/>
          <w:highlight w:val="none"/>
        </w:rPr>
        <w:t xml:space="preserve">月 </w:t>
      </w:r>
      <w:r>
        <w:rPr>
          <w:rFonts w:hint="eastAsia" w:eastAsia="黑体"/>
          <w:sz w:val="36"/>
          <w:szCs w:val="36"/>
          <w:highlight w:val="none"/>
        </w:rPr>
        <w:t xml:space="preserve">   </w:t>
      </w:r>
      <w:r>
        <w:rPr>
          <w:rFonts w:eastAsia="黑体"/>
          <w:sz w:val="36"/>
          <w:szCs w:val="36"/>
          <w:highlight w:val="none"/>
        </w:rPr>
        <w:t xml:space="preserve"> 日</w:t>
      </w:r>
    </w:p>
    <w:p w14:paraId="0E91AFD2">
      <w:pPr>
        <w:spacing w:line="500" w:lineRule="exact"/>
        <w:jc w:val="center"/>
        <w:rPr>
          <w:rFonts w:eastAsia="黑体"/>
          <w:sz w:val="48"/>
          <w:szCs w:val="48"/>
          <w:highlight w:val="none"/>
        </w:rPr>
      </w:pPr>
    </w:p>
    <w:p w14:paraId="5C3F4649">
      <w:pPr>
        <w:rPr>
          <w:rFonts w:eastAsia="黑体"/>
          <w:sz w:val="48"/>
          <w:szCs w:val="48"/>
          <w:highlight w:val="none"/>
        </w:rPr>
      </w:pPr>
      <w:r>
        <w:rPr>
          <w:rFonts w:eastAsia="黑体"/>
          <w:sz w:val="48"/>
          <w:szCs w:val="48"/>
          <w:highlight w:val="none"/>
        </w:rPr>
        <w:br w:type="page"/>
      </w:r>
    </w:p>
    <w:p w14:paraId="091C1F80">
      <w:pPr>
        <w:spacing w:line="360" w:lineRule="auto"/>
        <w:jc w:val="center"/>
        <w:rPr>
          <w:rFonts w:eastAsia="黑体"/>
          <w:sz w:val="48"/>
          <w:szCs w:val="48"/>
          <w:highlight w:val="none"/>
        </w:rPr>
      </w:pPr>
      <w:r>
        <w:rPr>
          <w:rFonts w:eastAsia="黑体"/>
          <w:sz w:val="48"/>
          <w:szCs w:val="48"/>
          <w:highlight w:val="none"/>
        </w:rPr>
        <w:t>采购合同</w:t>
      </w:r>
    </w:p>
    <w:p w14:paraId="007D3783">
      <w:pPr>
        <w:snapToGrid w:val="0"/>
        <w:spacing w:line="360" w:lineRule="auto"/>
        <w:jc w:val="center"/>
        <w:rPr>
          <w:rFonts w:eastAsia="方正小标宋简体"/>
          <w:bCs/>
          <w:sz w:val="44"/>
          <w:szCs w:val="44"/>
          <w:highlight w:val="none"/>
        </w:rPr>
      </w:pPr>
    </w:p>
    <w:p w14:paraId="62843306">
      <w:pPr>
        <w:spacing w:line="360" w:lineRule="auto"/>
        <w:ind w:firstLine="422" w:firstLineChars="200"/>
        <w:rPr>
          <w:b/>
          <w:szCs w:val="32"/>
          <w:highlight w:val="none"/>
        </w:rPr>
      </w:pPr>
      <w:r>
        <w:rPr>
          <w:b/>
          <w:szCs w:val="32"/>
          <w:highlight w:val="none"/>
        </w:rPr>
        <w:t>采购</w:t>
      </w:r>
      <w:r>
        <w:rPr>
          <w:rFonts w:hint="eastAsia"/>
          <w:b/>
          <w:szCs w:val="32"/>
          <w:highlight w:val="none"/>
        </w:rPr>
        <w:t>单位</w:t>
      </w:r>
      <w:r>
        <w:rPr>
          <w:b/>
          <w:szCs w:val="32"/>
          <w:highlight w:val="none"/>
        </w:rPr>
        <w:t>（甲方）：</w:t>
      </w:r>
      <w:r>
        <w:rPr>
          <w:rFonts w:hint="eastAsia"/>
          <w:b/>
          <w:szCs w:val="32"/>
          <w:highlight w:val="none"/>
        </w:rPr>
        <w:t>铜川市耀州区教育体育局</w:t>
      </w:r>
    </w:p>
    <w:p w14:paraId="4778E1AA">
      <w:pPr>
        <w:spacing w:line="360" w:lineRule="auto"/>
        <w:ind w:firstLine="422" w:firstLineChars="200"/>
        <w:rPr>
          <w:b/>
          <w:szCs w:val="32"/>
          <w:highlight w:val="none"/>
        </w:rPr>
      </w:pPr>
      <w:r>
        <w:rPr>
          <w:rFonts w:hint="eastAsia"/>
          <w:b/>
          <w:szCs w:val="32"/>
          <w:highlight w:val="none"/>
          <w:lang w:eastAsia="zh-CN"/>
        </w:rPr>
        <w:t>中标人</w:t>
      </w:r>
      <w:r>
        <w:rPr>
          <w:b/>
          <w:szCs w:val="32"/>
          <w:highlight w:val="none"/>
        </w:rPr>
        <w:t>（乙方）：</w:t>
      </w:r>
      <w:r>
        <w:rPr>
          <w:rFonts w:hint="eastAsia"/>
          <w:b/>
          <w:szCs w:val="32"/>
          <w:highlight w:val="none"/>
        </w:rPr>
        <w:t xml:space="preserve">                      </w:t>
      </w:r>
    </w:p>
    <w:p w14:paraId="6AB503BB">
      <w:pPr>
        <w:spacing w:line="490" w:lineRule="exact"/>
        <w:ind w:firstLine="480" w:firstLineChars="200"/>
        <w:rPr>
          <w:rFonts w:ascii="宋体" w:hAnsi="宋体" w:cs="宋体"/>
          <w:sz w:val="24"/>
          <w:highlight w:val="none"/>
        </w:rPr>
      </w:pPr>
      <w:r>
        <w:rPr>
          <w:rFonts w:hint="eastAsia" w:ascii="宋体" w:hAnsi="宋体" w:cs="宋体"/>
          <w:sz w:val="24"/>
          <w:highlight w:val="none"/>
        </w:rPr>
        <w:t>根据《中华人民共和国民法典》及食品安全方面有关法律规定，铜川市耀州区教育体育局结合食品安全有关要求，依据本项目公开招标采购结果，对</w:t>
      </w:r>
      <w:r>
        <w:rPr>
          <w:rFonts w:hint="eastAsia" w:ascii="宋体" w:hAnsi="宋体" w:cs="宋体"/>
          <w:sz w:val="24"/>
          <w:highlight w:val="none"/>
          <w:lang w:eastAsia="zh-CN"/>
        </w:rPr>
        <w:t>各</w:t>
      </w:r>
      <w:r>
        <w:rPr>
          <w:rFonts w:hint="eastAsia" w:ascii="宋体" w:hAnsi="宋体" w:cs="宋体"/>
          <w:sz w:val="24"/>
          <w:highlight w:val="none"/>
        </w:rPr>
        <w:t>镇办辖区学校</w:t>
      </w:r>
      <w:r>
        <w:rPr>
          <w:rFonts w:hint="eastAsia" w:ascii="宋体" w:hAnsi="宋体" w:cs="宋体"/>
          <w:sz w:val="24"/>
          <w:highlight w:val="none"/>
          <w:lang w:eastAsia="zh-CN"/>
        </w:rPr>
        <w:t>食堂米面油大宗食材，蔬菜肉蛋奶、调味品等</w:t>
      </w:r>
      <w:r>
        <w:rPr>
          <w:rFonts w:hint="eastAsia" w:ascii="宋体" w:hAnsi="宋体" w:cs="宋体"/>
          <w:sz w:val="24"/>
          <w:highlight w:val="none"/>
        </w:rPr>
        <w:t>采购严格按照采购结果进行配送。甲乙双方本着协商一致、平等互利的原则，签订本合同，以供双方信守执行。</w:t>
      </w:r>
    </w:p>
    <w:p w14:paraId="0318C20F">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一、本合同实施依据</w:t>
      </w:r>
    </w:p>
    <w:p w14:paraId="75F21D1A">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1.《中华人民共和国政府采购法》；</w:t>
      </w:r>
    </w:p>
    <w:p w14:paraId="18751836">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铜川市耀州区2026-2027学年度校园食堂米面油大宗食材，蔬菜肉蛋奶、调味品等采购项目公开招标文件</w:t>
      </w:r>
      <w:r>
        <w:rPr>
          <w:rFonts w:hint="eastAsia" w:ascii="宋体" w:hAnsi="宋体" w:cs="宋体"/>
          <w:sz w:val="24"/>
          <w:highlight w:val="none"/>
        </w:rPr>
        <w:t>》。</w:t>
      </w:r>
    </w:p>
    <w:p w14:paraId="6BC49837">
      <w:pPr>
        <w:snapToGrid w:val="0"/>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二、供应的内容、价格及质量标准</w:t>
      </w:r>
    </w:p>
    <w:p w14:paraId="5C786614">
      <w:pPr>
        <w:snapToGrid w:val="0"/>
        <w:spacing w:line="480" w:lineRule="exact"/>
        <w:ind w:firstLine="420" w:firstLineChars="200"/>
        <w:rPr>
          <w:highlight w:val="none"/>
        </w:rPr>
      </w:pPr>
      <w:r>
        <w:rPr>
          <w:rFonts w:hint="eastAsia"/>
          <w:highlight w:val="none"/>
        </w:rPr>
        <w:t xml:space="preserve"> 1.</w:t>
      </w:r>
      <w:r>
        <w:rPr>
          <w:rFonts w:hint="eastAsia" w:ascii="宋体" w:hAnsi="宋体" w:cs="宋体"/>
          <w:sz w:val="24"/>
          <w:highlight w:val="none"/>
        </w:rPr>
        <w:t>本合同为(第XX包)相关学校提供米面油大宗食品等所需物资。</w:t>
      </w:r>
    </w:p>
    <w:p w14:paraId="03C6D886">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中标人</w:t>
      </w:r>
      <w:r>
        <w:rPr>
          <w:rFonts w:hint="eastAsia" w:ascii="宋体" w:hAnsi="宋体" w:cs="宋体"/>
          <w:sz w:val="24"/>
          <w:highlight w:val="none"/>
        </w:rPr>
        <w:t>配送学校、幼儿园食堂大米、面粉、食用油等物品的品牌和价格如下：</w:t>
      </w:r>
    </w:p>
    <w:tbl>
      <w:tblPr>
        <w:tblStyle w:val="16"/>
        <w:tblW w:w="86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7"/>
        <w:gridCol w:w="1061"/>
        <w:gridCol w:w="1440"/>
        <w:gridCol w:w="2126"/>
        <w:gridCol w:w="1654"/>
        <w:gridCol w:w="1179"/>
      </w:tblGrid>
      <w:tr w14:paraId="294D0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1207" w:type="dxa"/>
            <w:vAlign w:val="center"/>
          </w:tcPr>
          <w:p w14:paraId="0B4E06EB">
            <w:pPr>
              <w:widowControl/>
              <w:snapToGrid w:val="0"/>
              <w:ind w:firstLine="240" w:firstLineChars="100"/>
              <w:jc w:val="center"/>
              <w:rPr>
                <w:rFonts w:ascii="宋体" w:hAnsi="宋体" w:cs="宋体"/>
                <w:kern w:val="0"/>
                <w:sz w:val="24"/>
                <w:highlight w:val="none"/>
              </w:rPr>
            </w:pPr>
            <w:r>
              <w:rPr>
                <w:rFonts w:hint="eastAsia" w:ascii="宋体" w:hAnsi="宋体" w:cs="宋体"/>
                <w:kern w:val="0"/>
                <w:sz w:val="24"/>
                <w:highlight w:val="none"/>
              </w:rPr>
              <w:t>品名</w:t>
            </w:r>
          </w:p>
        </w:tc>
        <w:tc>
          <w:tcPr>
            <w:tcW w:w="1061" w:type="dxa"/>
            <w:vAlign w:val="center"/>
          </w:tcPr>
          <w:p w14:paraId="466C8EA7">
            <w:pPr>
              <w:widowControl/>
              <w:snapToGrid w:val="0"/>
              <w:jc w:val="center"/>
              <w:rPr>
                <w:rFonts w:ascii="宋体" w:hAnsi="宋体" w:cs="宋体"/>
                <w:kern w:val="0"/>
                <w:sz w:val="24"/>
                <w:highlight w:val="none"/>
              </w:rPr>
            </w:pPr>
            <w:r>
              <w:rPr>
                <w:rFonts w:hint="eastAsia" w:ascii="宋体" w:hAnsi="宋体" w:cs="宋体"/>
                <w:kern w:val="0"/>
                <w:sz w:val="24"/>
                <w:highlight w:val="none"/>
              </w:rPr>
              <w:t>品牌</w:t>
            </w:r>
          </w:p>
        </w:tc>
        <w:tc>
          <w:tcPr>
            <w:tcW w:w="1440" w:type="dxa"/>
            <w:vAlign w:val="center"/>
          </w:tcPr>
          <w:p w14:paraId="7794400A">
            <w:pPr>
              <w:widowControl/>
              <w:snapToGrid w:val="0"/>
              <w:ind w:firstLine="240" w:firstLineChars="100"/>
              <w:jc w:val="center"/>
              <w:rPr>
                <w:rFonts w:ascii="宋体" w:hAnsi="宋体" w:cs="宋体"/>
                <w:kern w:val="0"/>
                <w:sz w:val="24"/>
                <w:highlight w:val="none"/>
              </w:rPr>
            </w:pPr>
            <w:r>
              <w:rPr>
                <w:rFonts w:hint="eastAsia" w:ascii="宋体" w:hAnsi="宋体" w:cs="宋体"/>
                <w:kern w:val="0"/>
                <w:sz w:val="24"/>
                <w:highlight w:val="none"/>
              </w:rPr>
              <w:t>等级</w:t>
            </w:r>
          </w:p>
        </w:tc>
        <w:tc>
          <w:tcPr>
            <w:tcW w:w="2126" w:type="dxa"/>
            <w:vAlign w:val="center"/>
          </w:tcPr>
          <w:p w14:paraId="36E56009">
            <w:pPr>
              <w:widowControl/>
              <w:snapToGrid w:val="0"/>
              <w:ind w:firstLine="240" w:firstLineChars="100"/>
              <w:jc w:val="center"/>
              <w:rPr>
                <w:rFonts w:ascii="宋体" w:hAnsi="宋体" w:cs="宋体"/>
                <w:kern w:val="0"/>
                <w:sz w:val="24"/>
                <w:highlight w:val="none"/>
              </w:rPr>
            </w:pPr>
            <w:r>
              <w:rPr>
                <w:rFonts w:hint="eastAsia" w:ascii="宋体" w:hAnsi="宋体" w:cs="宋体"/>
                <w:kern w:val="0"/>
                <w:sz w:val="24"/>
                <w:highlight w:val="none"/>
              </w:rPr>
              <w:t>制造厂家</w:t>
            </w:r>
          </w:p>
        </w:tc>
        <w:tc>
          <w:tcPr>
            <w:tcW w:w="1654" w:type="dxa"/>
            <w:vAlign w:val="center"/>
          </w:tcPr>
          <w:p w14:paraId="7D0EC8DE">
            <w:pPr>
              <w:widowControl/>
              <w:snapToGrid w:val="0"/>
              <w:ind w:firstLine="240" w:firstLineChars="100"/>
              <w:jc w:val="center"/>
              <w:rPr>
                <w:rFonts w:ascii="宋体" w:hAnsi="宋体" w:cs="宋体"/>
                <w:kern w:val="0"/>
                <w:sz w:val="24"/>
                <w:highlight w:val="none"/>
              </w:rPr>
            </w:pPr>
            <w:r>
              <w:rPr>
                <w:rFonts w:hint="eastAsia" w:ascii="宋体" w:hAnsi="宋体" w:cs="宋体"/>
                <w:kern w:val="0"/>
                <w:sz w:val="24"/>
                <w:highlight w:val="none"/>
              </w:rPr>
              <w:t>包装规格</w:t>
            </w:r>
          </w:p>
        </w:tc>
        <w:tc>
          <w:tcPr>
            <w:tcW w:w="1179" w:type="dxa"/>
            <w:vAlign w:val="center"/>
          </w:tcPr>
          <w:p w14:paraId="63BF2421">
            <w:pPr>
              <w:widowControl/>
              <w:snapToGrid w:val="0"/>
              <w:jc w:val="center"/>
              <w:rPr>
                <w:rFonts w:ascii="宋体" w:hAnsi="宋体" w:cs="宋体"/>
                <w:kern w:val="0"/>
                <w:sz w:val="24"/>
                <w:highlight w:val="none"/>
              </w:rPr>
            </w:pPr>
            <w:r>
              <w:rPr>
                <w:rFonts w:hint="eastAsia" w:ascii="宋体" w:hAnsi="宋体" w:cs="宋体"/>
                <w:kern w:val="0"/>
                <w:sz w:val="24"/>
                <w:highlight w:val="none"/>
              </w:rPr>
              <w:t>价格（元）</w:t>
            </w:r>
          </w:p>
        </w:tc>
      </w:tr>
      <w:tr w14:paraId="798D5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4" w:hRule="atLeast"/>
          <w:jc w:val="center"/>
        </w:trPr>
        <w:tc>
          <w:tcPr>
            <w:tcW w:w="1207" w:type="dxa"/>
            <w:vAlign w:val="center"/>
          </w:tcPr>
          <w:p w14:paraId="44535344">
            <w:pPr>
              <w:widowControl/>
              <w:snapToGrid w:val="0"/>
              <w:jc w:val="center"/>
              <w:rPr>
                <w:rFonts w:ascii="宋体" w:hAnsi="宋体" w:cs="宋体"/>
                <w:kern w:val="0"/>
                <w:highlight w:val="none"/>
              </w:rPr>
            </w:pPr>
            <w:r>
              <w:rPr>
                <w:rFonts w:hint="eastAsia" w:ascii="宋体" w:hAnsi="宋体" w:cs="宋体"/>
                <w:kern w:val="0"/>
                <w:highlight w:val="none"/>
              </w:rPr>
              <w:t>大米</w:t>
            </w:r>
          </w:p>
        </w:tc>
        <w:tc>
          <w:tcPr>
            <w:tcW w:w="1061" w:type="dxa"/>
            <w:vAlign w:val="center"/>
          </w:tcPr>
          <w:p w14:paraId="0630CF2B">
            <w:pPr>
              <w:widowControl/>
              <w:snapToGrid w:val="0"/>
              <w:jc w:val="center"/>
              <w:rPr>
                <w:rFonts w:ascii="宋体" w:hAnsi="宋体" w:cs="宋体"/>
                <w:kern w:val="0"/>
                <w:highlight w:val="none"/>
              </w:rPr>
            </w:pPr>
          </w:p>
        </w:tc>
        <w:tc>
          <w:tcPr>
            <w:tcW w:w="1440" w:type="dxa"/>
            <w:vAlign w:val="center"/>
          </w:tcPr>
          <w:p w14:paraId="22F55D24">
            <w:pPr>
              <w:widowControl/>
              <w:snapToGrid w:val="0"/>
              <w:jc w:val="center"/>
              <w:rPr>
                <w:rFonts w:ascii="宋体" w:hAnsi="宋体" w:cs="宋体"/>
                <w:kern w:val="0"/>
                <w:highlight w:val="none"/>
              </w:rPr>
            </w:pPr>
          </w:p>
        </w:tc>
        <w:tc>
          <w:tcPr>
            <w:tcW w:w="2126" w:type="dxa"/>
            <w:vAlign w:val="center"/>
          </w:tcPr>
          <w:p w14:paraId="46D2A80E">
            <w:pPr>
              <w:widowControl/>
              <w:snapToGrid w:val="0"/>
              <w:jc w:val="center"/>
              <w:rPr>
                <w:rFonts w:ascii="宋体" w:hAnsi="宋体" w:cs="宋体"/>
                <w:kern w:val="0"/>
                <w:highlight w:val="none"/>
              </w:rPr>
            </w:pPr>
          </w:p>
        </w:tc>
        <w:tc>
          <w:tcPr>
            <w:tcW w:w="1654" w:type="dxa"/>
            <w:vAlign w:val="center"/>
          </w:tcPr>
          <w:p w14:paraId="1465196F">
            <w:pPr>
              <w:widowControl/>
              <w:snapToGrid w:val="0"/>
              <w:jc w:val="center"/>
              <w:rPr>
                <w:rFonts w:ascii="宋体" w:hAnsi="宋体" w:cs="宋体"/>
                <w:kern w:val="0"/>
                <w:sz w:val="24"/>
                <w:highlight w:val="none"/>
              </w:rPr>
            </w:pPr>
          </w:p>
        </w:tc>
        <w:tc>
          <w:tcPr>
            <w:tcW w:w="1179" w:type="dxa"/>
            <w:vAlign w:val="center"/>
          </w:tcPr>
          <w:p w14:paraId="5F83B53A">
            <w:pPr>
              <w:widowControl/>
              <w:snapToGrid w:val="0"/>
              <w:jc w:val="center"/>
              <w:rPr>
                <w:rFonts w:ascii="宋体" w:hAnsi="宋体" w:cs="宋体"/>
                <w:kern w:val="0"/>
                <w:sz w:val="24"/>
                <w:highlight w:val="none"/>
              </w:rPr>
            </w:pPr>
          </w:p>
        </w:tc>
      </w:tr>
      <w:tr w14:paraId="66B6B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207" w:type="dxa"/>
            <w:vAlign w:val="center"/>
          </w:tcPr>
          <w:p w14:paraId="57979CD3">
            <w:pPr>
              <w:snapToGrid w:val="0"/>
              <w:jc w:val="center"/>
              <w:rPr>
                <w:rFonts w:ascii="宋体" w:hAnsi="宋体" w:cs="宋体"/>
                <w:kern w:val="0"/>
                <w:highlight w:val="none"/>
              </w:rPr>
            </w:pPr>
            <w:r>
              <w:rPr>
                <w:rFonts w:hint="eastAsia" w:ascii="宋体" w:hAnsi="宋体" w:cs="宋体"/>
                <w:kern w:val="0"/>
                <w:highlight w:val="none"/>
              </w:rPr>
              <w:t>面粉</w:t>
            </w:r>
          </w:p>
        </w:tc>
        <w:tc>
          <w:tcPr>
            <w:tcW w:w="1061" w:type="dxa"/>
            <w:vAlign w:val="center"/>
          </w:tcPr>
          <w:p w14:paraId="630F529F">
            <w:pPr>
              <w:widowControl/>
              <w:snapToGrid w:val="0"/>
              <w:jc w:val="center"/>
              <w:rPr>
                <w:rFonts w:ascii="宋体" w:hAnsi="宋体" w:cs="宋体"/>
                <w:kern w:val="0"/>
                <w:highlight w:val="none"/>
              </w:rPr>
            </w:pPr>
          </w:p>
        </w:tc>
        <w:tc>
          <w:tcPr>
            <w:tcW w:w="1440" w:type="dxa"/>
            <w:vAlign w:val="center"/>
          </w:tcPr>
          <w:p w14:paraId="3044BD4F">
            <w:pPr>
              <w:widowControl/>
              <w:snapToGrid w:val="0"/>
              <w:jc w:val="center"/>
              <w:rPr>
                <w:rFonts w:ascii="宋体" w:hAnsi="宋体" w:cs="宋体"/>
                <w:kern w:val="0"/>
                <w:highlight w:val="none"/>
              </w:rPr>
            </w:pPr>
          </w:p>
        </w:tc>
        <w:tc>
          <w:tcPr>
            <w:tcW w:w="2126" w:type="dxa"/>
            <w:vAlign w:val="center"/>
          </w:tcPr>
          <w:p w14:paraId="4CD674E8">
            <w:pPr>
              <w:widowControl/>
              <w:snapToGrid w:val="0"/>
              <w:jc w:val="center"/>
              <w:rPr>
                <w:rFonts w:ascii="宋体" w:hAnsi="宋体" w:cs="宋体"/>
                <w:kern w:val="0"/>
                <w:highlight w:val="none"/>
              </w:rPr>
            </w:pPr>
          </w:p>
        </w:tc>
        <w:tc>
          <w:tcPr>
            <w:tcW w:w="1654" w:type="dxa"/>
            <w:vAlign w:val="center"/>
          </w:tcPr>
          <w:p w14:paraId="74BA3DDD">
            <w:pPr>
              <w:widowControl/>
              <w:snapToGrid w:val="0"/>
              <w:jc w:val="center"/>
              <w:rPr>
                <w:rFonts w:ascii="宋体" w:hAnsi="宋体" w:cs="宋体"/>
                <w:kern w:val="0"/>
                <w:sz w:val="24"/>
                <w:highlight w:val="none"/>
              </w:rPr>
            </w:pPr>
          </w:p>
        </w:tc>
        <w:tc>
          <w:tcPr>
            <w:tcW w:w="1179" w:type="dxa"/>
            <w:vAlign w:val="center"/>
          </w:tcPr>
          <w:p w14:paraId="0F05FFA5">
            <w:pPr>
              <w:widowControl/>
              <w:snapToGrid w:val="0"/>
              <w:jc w:val="center"/>
              <w:rPr>
                <w:rFonts w:ascii="宋体" w:hAnsi="宋体" w:cs="宋体"/>
                <w:kern w:val="0"/>
                <w:sz w:val="24"/>
                <w:highlight w:val="none"/>
              </w:rPr>
            </w:pPr>
          </w:p>
        </w:tc>
      </w:tr>
      <w:tr w14:paraId="54868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6" w:hRule="atLeast"/>
          <w:jc w:val="center"/>
        </w:trPr>
        <w:tc>
          <w:tcPr>
            <w:tcW w:w="1207" w:type="dxa"/>
            <w:vAlign w:val="center"/>
          </w:tcPr>
          <w:p w14:paraId="345486A6">
            <w:pPr>
              <w:snapToGrid w:val="0"/>
              <w:jc w:val="center"/>
              <w:rPr>
                <w:rFonts w:ascii="宋体" w:hAnsi="宋体" w:cs="宋体"/>
                <w:kern w:val="0"/>
                <w:highlight w:val="none"/>
              </w:rPr>
            </w:pPr>
            <w:r>
              <w:rPr>
                <w:rFonts w:hint="eastAsia" w:ascii="宋体" w:hAnsi="宋体" w:cs="宋体"/>
                <w:kern w:val="0"/>
                <w:highlight w:val="none"/>
              </w:rPr>
              <w:t>食用油</w:t>
            </w:r>
          </w:p>
        </w:tc>
        <w:tc>
          <w:tcPr>
            <w:tcW w:w="1061" w:type="dxa"/>
            <w:vAlign w:val="center"/>
          </w:tcPr>
          <w:p w14:paraId="39CF07F1">
            <w:pPr>
              <w:widowControl/>
              <w:snapToGrid w:val="0"/>
              <w:jc w:val="center"/>
              <w:rPr>
                <w:rFonts w:ascii="宋体" w:hAnsi="宋体" w:cs="宋体"/>
                <w:kern w:val="0"/>
                <w:highlight w:val="none"/>
              </w:rPr>
            </w:pPr>
          </w:p>
        </w:tc>
        <w:tc>
          <w:tcPr>
            <w:tcW w:w="1440" w:type="dxa"/>
            <w:vAlign w:val="center"/>
          </w:tcPr>
          <w:p w14:paraId="605CE5E4">
            <w:pPr>
              <w:widowControl/>
              <w:snapToGrid w:val="0"/>
              <w:jc w:val="center"/>
              <w:rPr>
                <w:rFonts w:ascii="宋体" w:hAnsi="宋体" w:cs="宋体"/>
                <w:kern w:val="0"/>
                <w:highlight w:val="none"/>
              </w:rPr>
            </w:pPr>
          </w:p>
        </w:tc>
        <w:tc>
          <w:tcPr>
            <w:tcW w:w="2126" w:type="dxa"/>
            <w:vAlign w:val="center"/>
          </w:tcPr>
          <w:p w14:paraId="51943081">
            <w:pPr>
              <w:widowControl/>
              <w:snapToGrid w:val="0"/>
              <w:jc w:val="center"/>
              <w:rPr>
                <w:rFonts w:ascii="宋体" w:hAnsi="宋体" w:cs="宋体"/>
                <w:kern w:val="0"/>
                <w:highlight w:val="none"/>
              </w:rPr>
            </w:pPr>
          </w:p>
        </w:tc>
        <w:tc>
          <w:tcPr>
            <w:tcW w:w="1654" w:type="dxa"/>
            <w:vAlign w:val="center"/>
          </w:tcPr>
          <w:p w14:paraId="0F01A46B">
            <w:pPr>
              <w:widowControl/>
              <w:snapToGrid w:val="0"/>
              <w:jc w:val="center"/>
              <w:rPr>
                <w:rFonts w:ascii="宋体" w:hAnsi="宋体" w:cs="宋体"/>
                <w:kern w:val="0"/>
                <w:sz w:val="24"/>
                <w:highlight w:val="none"/>
              </w:rPr>
            </w:pPr>
          </w:p>
        </w:tc>
        <w:tc>
          <w:tcPr>
            <w:tcW w:w="1179" w:type="dxa"/>
            <w:vAlign w:val="center"/>
          </w:tcPr>
          <w:p w14:paraId="27741228">
            <w:pPr>
              <w:widowControl/>
              <w:snapToGrid w:val="0"/>
              <w:jc w:val="center"/>
              <w:rPr>
                <w:rFonts w:ascii="宋体" w:hAnsi="宋体" w:cs="宋体"/>
                <w:kern w:val="0"/>
                <w:sz w:val="24"/>
                <w:highlight w:val="none"/>
              </w:rPr>
            </w:pPr>
          </w:p>
        </w:tc>
      </w:tr>
    </w:tbl>
    <w:p w14:paraId="78467A9D">
      <w:pPr>
        <w:snapToGrid w:val="0"/>
        <w:spacing w:line="480" w:lineRule="exact"/>
        <w:ind w:firstLine="630"/>
        <w:rPr>
          <w:rFonts w:ascii="宋体" w:hAnsi="宋体" w:cs="宋体"/>
          <w:sz w:val="24"/>
          <w:highlight w:val="none"/>
        </w:rPr>
      </w:pPr>
      <w:r>
        <w:rPr>
          <w:rFonts w:hint="eastAsia" w:ascii="宋体" w:hAnsi="宋体" w:cs="宋体"/>
          <w:sz w:val="24"/>
          <w:highlight w:val="none"/>
        </w:rPr>
        <w:t>备注：价格含税、运输、装卸费，送货至约定地点。</w:t>
      </w:r>
    </w:p>
    <w:p w14:paraId="150B5B2B">
      <w:pPr>
        <w:snapToGrid w:val="0"/>
        <w:spacing w:line="480" w:lineRule="exact"/>
        <w:ind w:firstLine="630"/>
        <w:rPr>
          <w:rFonts w:ascii="宋体" w:hAnsi="宋体" w:cs="宋体"/>
          <w:sz w:val="24"/>
          <w:highlight w:val="none"/>
        </w:rPr>
      </w:pPr>
      <w:r>
        <w:rPr>
          <w:rFonts w:hint="eastAsia" w:ascii="宋体" w:hAnsi="宋体" w:cs="宋体"/>
          <w:sz w:val="24"/>
          <w:highlight w:val="none"/>
        </w:rPr>
        <w:t>3.配送物品质量及包装必须合格，符合国家相关标准和强制性规定及本项目成交文件的相关要求。</w:t>
      </w:r>
    </w:p>
    <w:p w14:paraId="5EF23B64">
      <w:pPr>
        <w:snapToGrid w:val="0"/>
        <w:spacing w:line="480" w:lineRule="exact"/>
        <w:ind w:firstLine="630"/>
        <w:rPr>
          <w:rFonts w:ascii="宋体" w:hAnsi="宋体" w:cs="宋体"/>
          <w:sz w:val="24"/>
          <w:highlight w:val="none"/>
        </w:rPr>
      </w:pPr>
      <w:bookmarkStart w:id="0" w:name="OLE_LINK1"/>
      <w:bookmarkStart w:id="1" w:name="OLE_LINK2"/>
      <w:r>
        <w:rPr>
          <w:rFonts w:hint="eastAsia" w:ascii="宋体" w:hAnsi="宋体" w:cs="宋体"/>
          <w:sz w:val="24"/>
          <w:highlight w:val="none"/>
        </w:rPr>
        <w:t>三、配送方案及方式</w:t>
      </w:r>
    </w:p>
    <w:bookmarkEnd w:id="0"/>
    <w:bookmarkEnd w:id="1"/>
    <w:p w14:paraId="603785BA">
      <w:pPr>
        <w:snapToGrid w:val="0"/>
        <w:spacing w:line="480" w:lineRule="exact"/>
        <w:ind w:firstLine="630"/>
        <w:rPr>
          <w:rFonts w:hint="eastAsia" w:ascii="宋体" w:hAnsi="宋体" w:eastAsia="宋体" w:cs="宋体"/>
          <w:sz w:val="24"/>
          <w:highlight w:val="none"/>
          <w:lang w:eastAsia="zh-CN"/>
        </w:rPr>
      </w:pPr>
      <w:r>
        <w:rPr>
          <w:rFonts w:hint="eastAsia" w:ascii="宋体" w:hAnsi="宋体" w:cs="宋体"/>
          <w:sz w:val="24"/>
          <w:highlight w:val="none"/>
        </w:rPr>
        <w:t>1.配送</w:t>
      </w:r>
      <w:r>
        <w:rPr>
          <w:rFonts w:hint="eastAsia" w:ascii="宋体" w:hAnsi="宋体" w:cs="宋体"/>
          <w:sz w:val="24"/>
          <w:highlight w:val="none"/>
          <w:lang w:eastAsia="zh-CN"/>
        </w:rPr>
        <w:t>各</w:t>
      </w:r>
      <w:r>
        <w:rPr>
          <w:rFonts w:hint="eastAsia" w:ascii="宋体" w:hAnsi="宋体" w:cs="宋体"/>
          <w:sz w:val="24"/>
          <w:highlight w:val="none"/>
        </w:rPr>
        <w:t>镇办辖区学校</w:t>
      </w:r>
      <w:r>
        <w:rPr>
          <w:rFonts w:hint="eastAsia" w:ascii="宋体" w:hAnsi="宋体" w:cs="宋体"/>
          <w:sz w:val="24"/>
          <w:highlight w:val="none"/>
          <w:lang w:eastAsia="zh-CN"/>
        </w:rPr>
        <w:t>。</w:t>
      </w:r>
    </w:p>
    <w:p w14:paraId="459872F0">
      <w:pPr>
        <w:snapToGrid w:val="0"/>
        <w:spacing w:line="480" w:lineRule="exact"/>
        <w:ind w:firstLine="630"/>
        <w:rPr>
          <w:rFonts w:ascii="宋体" w:hAnsi="宋体" w:cs="宋体"/>
          <w:sz w:val="24"/>
          <w:highlight w:val="none"/>
        </w:rPr>
      </w:pPr>
      <w:r>
        <w:rPr>
          <w:rFonts w:hint="eastAsia" w:ascii="宋体" w:hAnsi="宋体" w:cs="宋体"/>
          <w:sz w:val="24"/>
          <w:highlight w:val="none"/>
        </w:rPr>
        <w:t>2.配送地点为</w:t>
      </w:r>
      <w:r>
        <w:rPr>
          <w:rFonts w:hint="eastAsia" w:ascii="宋体" w:hAnsi="宋体" w:cs="宋体"/>
          <w:sz w:val="24"/>
          <w:highlight w:val="none"/>
          <w:lang w:eastAsia="zh-CN"/>
        </w:rPr>
        <w:t>采购人指定地点</w:t>
      </w:r>
      <w:r>
        <w:rPr>
          <w:rFonts w:hint="eastAsia" w:ascii="宋体" w:hAnsi="宋体" w:cs="宋体"/>
          <w:sz w:val="24"/>
          <w:highlight w:val="none"/>
        </w:rPr>
        <w:t>。</w:t>
      </w:r>
    </w:p>
    <w:p w14:paraId="1E114710">
      <w:pPr>
        <w:snapToGrid w:val="0"/>
        <w:spacing w:line="480" w:lineRule="exact"/>
        <w:ind w:firstLine="630"/>
        <w:rPr>
          <w:rFonts w:hint="eastAsia" w:ascii="宋体" w:hAnsi="宋体" w:cs="宋体"/>
          <w:sz w:val="24"/>
          <w:highlight w:val="none"/>
        </w:rPr>
      </w:pPr>
      <w:r>
        <w:rPr>
          <w:rFonts w:hint="eastAsia" w:ascii="宋体" w:hAnsi="宋体" w:cs="宋体"/>
          <w:sz w:val="24"/>
          <w:highlight w:val="none"/>
        </w:rPr>
        <w:t>3.配送的米、面、油应根据配送学校需求配送。</w:t>
      </w:r>
    </w:p>
    <w:p w14:paraId="797E46A2">
      <w:pPr>
        <w:snapToGrid w:val="0"/>
        <w:spacing w:line="480" w:lineRule="exact"/>
        <w:ind w:firstLine="630"/>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eastAsia="zh-CN"/>
        </w:rPr>
        <w:t xml:space="preserve">供货商送货时同步交付一式四联送货清单，供货商、收货学校、教体局各留存一联 </w:t>
      </w:r>
      <w:r>
        <w:rPr>
          <w:rFonts w:hint="eastAsia" w:ascii="宋体" w:hAnsi="宋体" w:cs="宋体"/>
          <w:sz w:val="24"/>
          <w:highlight w:val="none"/>
        </w:rPr>
        <w:t>。</w:t>
      </w:r>
    </w:p>
    <w:p w14:paraId="18826D9F">
      <w:pPr>
        <w:snapToGrid w:val="0"/>
        <w:spacing w:line="480" w:lineRule="exact"/>
        <w:ind w:firstLine="630"/>
        <w:rPr>
          <w:rFonts w:ascii="宋体" w:hAnsi="宋体" w:cs="宋体"/>
          <w:sz w:val="24"/>
          <w:highlight w:val="none"/>
        </w:rPr>
      </w:pPr>
      <w:r>
        <w:rPr>
          <w:rFonts w:hint="eastAsia" w:ascii="宋体" w:hAnsi="宋体" w:cs="宋体"/>
          <w:sz w:val="24"/>
          <w:highlight w:val="none"/>
        </w:rPr>
        <w:t>四、双方权利与责任</w:t>
      </w:r>
    </w:p>
    <w:p w14:paraId="27065572">
      <w:pPr>
        <w:snapToGrid w:val="0"/>
        <w:spacing w:line="480" w:lineRule="exact"/>
        <w:ind w:firstLine="630"/>
        <w:rPr>
          <w:rFonts w:ascii="宋体" w:hAnsi="宋体" w:cs="宋体"/>
          <w:sz w:val="24"/>
          <w:highlight w:val="none"/>
        </w:rPr>
      </w:pPr>
      <w:r>
        <w:rPr>
          <w:rFonts w:hint="eastAsia" w:ascii="宋体" w:hAnsi="宋体" w:cs="宋体"/>
          <w:sz w:val="24"/>
          <w:highlight w:val="none"/>
        </w:rPr>
        <w:t>1.乙方须向甲方提供《营业执照》副本，《食品生产许可证》、《食品经营许可证》、</w:t>
      </w:r>
      <w:r>
        <w:rPr>
          <w:rFonts w:hint="eastAsia" w:ascii="宋体" w:hAnsi="宋体" w:cs="宋体"/>
          <w:sz w:val="24"/>
          <w:highlight w:val="none"/>
          <w:lang w:val="en-US" w:eastAsia="zh-CN"/>
        </w:rPr>
        <w:t>《动物防疫条件合格证》</w:t>
      </w:r>
      <w:r>
        <w:rPr>
          <w:rFonts w:hint="eastAsia" w:ascii="宋体" w:hAnsi="宋体" w:cs="宋体"/>
          <w:sz w:val="24"/>
          <w:highlight w:val="none"/>
        </w:rPr>
        <w:t>、《从业人员健康证》《质量检测报告》等原件，查验后保存复印件。</w:t>
      </w:r>
    </w:p>
    <w:p w14:paraId="464DB102">
      <w:pPr>
        <w:snapToGrid w:val="0"/>
        <w:spacing w:line="460" w:lineRule="exact"/>
        <w:ind w:firstLine="630"/>
        <w:rPr>
          <w:rFonts w:ascii="宋体" w:hAnsi="宋体" w:cs="宋体"/>
          <w:sz w:val="24"/>
          <w:highlight w:val="none"/>
        </w:rPr>
      </w:pPr>
      <w:r>
        <w:rPr>
          <w:rFonts w:hint="eastAsia" w:ascii="宋体" w:hAnsi="宋体" w:cs="宋体"/>
          <w:sz w:val="24"/>
          <w:highlight w:val="none"/>
        </w:rPr>
        <w:t>2.乙方所供应的种类、规格及价格按成交价格执行，未经甲方同意，乙方不得随意调整，如有此行为甲方有权解除本合同，因市场变动物品价格浮动超过5%以上(上下浮动小于等于5%不调整价格)，需调整价格，双方依据相关规定协商解决。若遇国家政策规定必须改变配送模式，在甲方提前告知的情况下，可变更合同或解除合同，结算时以实际数量为准。若遇国家政策规定必须改变配送模式，在甲方提前告知的情况下，可变更合同或解除合同，结算时以实际数量为准。</w:t>
      </w:r>
    </w:p>
    <w:p w14:paraId="1F8A0DEE">
      <w:pPr>
        <w:snapToGrid w:val="0"/>
        <w:spacing w:line="480" w:lineRule="exact"/>
        <w:ind w:firstLine="630"/>
        <w:rPr>
          <w:rFonts w:ascii="宋体" w:hAnsi="宋体" w:cs="宋体"/>
          <w:sz w:val="24"/>
          <w:highlight w:val="none"/>
        </w:rPr>
      </w:pPr>
      <w:r>
        <w:rPr>
          <w:rFonts w:hint="eastAsia" w:ascii="宋体" w:hAnsi="宋体" w:cs="宋体"/>
          <w:sz w:val="24"/>
          <w:highlight w:val="none"/>
        </w:rPr>
        <w:t>3.甲方为乙方提供配送学校安排。乙方根据甲方提供的名单等情况，安排制定合理的配送时间及路线。乙方未能按照甲方约定时间送货，或者送货数量不足的，甲方有权处以500-2000元罚款；如擅自调换品种，甲方将没收所有调换货物，并处以1000—10000元罚款，并取消供货资格。乙方送货超过规定时间累计3次，经甲方查实，将处以罚金，并终止合同。</w:t>
      </w:r>
    </w:p>
    <w:p w14:paraId="029745AB">
      <w:pPr>
        <w:snapToGrid w:val="0"/>
        <w:spacing w:line="480" w:lineRule="exact"/>
        <w:ind w:firstLine="630"/>
        <w:rPr>
          <w:rFonts w:ascii="宋体" w:hAnsi="宋体" w:cs="宋体"/>
          <w:sz w:val="24"/>
          <w:highlight w:val="none"/>
        </w:rPr>
      </w:pPr>
      <w:r>
        <w:rPr>
          <w:rFonts w:hint="eastAsia" w:ascii="宋体" w:hAnsi="宋体" w:cs="宋体"/>
          <w:sz w:val="24"/>
          <w:highlight w:val="none"/>
        </w:rPr>
        <w:t>4.乙方必须把食品安全和供餐安全放在第一位，必须保质保量。甲方委托学校验收，甲方收货时若发现配送的食品规格、卫生质量标准与合同规定不符时，有权拒收。若发现配送的食品有变质、过期、污染等不合格现象，甲方有权从保证金中予以扣除与货款相当的违约金，如乙方对甲方收货时提出的质量问题有异议，可委托质检部门进行检验，所需费用由乙方承担，并负责甲方因此而造成的损失。若</w:t>
      </w:r>
      <w:r>
        <w:rPr>
          <w:rFonts w:hint="eastAsia" w:ascii="宋体" w:hAnsi="宋体" w:cs="宋体"/>
          <w:kern w:val="0"/>
          <w:sz w:val="24"/>
          <w:highlight w:val="none"/>
        </w:rPr>
        <w:t>因食品质量发生事故的，乙方应积极消除不良影响，</w:t>
      </w:r>
      <w:r>
        <w:rPr>
          <w:rFonts w:hint="eastAsia" w:ascii="宋体" w:hAnsi="宋体" w:cs="宋体"/>
          <w:sz w:val="24"/>
          <w:highlight w:val="none"/>
        </w:rPr>
        <w:t>由此产生的经济损失由乙方负责承担，并负相应的法律责任，甲方有权取消乙方的供货资格。</w:t>
      </w:r>
    </w:p>
    <w:p w14:paraId="568A8484">
      <w:pPr>
        <w:snapToGrid w:val="0"/>
        <w:spacing w:line="480" w:lineRule="exact"/>
        <w:ind w:firstLine="630"/>
        <w:rPr>
          <w:rFonts w:ascii="宋体" w:hAnsi="宋体" w:cs="宋体"/>
          <w:sz w:val="24"/>
          <w:highlight w:val="none"/>
        </w:rPr>
      </w:pPr>
      <w:r>
        <w:rPr>
          <w:rFonts w:hint="eastAsia" w:ascii="宋体" w:hAnsi="宋体" w:cs="宋体"/>
          <w:sz w:val="24"/>
          <w:highlight w:val="none"/>
        </w:rPr>
        <w:t>5.乙方应建立专业的配送队伍，从业人员体检合格，健康证复印件交由甲方备案，且从业人员着装统一。运送、储藏设备、用具必须保持清洁、卫生，必须使用密封装载交通工具配送；在配送过程中，乙方车辆、人员发生的一切不安全事故，由乙方自负，甲方不承担责任。</w:t>
      </w:r>
    </w:p>
    <w:p w14:paraId="10AE9870">
      <w:pPr>
        <w:snapToGrid w:val="0"/>
        <w:spacing w:line="480" w:lineRule="exact"/>
        <w:ind w:firstLine="630"/>
        <w:rPr>
          <w:rFonts w:ascii="宋体" w:hAnsi="宋体" w:cs="宋体"/>
          <w:sz w:val="24"/>
          <w:highlight w:val="none"/>
        </w:rPr>
      </w:pPr>
      <w:r>
        <w:rPr>
          <w:rFonts w:hint="eastAsia" w:ascii="宋体" w:hAnsi="宋体" w:cs="宋体"/>
          <w:sz w:val="24"/>
          <w:highlight w:val="none"/>
        </w:rPr>
        <w:t>6.乙方应自觉接受、配合甲方会同工商、卫生、物价、质</w:t>
      </w:r>
      <w:r>
        <w:rPr>
          <w:rFonts w:hint="eastAsia" w:ascii="宋体" w:hAnsi="宋体" w:cs="宋体"/>
          <w:spacing w:val="-4"/>
          <w:sz w:val="24"/>
          <w:highlight w:val="none"/>
        </w:rPr>
        <w:t>监、药监等相关部门对配送物品及库房进行安全检查，若有安全隐患问题，乙方应积极整改。否则，甲方有权解除合同</w:t>
      </w:r>
      <w:r>
        <w:rPr>
          <w:rFonts w:hint="eastAsia" w:ascii="宋体" w:hAnsi="宋体" w:cs="宋体"/>
          <w:sz w:val="24"/>
          <w:highlight w:val="none"/>
        </w:rPr>
        <w:t>。</w:t>
      </w:r>
    </w:p>
    <w:p w14:paraId="6F0C21FE">
      <w:pPr>
        <w:snapToGrid w:val="0"/>
        <w:spacing w:line="480" w:lineRule="exact"/>
        <w:ind w:firstLine="630"/>
        <w:rPr>
          <w:rFonts w:ascii="宋体" w:hAnsi="宋体" w:cs="宋体"/>
          <w:sz w:val="24"/>
          <w:highlight w:val="none"/>
        </w:rPr>
      </w:pPr>
      <w:r>
        <w:rPr>
          <w:rFonts w:hint="eastAsia" w:ascii="宋体" w:hAnsi="宋体" w:cs="宋体"/>
          <w:sz w:val="24"/>
          <w:highlight w:val="none"/>
        </w:rPr>
        <w:t>7.学期末，甲方在</w:t>
      </w:r>
      <w:r>
        <w:rPr>
          <w:rFonts w:hint="eastAsia" w:ascii="宋体" w:hAnsi="宋体" w:cs="宋体"/>
          <w:sz w:val="24"/>
          <w:highlight w:val="none"/>
          <w:lang w:eastAsia="zh-CN"/>
        </w:rPr>
        <w:t>各镇办</w:t>
      </w:r>
      <w:r>
        <w:rPr>
          <w:rFonts w:hint="eastAsia" w:ascii="宋体" w:hAnsi="宋体" w:cs="宋体"/>
          <w:sz w:val="24"/>
          <w:highlight w:val="none"/>
        </w:rPr>
        <w:t>学校中开展乙方服务质量民意测评，满意度未达到80%以上，取消该供货商供货和再次竞标资格。</w:t>
      </w:r>
    </w:p>
    <w:p w14:paraId="2A1E8E87">
      <w:pPr>
        <w:snapToGrid w:val="0"/>
        <w:spacing w:line="480" w:lineRule="exact"/>
        <w:ind w:firstLine="630"/>
        <w:rPr>
          <w:rFonts w:ascii="宋体" w:hAnsi="宋体" w:cs="宋体"/>
          <w:sz w:val="24"/>
          <w:highlight w:val="none"/>
        </w:rPr>
      </w:pPr>
      <w:r>
        <w:rPr>
          <w:rFonts w:hint="eastAsia" w:ascii="宋体" w:hAnsi="宋体" w:cs="宋体"/>
          <w:sz w:val="24"/>
          <w:highlight w:val="none"/>
        </w:rPr>
        <w:t>五、供货期限</w:t>
      </w:r>
    </w:p>
    <w:p w14:paraId="2B4FF044">
      <w:pPr>
        <w:widowControl/>
        <w:spacing w:line="580" w:lineRule="exact"/>
        <w:ind w:firstLine="480" w:firstLineChars="200"/>
        <w:rPr>
          <w:rFonts w:ascii="宋体" w:hAnsi="宋体" w:cs="宋体"/>
          <w:sz w:val="24"/>
          <w:highlight w:val="none"/>
        </w:rPr>
      </w:pPr>
      <w:r>
        <w:rPr>
          <w:rFonts w:hint="eastAsia" w:ascii="宋体" w:hAnsi="宋体" w:cs="宋体"/>
          <w:sz w:val="24"/>
          <w:highlight w:val="none"/>
        </w:rPr>
        <w:t>本次供货的合同起止时间为 202</w:t>
      </w:r>
      <w:r>
        <w:rPr>
          <w:rFonts w:hint="eastAsia" w:ascii="宋体" w:hAnsi="宋体" w:cs="宋体"/>
          <w:sz w:val="24"/>
          <w:highlight w:val="none"/>
          <w:lang w:val="en-US" w:eastAsia="zh-CN"/>
        </w:rPr>
        <w:t>6</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月至202</w:t>
      </w:r>
      <w:r>
        <w:rPr>
          <w:rFonts w:hint="eastAsia" w:ascii="宋体" w:hAnsi="宋体" w:cs="宋体"/>
          <w:sz w:val="24"/>
          <w:highlight w:val="none"/>
          <w:lang w:val="en-US" w:eastAsia="zh-CN"/>
        </w:rPr>
        <w:t>7</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月底，合同期为一学年。</w:t>
      </w:r>
    </w:p>
    <w:p w14:paraId="1AF4E69B">
      <w:pPr>
        <w:snapToGrid w:val="0"/>
        <w:spacing w:line="480" w:lineRule="exact"/>
        <w:ind w:firstLine="630"/>
        <w:rPr>
          <w:rFonts w:ascii="宋体" w:hAnsi="宋体" w:cs="宋体"/>
          <w:sz w:val="24"/>
          <w:highlight w:val="none"/>
        </w:rPr>
      </w:pPr>
      <w:r>
        <w:rPr>
          <w:rFonts w:hint="eastAsia" w:ascii="宋体" w:hAnsi="宋体" w:cs="宋体"/>
          <w:sz w:val="24"/>
          <w:highlight w:val="none"/>
        </w:rPr>
        <w:t>六、资金结算与付款方式</w:t>
      </w:r>
    </w:p>
    <w:p w14:paraId="7B28A8CF">
      <w:pPr>
        <w:snapToGrid w:val="0"/>
        <w:spacing w:line="480" w:lineRule="exact"/>
        <w:ind w:firstLine="630"/>
        <w:rPr>
          <w:rFonts w:ascii="宋体" w:hAnsi="宋体" w:cs="宋体"/>
          <w:bCs/>
          <w:sz w:val="24"/>
          <w:highlight w:val="none"/>
        </w:rPr>
      </w:pPr>
      <w:r>
        <w:rPr>
          <w:rFonts w:hint="eastAsia" w:ascii="宋体" w:hAnsi="宋体" w:cs="宋体"/>
          <w:sz w:val="24"/>
          <w:highlight w:val="none"/>
        </w:rPr>
        <w:t>1.按实际配送的</w:t>
      </w:r>
      <w:r>
        <w:rPr>
          <w:rFonts w:hint="eastAsia" w:ascii="宋体" w:hAnsi="宋体" w:cs="宋体"/>
          <w:bCs/>
          <w:sz w:val="24"/>
          <w:highlight w:val="none"/>
        </w:rPr>
        <w:t>物品数量及成交单价核算。</w:t>
      </w:r>
    </w:p>
    <w:p w14:paraId="3D30F1A9">
      <w:pPr>
        <w:snapToGrid w:val="0"/>
        <w:spacing w:line="480" w:lineRule="exact"/>
        <w:ind w:firstLine="630"/>
        <w:rPr>
          <w:rFonts w:ascii="宋体" w:hAnsi="宋体" w:cs="宋体"/>
          <w:sz w:val="24"/>
          <w:highlight w:val="none"/>
        </w:rPr>
      </w:pPr>
      <w:r>
        <w:rPr>
          <w:rFonts w:hint="eastAsia" w:ascii="宋体" w:hAnsi="宋体" w:cs="宋体"/>
          <w:sz w:val="24"/>
          <w:highlight w:val="none"/>
        </w:rPr>
        <w:t>2.付款方式：</w:t>
      </w:r>
    </w:p>
    <w:p w14:paraId="4B0B82F2">
      <w:pPr>
        <w:spacing w:line="480" w:lineRule="exact"/>
        <w:ind w:firstLine="600" w:firstLineChars="250"/>
        <w:rPr>
          <w:rFonts w:ascii="宋体" w:hAnsi="宋体"/>
          <w:sz w:val="24"/>
          <w:highlight w:val="none"/>
        </w:rPr>
      </w:pPr>
      <w:r>
        <w:rPr>
          <w:rFonts w:hint="eastAsia" w:ascii="宋体" w:hAnsi="宋体"/>
          <w:sz w:val="24"/>
          <w:highlight w:val="none"/>
        </w:rPr>
        <w:t>供货商提供的大宗食品经双方在当月结算确认后，供货商须开据发票，按月支付，据实结算；中标</w:t>
      </w:r>
      <w:r>
        <w:rPr>
          <w:rFonts w:hint="eastAsia" w:ascii="宋体" w:hAnsi="宋体"/>
          <w:sz w:val="24"/>
          <w:highlight w:val="none"/>
          <w:lang w:eastAsia="zh-CN"/>
        </w:rPr>
        <w:t>人</w:t>
      </w:r>
      <w:r>
        <w:rPr>
          <w:rFonts w:hint="eastAsia" w:ascii="宋体" w:hAnsi="宋体"/>
          <w:sz w:val="24"/>
          <w:highlight w:val="none"/>
        </w:rPr>
        <w:t>提供的</w:t>
      </w:r>
      <w:bookmarkStart w:id="4" w:name="_GoBack"/>
      <w:bookmarkEnd w:id="4"/>
      <w:r>
        <w:rPr>
          <w:rFonts w:hint="eastAsia" w:ascii="宋体" w:hAnsi="宋体"/>
          <w:sz w:val="24"/>
          <w:highlight w:val="none"/>
          <w:lang w:eastAsia="zh-CN"/>
        </w:rPr>
        <w:t>食材</w:t>
      </w:r>
      <w:r>
        <w:rPr>
          <w:rFonts w:hint="eastAsia" w:ascii="宋体" w:hAnsi="宋体"/>
          <w:sz w:val="24"/>
          <w:highlight w:val="none"/>
        </w:rPr>
        <w:t>经双方在当月结算确认后，供货商须开据发票，在次月15日之前付清货款，如因不及时下拨经费，可适当延后付款期限。</w:t>
      </w:r>
    </w:p>
    <w:p w14:paraId="5B39F18E">
      <w:pPr>
        <w:spacing w:line="480" w:lineRule="exact"/>
        <w:ind w:firstLine="600" w:firstLineChars="250"/>
        <w:rPr>
          <w:rFonts w:ascii="宋体" w:hAnsi="宋体"/>
          <w:sz w:val="24"/>
          <w:highlight w:val="none"/>
        </w:rPr>
      </w:pPr>
      <w:r>
        <w:rPr>
          <w:rFonts w:hint="eastAsia" w:ascii="宋体" w:hAnsi="宋体"/>
          <w:sz w:val="24"/>
          <w:highlight w:val="none"/>
        </w:rPr>
        <w:t>结算：结算方式按成交单价结算，以实际发生数量为准，</w:t>
      </w:r>
      <w:r>
        <w:rPr>
          <w:rFonts w:hint="eastAsia" w:ascii="宋体" w:hAnsi="宋体"/>
          <w:sz w:val="24"/>
          <w:highlight w:val="none"/>
          <w:lang w:eastAsia="zh-CN"/>
        </w:rPr>
        <w:t>据实</w:t>
      </w:r>
      <w:r>
        <w:rPr>
          <w:rFonts w:hint="eastAsia" w:ascii="宋体" w:hAnsi="宋体"/>
          <w:sz w:val="24"/>
          <w:highlight w:val="none"/>
        </w:rPr>
        <w:t>结算。</w:t>
      </w:r>
    </w:p>
    <w:p w14:paraId="55A13755">
      <w:pPr>
        <w:snapToGrid w:val="0"/>
        <w:spacing w:line="480" w:lineRule="exact"/>
        <w:ind w:firstLine="630"/>
        <w:rPr>
          <w:rFonts w:ascii="宋体" w:hAnsi="宋体" w:cs="宋体"/>
          <w:sz w:val="24"/>
          <w:highlight w:val="none"/>
        </w:rPr>
      </w:pPr>
      <w:r>
        <w:rPr>
          <w:rFonts w:hint="eastAsia" w:ascii="宋体" w:hAnsi="宋体" w:cs="宋体"/>
          <w:sz w:val="24"/>
          <w:highlight w:val="none"/>
        </w:rPr>
        <w:t>七、履约保证金</w:t>
      </w:r>
    </w:p>
    <w:p w14:paraId="1CCCFA09">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1.乙方在签订合同时须向甲方提供本地保险公司投保最高赔付金额不低于100万元人民币的《食品责任保险》，并将保险合同复印件提交甲方备案。</w:t>
      </w:r>
    </w:p>
    <w:p w14:paraId="2CA9D425">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2.乙方应缴纳履约保证金，保证金为中标采购包</w:t>
      </w:r>
      <w:r>
        <w:rPr>
          <w:rFonts w:hint="eastAsia" w:ascii="宋体" w:hAnsi="宋体" w:cs="宋体"/>
          <w:sz w:val="24"/>
          <w:highlight w:val="none"/>
          <w:lang w:eastAsia="zh-CN"/>
        </w:rPr>
        <w:t>预算</w:t>
      </w:r>
      <w:r>
        <w:rPr>
          <w:rFonts w:hint="eastAsia" w:ascii="宋体" w:hAnsi="宋体" w:cs="宋体"/>
          <w:sz w:val="24"/>
          <w:highlight w:val="none"/>
        </w:rPr>
        <w:t>的5%，于签订合同之前以转账方式汇入甲方指定的专户。合同履行中若因</w:t>
      </w:r>
      <w:r>
        <w:rPr>
          <w:rFonts w:hint="eastAsia" w:ascii="宋体" w:hAnsi="宋体" w:cs="宋体"/>
          <w:sz w:val="24"/>
          <w:highlight w:val="none"/>
          <w:lang w:eastAsia="zh-CN"/>
        </w:rPr>
        <w:t>中标人</w:t>
      </w:r>
      <w:r>
        <w:rPr>
          <w:rFonts w:hint="eastAsia" w:ascii="宋体" w:hAnsi="宋体" w:cs="宋体"/>
          <w:sz w:val="24"/>
          <w:highlight w:val="none"/>
        </w:rPr>
        <w:t>违约导致甲方扣除货款及违约金后余额不足合同金额的5%，</w:t>
      </w:r>
      <w:r>
        <w:rPr>
          <w:rFonts w:hint="eastAsia" w:ascii="宋体" w:hAnsi="宋体" w:cs="宋体"/>
          <w:sz w:val="24"/>
          <w:highlight w:val="none"/>
          <w:lang w:eastAsia="zh-CN"/>
        </w:rPr>
        <w:t>中标人</w:t>
      </w:r>
      <w:r>
        <w:rPr>
          <w:rFonts w:hint="eastAsia" w:ascii="宋体" w:hAnsi="宋体" w:cs="宋体"/>
          <w:sz w:val="24"/>
          <w:highlight w:val="none"/>
        </w:rPr>
        <w:t>应在甲方通知后3日内补足合同金额的5%，若</w:t>
      </w:r>
      <w:r>
        <w:rPr>
          <w:rFonts w:hint="eastAsia" w:ascii="宋体" w:hAnsi="宋体" w:cs="宋体"/>
          <w:sz w:val="24"/>
          <w:highlight w:val="none"/>
          <w:lang w:eastAsia="zh-CN"/>
        </w:rPr>
        <w:t>中标人</w:t>
      </w:r>
      <w:r>
        <w:rPr>
          <w:rFonts w:hint="eastAsia" w:ascii="宋体" w:hAnsi="宋体" w:cs="宋体"/>
          <w:sz w:val="24"/>
          <w:highlight w:val="none"/>
        </w:rPr>
        <w:t>不按时补款，甲方有权解除合同，或者发生本合同约定的其他违约行为导致甲方解除合同的，甲方有权将所余保证金作为解约违约金予以扣收。在合同期满后，</w:t>
      </w:r>
      <w:r>
        <w:rPr>
          <w:rFonts w:hint="eastAsia" w:ascii="宋体" w:hAnsi="宋体" w:cs="宋体"/>
          <w:sz w:val="24"/>
          <w:highlight w:val="none"/>
          <w:lang w:eastAsia="zh-CN"/>
        </w:rPr>
        <w:t>中标人</w:t>
      </w:r>
      <w:r>
        <w:rPr>
          <w:rFonts w:hint="eastAsia" w:ascii="宋体" w:hAnsi="宋体" w:cs="宋体"/>
          <w:sz w:val="24"/>
          <w:highlight w:val="none"/>
        </w:rPr>
        <w:t xml:space="preserve">有权要求甲方退还保证金。办理退还履约保证金手续时, </w:t>
      </w:r>
      <w:r>
        <w:rPr>
          <w:rFonts w:hint="eastAsia" w:ascii="宋体" w:hAnsi="宋体" w:cs="宋体"/>
          <w:sz w:val="24"/>
          <w:highlight w:val="none"/>
          <w:lang w:eastAsia="zh-CN"/>
        </w:rPr>
        <w:t>中标人</w:t>
      </w:r>
      <w:r>
        <w:rPr>
          <w:rFonts w:hint="eastAsia" w:ascii="宋体" w:hAnsi="宋体" w:cs="宋体"/>
          <w:sz w:val="24"/>
          <w:highlight w:val="none"/>
        </w:rPr>
        <w:t>应书面向甲方提出，甲方在确认无误后，5个工作日内无息以转帐方式退还履约保证金。甲方有权将所余保证金作为解约违约金予以扣收。在合同期满后，乙方有权要求甲方退还保证金。办理退还质量保证金手续时,乙方应书面向甲方提出，甲方在确认无误后，5个工作日内无息以转帐方式退还质量保证金。</w:t>
      </w:r>
    </w:p>
    <w:p w14:paraId="541501C4">
      <w:pPr>
        <w:pStyle w:val="19"/>
        <w:spacing w:before="0" w:beforeAutospacing="0" w:after="0" w:afterAutospacing="0" w:line="500" w:lineRule="exact"/>
        <w:ind w:firstLine="480" w:firstLineChars="200"/>
        <w:jc w:val="both"/>
        <w:rPr>
          <w:rFonts w:hAnsi="宋体"/>
          <w:color w:val="000000"/>
          <w:highlight w:val="none"/>
        </w:rPr>
      </w:pPr>
      <w:r>
        <w:rPr>
          <w:rFonts w:hint="eastAsia" w:hAnsi="宋体"/>
          <w:color w:val="000000"/>
          <w:highlight w:val="none"/>
        </w:rPr>
        <w:t>八、争议的解决办法</w:t>
      </w:r>
    </w:p>
    <w:p w14:paraId="5540CDDB">
      <w:pPr>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在合同履行过程中发生争议，双方应当协商解决。双方不愿协商、调解或者协商、调解不成的，双方商定采取以下方式解决：</w:t>
      </w:r>
    </w:p>
    <w:p w14:paraId="05DCC8D2">
      <w:pPr>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1.因本合同所发生的任何争议，申请仲裁委员会仲裁。</w:t>
      </w:r>
    </w:p>
    <w:p w14:paraId="773AEFF6">
      <w:pPr>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2.按司法程序解决。</w:t>
      </w:r>
    </w:p>
    <w:p w14:paraId="354BDED5">
      <w:pPr>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九、其它未尽事宜</w:t>
      </w:r>
    </w:p>
    <w:p w14:paraId="5A21CC84">
      <w:pPr>
        <w:widowControl/>
        <w:spacing w:line="500" w:lineRule="exact"/>
        <w:ind w:firstLine="480" w:firstLineChars="200"/>
        <w:rPr>
          <w:rFonts w:ascii="宋体" w:hAnsi="宋体" w:cs="宋体"/>
          <w:kern w:val="0"/>
          <w:sz w:val="24"/>
          <w:highlight w:val="none"/>
          <w:u w:val="single"/>
        </w:rPr>
      </w:pPr>
      <w:r>
        <w:rPr>
          <w:rFonts w:hint="eastAsia" w:ascii="宋体" w:hAnsi="宋体" w:cs="宋体"/>
          <w:color w:val="000000"/>
          <w:sz w:val="24"/>
          <w:highlight w:val="none"/>
        </w:rPr>
        <w:t>1.</w:t>
      </w:r>
      <w:r>
        <w:rPr>
          <w:rFonts w:hint="eastAsia" w:ascii="宋体" w:hAnsi="宋体" w:cs="宋体"/>
          <w:kern w:val="0"/>
          <w:sz w:val="24"/>
          <w:highlight w:val="none"/>
        </w:rPr>
        <w:t>通过公开招标确定的供货商为</w:t>
      </w:r>
      <w:r>
        <w:rPr>
          <w:rFonts w:hint="eastAsia" w:ascii="宋体" w:hAnsi="宋体" w:cs="宋体"/>
          <w:kern w:val="0"/>
          <w:sz w:val="24"/>
          <w:highlight w:val="none"/>
          <w:u w:val="single"/>
        </w:rPr>
        <w:t xml:space="preserve">                 </w:t>
      </w:r>
      <w:r>
        <w:rPr>
          <w:rFonts w:hint="eastAsia" w:ascii="宋体" w:hAnsi="宋体" w:cs="宋体"/>
          <w:kern w:val="0"/>
          <w:sz w:val="24"/>
          <w:highlight w:val="none"/>
        </w:rPr>
        <w:t>,联系人：</w:t>
      </w:r>
      <w:r>
        <w:rPr>
          <w:rFonts w:hint="eastAsia" w:ascii="宋体" w:hAnsi="宋体" w:cs="宋体"/>
          <w:kern w:val="0"/>
          <w:sz w:val="24"/>
          <w:highlight w:val="none"/>
          <w:u w:val="single"/>
        </w:rPr>
        <w:t xml:space="preserve">         </w:t>
      </w:r>
      <w:r>
        <w:rPr>
          <w:rFonts w:hint="eastAsia" w:ascii="宋体" w:hAnsi="宋体" w:cs="宋体"/>
          <w:kern w:val="0"/>
          <w:sz w:val="24"/>
          <w:highlight w:val="none"/>
        </w:rPr>
        <w:t>，电话：</w:t>
      </w:r>
      <w:r>
        <w:rPr>
          <w:rFonts w:hint="eastAsia" w:ascii="宋体" w:hAnsi="宋体" w:cs="宋体"/>
          <w:kern w:val="0"/>
          <w:sz w:val="24"/>
          <w:highlight w:val="none"/>
          <w:u w:val="single"/>
        </w:rPr>
        <w:t xml:space="preserve">              </w:t>
      </w:r>
      <w:r>
        <w:rPr>
          <w:rFonts w:hint="eastAsia" w:ascii="宋体" w:hAnsi="宋体" w:cs="宋体"/>
          <w:kern w:val="0"/>
          <w:sz w:val="24"/>
          <w:highlight w:val="none"/>
        </w:rPr>
        <w:t>。</w:t>
      </w:r>
    </w:p>
    <w:p w14:paraId="137BF922">
      <w:pPr>
        <w:widowControl/>
        <w:spacing w:line="500" w:lineRule="exact"/>
        <w:ind w:firstLine="480" w:firstLineChars="200"/>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color w:val="000000"/>
          <w:sz w:val="24"/>
          <w:highlight w:val="none"/>
        </w:rPr>
        <w:t>乙方如违约，将取消其以后参加甲方采购资格。</w:t>
      </w:r>
    </w:p>
    <w:p w14:paraId="017ACDCC">
      <w:pPr>
        <w:widowControl/>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3.本合同经双方签字盖章生效，即具有法律约束力，双方必须全面履行合同规定的义务，不得单方任意变更或解除，若遇不可抗力原因，不能履行合同时，应提前三个工作日以书面形式通知对方，以书面形式变更或解除合同。</w:t>
      </w:r>
    </w:p>
    <w:p w14:paraId="34C5760D">
      <w:pPr>
        <w:spacing w:line="500" w:lineRule="exact"/>
        <w:ind w:firstLine="480" w:firstLineChars="200"/>
        <w:rPr>
          <w:rFonts w:ascii="宋体" w:hAnsi="宋体" w:cs="宋体"/>
          <w:color w:val="000000"/>
          <w:sz w:val="24"/>
          <w:highlight w:val="none"/>
        </w:rPr>
      </w:pPr>
      <w:bookmarkStart w:id="2" w:name="OLE_LINK3"/>
      <w:bookmarkStart w:id="3" w:name="OLE_LINK4"/>
      <w:r>
        <w:rPr>
          <w:rFonts w:hint="eastAsia" w:ascii="宋体" w:hAnsi="宋体" w:cs="宋体"/>
          <w:color w:val="000000"/>
          <w:sz w:val="24"/>
          <w:highlight w:val="none"/>
        </w:rPr>
        <w:t>4.本合同一式三份，甲、乙双方各一份，教体局一份。</w:t>
      </w:r>
    </w:p>
    <w:bookmarkEnd w:id="2"/>
    <w:bookmarkEnd w:id="3"/>
    <w:p w14:paraId="459E2B28">
      <w:pPr>
        <w:spacing w:line="50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5.未尽事宜，另行商议。</w:t>
      </w:r>
    </w:p>
    <w:p w14:paraId="2F56E81D">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十、本合同有效附件</w:t>
      </w:r>
    </w:p>
    <w:p w14:paraId="3F0774D5">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中标</w:t>
      </w:r>
      <w:r>
        <w:rPr>
          <w:rFonts w:hint="eastAsia" w:ascii="宋体" w:hAnsi="宋体" w:cs="宋体"/>
          <w:sz w:val="24"/>
          <w:highlight w:val="none"/>
        </w:rPr>
        <w:t>通知书。</w:t>
      </w:r>
    </w:p>
    <w:p w14:paraId="179C05AC">
      <w:pPr>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2.相关澄清等文件。</w:t>
      </w:r>
    </w:p>
    <w:p w14:paraId="203B095C">
      <w:pPr>
        <w:snapToGrid w:val="0"/>
        <w:spacing w:line="336" w:lineRule="auto"/>
        <w:ind w:firstLine="960" w:firstLineChars="400"/>
        <w:rPr>
          <w:rFonts w:ascii="宋体" w:hAnsi="宋体" w:cs="宋体"/>
          <w:sz w:val="24"/>
          <w:highlight w:val="none"/>
        </w:rPr>
      </w:pPr>
      <w:r>
        <w:rPr>
          <w:rFonts w:hint="eastAsia" w:ascii="宋体" w:hAnsi="宋体" w:cs="宋体"/>
          <w:sz w:val="24"/>
          <w:highlight w:val="none"/>
        </w:rPr>
        <w:t>甲方（盖章）：                乙方（盖章）：</w:t>
      </w:r>
    </w:p>
    <w:p w14:paraId="03377045">
      <w:pPr>
        <w:snapToGrid w:val="0"/>
        <w:spacing w:line="336" w:lineRule="auto"/>
        <w:ind w:firstLine="960" w:firstLineChars="400"/>
        <w:rPr>
          <w:rFonts w:ascii="宋体" w:hAnsi="宋体" w:cs="宋体"/>
          <w:sz w:val="24"/>
          <w:highlight w:val="none"/>
        </w:rPr>
      </w:pPr>
      <w:r>
        <w:rPr>
          <w:rFonts w:hint="eastAsia" w:ascii="宋体" w:hAnsi="宋体" w:cs="宋体"/>
          <w:sz w:val="24"/>
          <w:highlight w:val="none"/>
        </w:rPr>
        <w:t>甲方代表人签字：             乙方代表人签字：</w:t>
      </w:r>
    </w:p>
    <w:p w14:paraId="4C71C6C7">
      <w:pPr>
        <w:snapToGrid w:val="0"/>
        <w:spacing w:line="336" w:lineRule="auto"/>
        <w:ind w:firstLine="960" w:firstLineChars="400"/>
        <w:rPr>
          <w:sz w:val="24"/>
          <w:highlight w:val="none"/>
        </w:rPr>
      </w:pPr>
      <w:r>
        <w:rPr>
          <w:rFonts w:hint="eastAsia" w:ascii="宋体" w:hAnsi="宋体" w:cs="宋体"/>
          <w:sz w:val="24"/>
          <w:highlight w:val="none"/>
        </w:rPr>
        <w:t>电话：                        电话：</w:t>
      </w:r>
    </w:p>
    <w:p w14:paraId="191E9D36">
      <w:pPr>
        <w:ind w:firstLine="960" w:firstLineChars="400"/>
        <w:rPr>
          <w:rFonts w:hint="eastAsia" w:ascii="华文中宋" w:eastAsia="华文中宋"/>
          <w:color w:val="auto"/>
          <w:w w:val="90"/>
          <w:sz w:val="48"/>
          <w:szCs w:val="48"/>
          <w:highlight w:val="none"/>
        </w:rPr>
      </w:pPr>
      <w:r>
        <w:rPr>
          <w:rFonts w:hint="eastAsia" w:ascii="宋体" w:hAnsi="宋体" w:cs="宋体"/>
          <w:sz w:val="24"/>
          <w:highlight w:val="none"/>
        </w:rPr>
        <w:t>年   月   日                   年   月   日</w:t>
      </w:r>
    </w:p>
    <w:p w14:paraId="104874AE">
      <w:pPr>
        <w:rPr>
          <w:rFonts w:hint="eastAsia" w:ascii="华文中宋" w:eastAsia="华文中宋"/>
          <w:b/>
          <w:bCs/>
          <w:color w:val="auto"/>
          <w:sz w:val="44"/>
          <w:szCs w:val="44"/>
          <w:highlight w:val="none"/>
        </w:rPr>
      </w:pPr>
      <w:r>
        <w:rPr>
          <w:rFonts w:hint="eastAsia" w:ascii="华文中宋" w:eastAsia="华文中宋"/>
          <w:b/>
          <w:bCs/>
          <w:color w:val="auto"/>
          <w:sz w:val="44"/>
          <w:szCs w:val="44"/>
          <w:highlight w:val="none"/>
        </w:rPr>
        <w:br w:type="page"/>
      </w:r>
    </w:p>
    <w:p w14:paraId="47270CAC">
      <w:pPr>
        <w:spacing w:line="360" w:lineRule="auto"/>
        <w:jc w:val="center"/>
        <w:rPr>
          <w:rFonts w:hint="eastAsia" w:eastAsia="黑体"/>
          <w:sz w:val="48"/>
          <w:szCs w:val="48"/>
          <w:highlight w:val="none"/>
        </w:rPr>
      </w:pPr>
      <w:r>
        <w:rPr>
          <w:rFonts w:hint="eastAsia" w:eastAsia="黑体"/>
          <w:sz w:val="48"/>
          <w:szCs w:val="48"/>
          <w:highlight w:val="none"/>
        </w:rPr>
        <w:t>铜川市耀州区2026-2027学年度校园食堂米面油大宗食材，蔬菜肉蛋奶、调味品等采购项目</w:t>
      </w:r>
    </w:p>
    <w:p w14:paraId="732F2A18">
      <w:pPr>
        <w:spacing w:line="360" w:lineRule="auto"/>
        <w:jc w:val="center"/>
        <w:rPr>
          <w:rFonts w:hint="eastAsia" w:eastAsia="黑体"/>
          <w:sz w:val="48"/>
          <w:szCs w:val="48"/>
          <w:highlight w:val="none"/>
        </w:rPr>
      </w:pPr>
      <w:r>
        <w:rPr>
          <w:rFonts w:hint="eastAsia" w:eastAsia="黑体"/>
          <w:sz w:val="48"/>
          <w:szCs w:val="48"/>
          <w:highlight w:val="none"/>
        </w:rPr>
        <w:t>（调味品、杂粮、蔬菜肉蛋奶）</w:t>
      </w:r>
    </w:p>
    <w:p w14:paraId="22CD91B2">
      <w:pPr>
        <w:spacing w:line="360" w:lineRule="auto"/>
        <w:jc w:val="center"/>
        <w:rPr>
          <w:rFonts w:hint="eastAsia" w:eastAsia="黑体"/>
          <w:sz w:val="48"/>
          <w:szCs w:val="48"/>
          <w:highlight w:val="none"/>
        </w:rPr>
      </w:pPr>
      <w:r>
        <w:rPr>
          <w:rFonts w:hint="eastAsia" w:eastAsia="黑体"/>
          <w:sz w:val="48"/>
          <w:szCs w:val="48"/>
          <w:highlight w:val="none"/>
        </w:rPr>
        <w:t>采</w:t>
      </w:r>
      <w:r>
        <w:rPr>
          <w:rFonts w:hint="eastAsia" w:eastAsia="黑体"/>
          <w:sz w:val="48"/>
          <w:szCs w:val="48"/>
          <w:highlight w:val="none"/>
          <w:lang w:val="en-US" w:eastAsia="zh-CN"/>
        </w:rPr>
        <w:t xml:space="preserve"> </w:t>
      </w:r>
      <w:r>
        <w:rPr>
          <w:rFonts w:hint="eastAsia" w:eastAsia="黑体"/>
          <w:sz w:val="48"/>
          <w:szCs w:val="48"/>
          <w:highlight w:val="none"/>
        </w:rPr>
        <w:t>购</w:t>
      </w:r>
      <w:r>
        <w:rPr>
          <w:rFonts w:hint="eastAsia" w:eastAsia="黑体"/>
          <w:sz w:val="48"/>
          <w:szCs w:val="48"/>
          <w:highlight w:val="none"/>
          <w:lang w:val="en-US" w:eastAsia="zh-CN"/>
        </w:rPr>
        <w:t xml:space="preserve"> </w:t>
      </w:r>
      <w:r>
        <w:rPr>
          <w:rFonts w:hint="eastAsia" w:eastAsia="黑体"/>
          <w:sz w:val="48"/>
          <w:szCs w:val="48"/>
          <w:highlight w:val="none"/>
        </w:rPr>
        <w:t>合</w:t>
      </w:r>
      <w:r>
        <w:rPr>
          <w:rFonts w:hint="eastAsia" w:eastAsia="黑体"/>
          <w:sz w:val="48"/>
          <w:szCs w:val="48"/>
          <w:highlight w:val="none"/>
          <w:lang w:val="en-US" w:eastAsia="zh-CN"/>
        </w:rPr>
        <w:t xml:space="preserve"> </w:t>
      </w:r>
      <w:r>
        <w:rPr>
          <w:rFonts w:hint="eastAsia" w:eastAsia="黑体"/>
          <w:sz w:val="48"/>
          <w:szCs w:val="48"/>
          <w:highlight w:val="none"/>
        </w:rPr>
        <w:t>同</w:t>
      </w:r>
    </w:p>
    <w:p w14:paraId="2921FE77">
      <w:pPr>
        <w:spacing w:line="360" w:lineRule="auto"/>
        <w:jc w:val="center"/>
        <w:rPr>
          <w:rFonts w:hint="eastAsia" w:eastAsia="黑体"/>
          <w:sz w:val="48"/>
          <w:szCs w:val="48"/>
          <w:highlight w:val="none"/>
          <w:lang w:eastAsia="zh-CN"/>
        </w:rPr>
      </w:pPr>
      <w:r>
        <w:rPr>
          <w:rFonts w:hint="eastAsia" w:eastAsia="黑体"/>
          <w:sz w:val="48"/>
          <w:szCs w:val="48"/>
          <w:highlight w:val="none"/>
          <w:lang w:eastAsia="zh-CN"/>
        </w:rPr>
        <w:t>（参考文本）</w:t>
      </w:r>
    </w:p>
    <w:p w14:paraId="4EA7493A">
      <w:pPr>
        <w:spacing w:line="700" w:lineRule="exact"/>
        <w:rPr>
          <w:rFonts w:hint="eastAsia" w:ascii="宋体" w:hAnsi="宋体" w:eastAsia="宋体" w:cs="宋体"/>
          <w:color w:val="auto"/>
          <w:sz w:val="32"/>
          <w:szCs w:val="32"/>
          <w:highlight w:val="none"/>
        </w:rPr>
      </w:pPr>
    </w:p>
    <w:p w14:paraId="2D7A8C3E">
      <w:pPr>
        <w:spacing w:line="360" w:lineRule="auto"/>
        <w:jc w:val="both"/>
        <w:rPr>
          <w:rFonts w:eastAsia="隶书"/>
          <w:w w:val="80"/>
          <w:sz w:val="96"/>
          <w:szCs w:val="21"/>
          <w:highlight w:val="none"/>
        </w:rPr>
      </w:pPr>
    </w:p>
    <w:p w14:paraId="00179FDB">
      <w:pPr>
        <w:spacing w:line="360" w:lineRule="auto"/>
        <w:jc w:val="center"/>
        <w:rPr>
          <w:rFonts w:eastAsia="隶书"/>
          <w:w w:val="80"/>
          <w:sz w:val="96"/>
          <w:szCs w:val="96"/>
          <w:highlight w:val="none"/>
        </w:rPr>
      </w:pPr>
      <w:r>
        <w:rPr>
          <w:rFonts w:eastAsia="隶书"/>
          <w:w w:val="80"/>
          <w:sz w:val="96"/>
          <w:szCs w:val="96"/>
          <w:highlight w:val="none"/>
        </w:rPr>
        <w:t>合</w:t>
      </w:r>
    </w:p>
    <w:p w14:paraId="35318A48">
      <w:pPr>
        <w:spacing w:line="360" w:lineRule="auto"/>
        <w:jc w:val="center"/>
        <w:rPr>
          <w:rFonts w:eastAsia="隶书"/>
          <w:w w:val="80"/>
          <w:sz w:val="96"/>
          <w:szCs w:val="96"/>
          <w:highlight w:val="none"/>
        </w:rPr>
      </w:pPr>
      <w:r>
        <w:rPr>
          <w:rFonts w:eastAsia="隶书"/>
          <w:w w:val="80"/>
          <w:sz w:val="96"/>
          <w:szCs w:val="96"/>
          <w:highlight w:val="none"/>
        </w:rPr>
        <w:t>同</w:t>
      </w:r>
    </w:p>
    <w:p w14:paraId="7C3E8912">
      <w:pPr>
        <w:spacing w:line="360" w:lineRule="auto"/>
        <w:jc w:val="center"/>
        <w:rPr>
          <w:rFonts w:eastAsia="隶书"/>
          <w:w w:val="80"/>
          <w:sz w:val="96"/>
          <w:szCs w:val="96"/>
          <w:highlight w:val="none"/>
        </w:rPr>
      </w:pPr>
      <w:r>
        <w:rPr>
          <w:rFonts w:eastAsia="隶书"/>
          <w:w w:val="80"/>
          <w:sz w:val="96"/>
          <w:szCs w:val="96"/>
          <w:highlight w:val="none"/>
        </w:rPr>
        <w:t>书</w:t>
      </w:r>
    </w:p>
    <w:p w14:paraId="28EE2279">
      <w:pPr>
        <w:spacing w:line="360" w:lineRule="auto"/>
        <w:ind w:firstLine="440" w:firstLineChars="200"/>
        <w:rPr>
          <w:rFonts w:hint="eastAsia" w:ascii="宋体" w:hAnsi="宋体" w:eastAsia="宋体" w:cs="宋体"/>
          <w:sz w:val="22"/>
          <w:szCs w:val="28"/>
          <w:highlight w:val="none"/>
        </w:rPr>
      </w:pPr>
    </w:p>
    <w:p w14:paraId="4AEE4D02">
      <w:pPr>
        <w:pStyle w:val="2"/>
        <w:rPr>
          <w:rFonts w:hint="eastAsia" w:ascii="宋体" w:hAnsi="宋体" w:eastAsia="宋体" w:cs="宋体"/>
        </w:rPr>
      </w:pPr>
    </w:p>
    <w:p w14:paraId="7443D863">
      <w:pPr>
        <w:spacing w:line="360" w:lineRule="auto"/>
        <w:ind w:firstLine="440" w:firstLineChars="200"/>
        <w:rPr>
          <w:rFonts w:hint="eastAsia" w:ascii="宋体" w:hAnsi="宋体" w:eastAsia="宋体" w:cs="宋体"/>
          <w:sz w:val="22"/>
          <w:szCs w:val="28"/>
          <w:highlight w:val="none"/>
        </w:rPr>
      </w:pPr>
    </w:p>
    <w:p w14:paraId="50AC7F2C">
      <w:pPr>
        <w:spacing w:line="360" w:lineRule="auto"/>
        <w:ind w:firstLine="440" w:firstLineChars="200"/>
        <w:rPr>
          <w:rFonts w:hint="eastAsia" w:ascii="宋体" w:hAnsi="宋体" w:eastAsia="宋体" w:cs="宋体"/>
          <w:sz w:val="22"/>
          <w:szCs w:val="28"/>
          <w:highlight w:val="none"/>
        </w:rPr>
      </w:pPr>
    </w:p>
    <w:p w14:paraId="6D8EF554">
      <w:pPr>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年     月     日</w:t>
      </w:r>
    </w:p>
    <w:p w14:paraId="7BD33FB4">
      <w:pPr>
        <w:spacing w:line="700" w:lineRule="exact"/>
        <w:jc w:val="center"/>
        <w:rPr>
          <w:rFonts w:hint="eastAsia" w:ascii="宋体" w:hAnsi="宋体" w:eastAsia="宋体" w:cs="宋体"/>
          <w:b/>
          <w:color w:val="auto"/>
          <w:sz w:val="36"/>
          <w:szCs w:val="36"/>
          <w:highlight w:val="none"/>
        </w:rPr>
      </w:pPr>
    </w:p>
    <w:p w14:paraId="1A7153EE">
      <w:pPr>
        <w:pStyle w:val="2"/>
        <w:rPr>
          <w:rFonts w:hint="eastAsia" w:ascii="宋体" w:hAnsi="宋体" w:eastAsia="宋体" w:cs="宋体"/>
          <w:color w:val="auto"/>
          <w:highlight w:val="none"/>
        </w:rPr>
      </w:pPr>
    </w:p>
    <w:p w14:paraId="1FCF3D2A">
      <w:pPr>
        <w:rPr>
          <w:rFonts w:hint="eastAsia" w:ascii="宋体" w:hAnsi="宋体" w:eastAsia="宋体" w:cs="宋体"/>
          <w:color w:val="auto"/>
          <w:sz w:val="18"/>
          <w:szCs w:val="21"/>
          <w:highlight w:val="none"/>
        </w:rPr>
      </w:pPr>
    </w:p>
    <w:p w14:paraId="2E46F85C">
      <w:pPr>
        <w:rPr>
          <w:rFonts w:hint="eastAsia" w:ascii="宋体" w:hAnsi="宋体" w:eastAsia="宋体" w:cs="宋体"/>
          <w:sz w:val="40"/>
          <w:szCs w:val="40"/>
          <w:highlight w:val="none"/>
        </w:rPr>
      </w:pPr>
      <w:r>
        <w:rPr>
          <w:rFonts w:hint="eastAsia" w:ascii="宋体" w:hAnsi="宋体" w:eastAsia="宋体" w:cs="宋体"/>
          <w:sz w:val="40"/>
          <w:szCs w:val="40"/>
          <w:highlight w:val="none"/>
        </w:rPr>
        <w:br w:type="page"/>
      </w:r>
    </w:p>
    <w:p w14:paraId="5985FC5B">
      <w:pPr>
        <w:spacing w:line="56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采购合同</w:t>
      </w:r>
    </w:p>
    <w:p w14:paraId="7C2DA396">
      <w:pPr>
        <w:spacing w:line="360" w:lineRule="auto"/>
        <w:ind w:firstLine="482" w:firstLineChars="200"/>
        <w:rPr>
          <w:rFonts w:hint="eastAsia" w:ascii="宋体" w:hAnsi="宋体" w:eastAsia="宋体" w:cs="宋体"/>
          <w:b/>
          <w:sz w:val="24"/>
          <w:szCs w:val="24"/>
          <w:highlight w:val="none"/>
        </w:rPr>
      </w:pPr>
    </w:p>
    <w:p w14:paraId="358C3142">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采购单位（甲方）：铜川市耀州区教育体育局</w:t>
      </w:r>
    </w:p>
    <w:p w14:paraId="716B0957">
      <w:pPr>
        <w:spacing w:line="58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中标人</w:t>
      </w:r>
      <w:r>
        <w:rPr>
          <w:rFonts w:hint="eastAsia" w:ascii="宋体" w:hAnsi="宋体" w:eastAsia="宋体" w:cs="宋体"/>
          <w:b/>
          <w:sz w:val="24"/>
          <w:szCs w:val="24"/>
          <w:highlight w:val="none"/>
        </w:rPr>
        <w:t xml:space="preserve">（乙方）：    </w:t>
      </w:r>
    </w:p>
    <w:p w14:paraId="3D6B4F7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根据</w:t>
      </w:r>
      <w:r>
        <w:rPr>
          <w:rFonts w:hint="eastAsia" w:ascii="宋体" w:hAnsi="宋体" w:eastAsia="宋体" w:cs="宋体"/>
          <w:color w:val="auto"/>
          <w:kern w:val="0"/>
          <w:sz w:val="24"/>
          <w:szCs w:val="24"/>
          <w:highlight w:val="none"/>
          <w:lang w:eastAsia="zh-CN"/>
        </w:rPr>
        <w:t>《中华人民共和国民法典》</w:t>
      </w:r>
      <w:r>
        <w:rPr>
          <w:rFonts w:hint="eastAsia" w:ascii="宋体" w:hAnsi="宋体" w:eastAsia="宋体" w:cs="宋体"/>
          <w:color w:val="auto"/>
          <w:kern w:val="0"/>
          <w:sz w:val="24"/>
          <w:szCs w:val="24"/>
          <w:highlight w:val="none"/>
        </w:rPr>
        <w:t>及食品安全方面有关法律规定，</w:t>
      </w:r>
      <w:r>
        <w:rPr>
          <w:rFonts w:hint="eastAsia" w:ascii="宋体" w:hAnsi="宋体" w:eastAsia="宋体" w:cs="宋体"/>
          <w:color w:val="auto"/>
          <w:sz w:val="24"/>
          <w:szCs w:val="24"/>
          <w:highlight w:val="none"/>
        </w:rPr>
        <w:t>区教科体局</w:t>
      </w:r>
      <w:r>
        <w:rPr>
          <w:rFonts w:hint="eastAsia" w:ascii="宋体" w:hAnsi="宋体" w:eastAsia="宋体" w:cs="宋体"/>
          <w:color w:val="auto"/>
          <w:kern w:val="0"/>
          <w:sz w:val="24"/>
          <w:szCs w:val="24"/>
          <w:highlight w:val="none"/>
        </w:rPr>
        <w:t>依据</w:t>
      </w:r>
      <w:r>
        <w:rPr>
          <w:rFonts w:hint="eastAsia" w:ascii="宋体" w:hAnsi="宋体" w:eastAsia="宋体" w:cs="宋体"/>
          <w:color w:val="auto"/>
          <w:kern w:val="0"/>
          <w:sz w:val="24"/>
          <w:szCs w:val="24"/>
          <w:highlight w:val="none"/>
          <w:lang w:eastAsia="zh-CN"/>
        </w:rPr>
        <w:t>铜川市耀州区2026-2027学年度校园食堂米面油大宗食材，蔬菜肉蛋奶、调味品等采购项目</w:t>
      </w:r>
      <w:r>
        <w:rPr>
          <w:rFonts w:hint="eastAsia" w:ascii="宋体" w:hAnsi="宋体" w:eastAsia="宋体" w:cs="宋体"/>
          <w:color w:val="auto"/>
          <w:sz w:val="24"/>
          <w:szCs w:val="24"/>
          <w:highlight w:val="none"/>
        </w:rPr>
        <w:t>公开招标采购结果，确定乙方为供应商。为</w:t>
      </w:r>
      <w:r>
        <w:rPr>
          <w:rFonts w:hint="eastAsia" w:ascii="宋体" w:hAnsi="宋体" w:eastAsia="宋体" w:cs="宋体"/>
          <w:color w:val="auto"/>
          <w:kern w:val="0"/>
          <w:sz w:val="24"/>
          <w:szCs w:val="24"/>
          <w:highlight w:val="none"/>
        </w:rPr>
        <w:t>保障学生饮食安全和供货及时</w:t>
      </w:r>
      <w:r>
        <w:rPr>
          <w:rFonts w:hint="eastAsia" w:ascii="宋体" w:hAnsi="宋体" w:eastAsia="宋体" w:cs="宋体"/>
          <w:color w:val="auto"/>
          <w:sz w:val="24"/>
          <w:szCs w:val="24"/>
          <w:highlight w:val="none"/>
        </w:rPr>
        <w:t>，甲乙双方本着协商一致</w:t>
      </w:r>
      <w:r>
        <w:rPr>
          <w:rFonts w:hint="eastAsia" w:ascii="宋体" w:hAnsi="宋体" w:eastAsia="宋体" w:cs="宋体"/>
          <w:color w:val="auto"/>
          <w:kern w:val="0"/>
          <w:sz w:val="24"/>
          <w:szCs w:val="24"/>
          <w:highlight w:val="none"/>
        </w:rPr>
        <w:t>、平等互利的原则，</w:t>
      </w:r>
      <w:r>
        <w:rPr>
          <w:rFonts w:hint="eastAsia" w:ascii="宋体" w:hAnsi="宋体" w:eastAsia="宋体" w:cs="宋体"/>
          <w:color w:val="auto"/>
          <w:sz w:val="24"/>
          <w:szCs w:val="24"/>
          <w:highlight w:val="none"/>
        </w:rPr>
        <w:t>签订本合同。</w:t>
      </w:r>
    </w:p>
    <w:p w14:paraId="2283E28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一、项目基本情况</w:t>
      </w:r>
    </w:p>
    <w:p w14:paraId="1AFCA92F">
      <w:pPr>
        <w:pStyle w:val="20"/>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1.本合同为(第XX包)相关学校提供</w:t>
      </w:r>
      <w:r>
        <w:rPr>
          <w:rFonts w:hint="eastAsia" w:ascii="宋体" w:hAnsi="宋体" w:eastAsia="宋体" w:cs="宋体"/>
          <w:color w:val="auto"/>
          <w:kern w:val="0"/>
          <w:sz w:val="24"/>
          <w:szCs w:val="24"/>
          <w:highlight w:val="none"/>
          <w:lang w:eastAsia="zh-CN"/>
        </w:rPr>
        <w:t>蔬菜肉蛋奶、调味品等</w:t>
      </w:r>
      <w:r>
        <w:rPr>
          <w:rFonts w:hint="eastAsia" w:ascii="宋体" w:hAnsi="宋体" w:eastAsia="宋体" w:cs="宋体"/>
          <w:color w:val="auto"/>
          <w:sz w:val="24"/>
          <w:szCs w:val="24"/>
          <w:highlight w:val="none"/>
        </w:rPr>
        <w:t>等后勤管理所需物资。</w:t>
      </w:r>
    </w:p>
    <w:p w14:paraId="0B7DA578">
      <w:pPr>
        <w:pStyle w:val="6"/>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结算价格</w:t>
      </w:r>
      <w:r>
        <w:rPr>
          <w:rFonts w:hint="eastAsia" w:ascii="宋体" w:hAnsi="宋体" w:eastAsia="宋体" w:cs="宋体"/>
          <w:color w:val="auto"/>
          <w:sz w:val="24"/>
          <w:szCs w:val="24"/>
          <w:highlight w:val="none"/>
        </w:rPr>
        <w:t>均以</w:t>
      </w:r>
      <w:r>
        <w:rPr>
          <w:rFonts w:hint="eastAsia" w:ascii="宋体" w:hAnsi="宋体" w:eastAsia="宋体" w:cs="宋体"/>
          <w:color w:val="auto"/>
          <w:sz w:val="24"/>
          <w:szCs w:val="24"/>
          <w:highlight w:val="none"/>
          <w:lang w:val="en-US" w:eastAsia="zh-CN"/>
        </w:rPr>
        <w:t>双方</w:t>
      </w:r>
      <w:r>
        <w:rPr>
          <w:rFonts w:hint="eastAsia" w:ascii="宋体" w:hAnsi="宋体" w:eastAsia="宋体" w:cs="宋体"/>
          <w:color w:val="auto"/>
          <w:sz w:val="24"/>
          <w:szCs w:val="24"/>
          <w:highlight w:val="none"/>
        </w:rPr>
        <w:t>约定</w:t>
      </w:r>
      <w:r>
        <w:rPr>
          <w:rFonts w:hint="eastAsia" w:ascii="宋体" w:hAnsi="宋体" w:eastAsia="宋体" w:cs="宋体"/>
          <w:color w:val="auto"/>
          <w:sz w:val="24"/>
          <w:szCs w:val="24"/>
          <w:highlight w:val="none"/>
          <w:lang w:val="en-US" w:eastAsia="zh-CN"/>
        </w:rPr>
        <w:t>及招标文件规定</w:t>
      </w:r>
      <w:r>
        <w:rPr>
          <w:rFonts w:hint="eastAsia" w:ascii="宋体" w:hAnsi="宋体" w:eastAsia="宋体" w:cs="宋体"/>
          <w:color w:val="auto"/>
          <w:sz w:val="24"/>
          <w:szCs w:val="24"/>
          <w:highlight w:val="none"/>
        </w:rPr>
        <w:t>为准，包含运输、装卸费用和税金。</w:t>
      </w:r>
    </w:p>
    <w:p w14:paraId="14D34034">
      <w:pPr>
        <w:pStyle w:val="6"/>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3.乙方根据甲方需求协商确定采购数量，结帐时以实际数量为准。</w:t>
      </w:r>
    </w:p>
    <w:p w14:paraId="48A3BD3D">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w:t>
      </w:r>
      <w:r>
        <w:rPr>
          <w:rFonts w:hint="eastAsia" w:ascii="宋体" w:hAnsi="宋体" w:eastAsia="宋体" w:cs="宋体"/>
          <w:color w:val="auto"/>
          <w:sz w:val="24"/>
          <w:szCs w:val="24"/>
          <w:highlight w:val="none"/>
        </w:rPr>
        <w:t>质量标准及</w:t>
      </w:r>
      <w:r>
        <w:rPr>
          <w:rFonts w:hint="eastAsia" w:ascii="宋体" w:hAnsi="宋体" w:eastAsia="宋体" w:cs="宋体"/>
          <w:color w:val="auto"/>
          <w:kern w:val="0"/>
          <w:sz w:val="24"/>
          <w:szCs w:val="24"/>
          <w:highlight w:val="none"/>
        </w:rPr>
        <w:t>要求</w:t>
      </w:r>
    </w:p>
    <w:p w14:paraId="7D54A68B">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1.乙方必须把食品安全放在第一位，必须保质保量。出售给甲方的食品必须保证新鲜完整、无破损、变质，表面清洁，不沾附泥污等物。配送物品质量及包装必须合格，符合国家现行的有效标准和强制性规定。</w:t>
      </w:r>
    </w:p>
    <w:p w14:paraId="75D433ED">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冷鲜猪肉、冷鲜牛肉、鲜（冻）鸡鸭等产品须具备动物检疫合格证明、肉品品质检验合格印章及相关有效资质证明；配送须使用合规冷链运输车辆</w:t>
      </w:r>
      <w:r>
        <w:rPr>
          <w:rFonts w:hint="eastAsia" w:ascii="宋体" w:hAnsi="宋体" w:eastAsia="宋体" w:cs="宋体"/>
          <w:color w:val="auto"/>
          <w:kern w:val="0"/>
          <w:sz w:val="24"/>
          <w:szCs w:val="24"/>
          <w:highlight w:val="none"/>
        </w:rPr>
        <w:t>。</w:t>
      </w:r>
    </w:p>
    <w:p w14:paraId="734E5E54">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禽蛋、蔬菜须符合《中华人民共和国食品安全法》《中华人民共和国农产品质量安全法》相关规定，农残指标达标，保证新鲜</w:t>
      </w:r>
      <w:r>
        <w:rPr>
          <w:rFonts w:hint="eastAsia" w:ascii="宋体" w:hAnsi="宋体" w:eastAsia="宋体" w:cs="宋体"/>
          <w:color w:val="auto"/>
          <w:kern w:val="0"/>
          <w:sz w:val="24"/>
          <w:szCs w:val="24"/>
          <w:highlight w:val="none"/>
        </w:rPr>
        <w:t>。</w:t>
      </w:r>
    </w:p>
    <w:p w14:paraId="5393ECEC">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2.乙方须向甲方提供质量保证书。乙方必须信誉好，诚实守信，把确保质量、数量、价格、交货、服务作为供应条件配送。</w:t>
      </w:r>
    </w:p>
    <w:p w14:paraId="65F0039E">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三、供货要求</w:t>
      </w:r>
    </w:p>
    <w:p w14:paraId="2404AD67">
      <w:pPr>
        <w:pStyle w:val="21"/>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1.乙方必须向甲方提供《企业法人营业执照》副本、《机构信用代码证》或三证合一、《食品经营许可证》</w:t>
      </w:r>
      <w:r>
        <w:rPr>
          <w:rFonts w:hint="eastAsia" w:ascii="宋体" w:hAnsi="宋体" w:eastAsia="宋体" w:cs="宋体"/>
          <w:color w:val="auto"/>
          <w:sz w:val="24"/>
          <w:szCs w:val="24"/>
          <w:highlight w:val="none"/>
          <w:lang w:val="en-US" w:eastAsia="zh-CN"/>
        </w:rPr>
        <w:t>及《动物防疫条件合格证》、</w:t>
      </w:r>
      <w:r>
        <w:rPr>
          <w:rFonts w:hint="eastAsia" w:ascii="宋体" w:hAnsi="宋体" w:eastAsia="宋体" w:cs="宋体"/>
          <w:color w:val="auto"/>
          <w:sz w:val="24"/>
          <w:szCs w:val="24"/>
          <w:highlight w:val="none"/>
        </w:rPr>
        <w:t>从业人员《健康证》等原件，查验后保存复印件（加盖公章）。同时须提供生产厂家《食品生产许可证》、《食品经营许可证》</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lang w:val="en-US" w:eastAsia="zh-CN"/>
        </w:rPr>
        <w:t xml:space="preserve">《动物防疫条件合格证》、 </w:t>
      </w:r>
    </w:p>
    <w:p w14:paraId="4D503843">
      <w:pPr>
        <w:pStyle w:val="21"/>
        <w:spacing w:before="0" w:beforeAutospacing="0" w:after="0" w:afterAutospacing="0" w:line="58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每批次配送食品的检测报告或食品检验合格证复印件（加盖公章）。如乙方未能按照要求提供上述证书，甲方有权拒绝收货。</w:t>
      </w:r>
    </w:p>
    <w:p w14:paraId="20D2BE99">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2.乙方严格按照各学校所需要的品种和数量提供采购服务，乙方不得违背校方意愿擅自调换。</w:t>
      </w:r>
    </w:p>
    <w:p w14:paraId="00E290F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3.乙方按时每天向学校送货，保证货物充足，保证质量。具体交货时间和地点由校方确定。</w:t>
      </w:r>
    </w:p>
    <w:p w14:paraId="79417C23">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供货商送货时同步交付一式四联送货清单，供货商、收货学校、教体局各留存一联</w:t>
      </w:r>
      <w:r>
        <w:rPr>
          <w:rFonts w:hint="eastAsia" w:ascii="宋体" w:hAnsi="宋体" w:eastAsia="宋体" w:cs="宋体"/>
          <w:color w:val="auto"/>
          <w:sz w:val="24"/>
          <w:szCs w:val="24"/>
          <w:highlight w:val="none"/>
        </w:rPr>
        <w:t>。</w:t>
      </w:r>
    </w:p>
    <w:p w14:paraId="088D25FB">
      <w:pPr>
        <w:pStyle w:val="22"/>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四、食品安全要求</w:t>
      </w:r>
    </w:p>
    <w:p w14:paraId="3C446E3D">
      <w:pPr>
        <w:pStyle w:val="22"/>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乙方应严格遵守《食品安全法》等食品安全相关规定，一经发现供应以下食品，除全部退货外，将取消供货资格，没收全部履约保证金，乙方承担由此造成的经济损失和法律责任：</w:t>
      </w:r>
    </w:p>
    <w:p w14:paraId="2D1DE8FF">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1.腐败变质、污秽不洁、混有异物或者其他感官性状异常，对人体健康有害的。</w:t>
      </w:r>
    </w:p>
    <w:p w14:paraId="69B0AD04">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2.含有毒、有害物质或者被有害物质污染，对人体健康有害的。</w:t>
      </w:r>
    </w:p>
    <w:p w14:paraId="00F4C170">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3.未经动物检疫部门检疫、检验或者检疫、检验不合格的肉类及其制品。</w:t>
      </w:r>
    </w:p>
    <w:p w14:paraId="60EFE52F">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4.掺假、掺杂、伪造，影响营养、健康的。</w:t>
      </w:r>
    </w:p>
    <w:p w14:paraId="5FC8FCB9">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5.用非食品原料加工的，加入非食品用化学物质或者将非食品当作食品的。</w:t>
      </w:r>
    </w:p>
    <w:p w14:paraId="60AEBA92">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6.超过保质期限的。</w:t>
      </w:r>
    </w:p>
    <w:p w14:paraId="3F9CD874">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五、权利与义务</w:t>
      </w:r>
    </w:p>
    <w:p w14:paraId="6D29D3A3">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1.合同签订生效后，</w:t>
      </w:r>
      <w:r>
        <w:rPr>
          <w:rFonts w:hint="eastAsia" w:ascii="宋体" w:hAnsi="宋体" w:eastAsia="宋体" w:cs="宋体"/>
          <w:color w:val="auto"/>
          <w:sz w:val="24"/>
          <w:szCs w:val="24"/>
          <w:highlight w:val="none"/>
        </w:rPr>
        <w:t>乙方应及时联系学校签订供货合同，</w:t>
      </w:r>
      <w:r>
        <w:rPr>
          <w:rFonts w:hint="eastAsia" w:ascii="宋体" w:hAnsi="宋体" w:eastAsia="宋体" w:cs="宋体"/>
          <w:color w:val="auto"/>
          <w:kern w:val="0"/>
          <w:sz w:val="24"/>
          <w:szCs w:val="24"/>
          <w:highlight w:val="none"/>
        </w:rPr>
        <w:t>按照甲方所需进行供应。</w:t>
      </w:r>
    </w:p>
    <w:p w14:paraId="19399A18">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2.甲方委托学校验收货物，如发现不合乎招标文件要求的食品，有权拒收。</w:t>
      </w:r>
    </w:p>
    <w:p w14:paraId="538AD291">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rPr>
        <w:t>乙方供应的食品种类、规格、价格</w:t>
      </w:r>
      <w:r>
        <w:rPr>
          <w:rFonts w:hint="eastAsia" w:ascii="宋体" w:hAnsi="宋体" w:eastAsia="宋体" w:cs="宋体"/>
          <w:color w:val="auto"/>
          <w:sz w:val="24"/>
          <w:szCs w:val="24"/>
          <w:highlight w:val="none"/>
          <w:lang w:val="en-US" w:eastAsia="zh-CN"/>
        </w:rPr>
        <w:t>双方</w:t>
      </w:r>
      <w:r>
        <w:rPr>
          <w:rFonts w:hint="eastAsia" w:ascii="宋体" w:hAnsi="宋体" w:eastAsia="宋体" w:cs="宋体"/>
          <w:color w:val="auto"/>
          <w:sz w:val="24"/>
          <w:szCs w:val="24"/>
          <w:highlight w:val="none"/>
        </w:rPr>
        <w:t>约定</w:t>
      </w:r>
      <w:r>
        <w:rPr>
          <w:rFonts w:hint="eastAsia" w:ascii="宋体" w:hAnsi="宋体" w:eastAsia="宋体" w:cs="宋体"/>
          <w:color w:val="auto"/>
          <w:sz w:val="24"/>
          <w:szCs w:val="24"/>
          <w:highlight w:val="none"/>
          <w:lang w:val="en-US" w:eastAsia="zh-CN"/>
        </w:rPr>
        <w:t>及招标文件规定</w:t>
      </w:r>
      <w:r>
        <w:rPr>
          <w:rFonts w:hint="eastAsia" w:ascii="宋体" w:hAnsi="宋体" w:eastAsia="宋体" w:cs="宋体"/>
          <w:color w:val="auto"/>
          <w:sz w:val="24"/>
          <w:szCs w:val="24"/>
          <w:highlight w:val="none"/>
        </w:rPr>
        <w:t>执行，调味品、杂粮（小米、黑米、江米、绿豆、玉米糁、豇豆、麦片、红豆等）、蔬菜、肉、蛋、奶采购标准须符合国家现行食品安全相关法律法规要求，来源可追溯。由投标人与配送学校签订配送合同，实施配送过程中，按照询价采价相关规定确定单品价格。</w:t>
      </w:r>
    </w:p>
    <w:p w14:paraId="44F34EBD">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（1）冷鲜猪肉、冷鲜牛肉、鲜（冻）鸡鸭等产品须具备动物检疫合格证明、肉品品质检验合格印章及相关有效资质证明；配送须使用合规冷链运输车辆。</w:t>
      </w:r>
    </w:p>
    <w:p w14:paraId="6449F191">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（2）禽蛋、蔬菜须符合《中华人民共和国食品安全法》《中华人民共和国农产品质量安全法》相关规定，农残指标达标，保证新鲜。</w:t>
      </w:r>
    </w:p>
    <w:p w14:paraId="0E952378">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（3）蔬菜、肉、蛋、奶供货价格参考铜川市发改委发布的《铜川市蔬菜价格监测周报表》，每周开展采价、询价后核定当期执行价格。</w:t>
      </w:r>
    </w:p>
    <w:p w14:paraId="3A2AB09D">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注：以上采购内容最终以采购人实际需求为准，据实结算。</w:t>
      </w:r>
    </w:p>
    <w:p w14:paraId="6F04C17F">
      <w:pPr>
        <w:widowControl/>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4.乙方根据甲方确定的学校名单，及时给校方供货。乙方未能按照甲方约定时间送货，或者送货数量不足的，累计3次，已经构成严重违约，甲方有权取消乙方供货资格，并追究乙方违约责任。</w:t>
      </w:r>
    </w:p>
    <w:p w14:paraId="43B1054C">
      <w:pPr>
        <w:pStyle w:val="23"/>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甲方有责任对乙方供应的每一批次食品进行监督、检查，严把食品质量关，发现问题及时处置，杜绝食物中毒事故发生。乙方有责任按照甲方制定的食品安全突发事件应急预案，配合学校快速处理食品安全突发事件，并依法承担相应责任。</w:t>
      </w:r>
    </w:p>
    <w:p w14:paraId="6C4FD468">
      <w:pPr>
        <w:pStyle w:val="24"/>
        <w:spacing w:before="0" w:beforeAutospacing="0" w:after="0" w:afterAutospacing="0"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对供应的食品的质量、安全和卫生负全责，保证供应的食品质量达标、安全可靠、卫生清洁。如发现配送的食品有变质、过期、污染等不合格现象，甲方有权从保证金中予以扣除与货款相当的违约金。如乙方对甲方收货时提出的质量问题有异议，可委托质监部门进行检验，所需费用由乙方承担，并负责甲方由此造成的损失。若因食品质量发生安全事故，乙方应承担所有责任，并承担法律后果。若因学校私自外购食品发生事故，由此产生的社会影响和经济损失由甲方承担，并负相关的法律责任。</w:t>
      </w:r>
    </w:p>
    <w:p w14:paraId="007724EB">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乙方应建立专业的配送队伍。从业人员体检合格，健康证复印件交由甲方备案。必须使用密封装载交通工具配送。配送工具和装载工具，必须保持安全、清洁、卫生，经常消毒，配送过程中的运输安全和卫生安全由乙方负责。</w:t>
      </w:r>
    </w:p>
    <w:p w14:paraId="37167A4C">
      <w:pPr>
        <w:spacing w:line="600" w:lineRule="exact"/>
        <w:ind w:firstLine="520"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9、</w:t>
      </w:r>
      <w:r>
        <w:rPr>
          <w:rFonts w:hint="eastAsia" w:ascii="宋体" w:hAnsi="宋体" w:eastAsia="宋体" w:cs="宋体"/>
          <w:color w:val="auto"/>
          <w:sz w:val="24"/>
          <w:szCs w:val="24"/>
          <w:highlight w:val="none"/>
        </w:rPr>
        <w:t>学期末，甲方在基层学校（幼儿园）中开展乙方服务质量民意测评，满意度未达到80%以上，取消该供货商再次竞标资格。</w:t>
      </w:r>
    </w:p>
    <w:p w14:paraId="2B74EDE5">
      <w:pPr>
        <w:pStyle w:val="24"/>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10.乙方出现以下情况之一的，甲方可以单方解除与乙方的合同：</w:t>
      </w:r>
    </w:p>
    <w:p w14:paraId="629C691A">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（1）乙方签约人无故更换的；</w:t>
      </w:r>
    </w:p>
    <w:p w14:paraId="1386509A">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（2）乙方没有按投标书的承诺按质按时配送食品，掺杂掺假，使用无证、过期、有害食品，危害学生身心健康，情节严重的；</w:t>
      </w:r>
    </w:p>
    <w:p w14:paraId="24437EFE">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（3）乙方降低食品质量标准，延时、减量供应，服务态度恶劣，随意变更供应方案，严重缺失食品安全保障条件；</w:t>
      </w:r>
    </w:p>
    <w:p w14:paraId="5A122F17">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（4）乙方在食品供应期间因送货质量问题，发生重大食品安全事故的；</w:t>
      </w:r>
    </w:p>
    <w:p w14:paraId="7BA47CE4">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（5）乙方在履约期间，连续3天以上停止供应的；</w:t>
      </w:r>
    </w:p>
    <w:p w14:paraId="52625C29">
      <w:pPr>
        <w:pStyle w:val="25"/>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（6）乙方在区级组织的</w:t>
      </w:r>
      <w:r>
        <w:rPr>
          <w:rFonts w:hint="eastAsia" w:hAnsi="宋体" w:cs="宋体"/>
          <w:color w:val="auto"/>
          <w:sz w:val="24"/>
          <w:szCs w:val="24"/>
          <w:highlight w:val="none"/>
          <w:lang w:eastAsia="zh-CN"/>
        </w:rPr>
        <w:t>食材</w:t>
      </w:r>
      <w:r>
        <w:rPr>
          <w:rFonts w:hint="eastAsia" w:ascii="宋体" w:hAnsi="宋体" w:eastAsia="宋体" w:cs="宋体"/>
          <w:color w:val="auto"/>
          <w:sz w:val="24"/>
          <w:szCs w:val="24"/>
          <w:highlight w:val="none"/>
        </w:rPr>
        <w:t>质量抽检中连续两次不合格的；</w:t>
      </w:r>
    </w:p>
    <w:p w14:paraId="34DCAFFC">
      <w:pPr>
        <w:pStyle w:val="13"/>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（7）合同期内</w:t>
      </w:r>
      <w:r>
        <w:rPr>
          <w:rFonts w:hint="eastAsia" w:ascii="宋体" w:hAnsi="宋体" w:eastAsia="宋体" w:cs="宋体"/>
          <w:color w:val="auto"/>
          <w:sz w:val="24"/>
          <w:szCs w:val="24"/>
          <w:highlight w:val="none"/>
        </w:rPr>
        <w:t>供货商被学校书面或口头投诉三次及以上，经区教科体局调查投诉事实属实的。</w:t>
      </w:r>
    </w:p>
    <w:p w14:paraId="068860BF">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六、供货期限</w:t>
      </w:r>
    </w:p>
    <w:p w14:paraId="20B9542F">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本次供货的合同起止时间为202</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月至202</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月底，合同期为一个学期。</w:t>
      </w:r>
    </w:p>
    <w:p w14:paraId="01CA8418">
      <w:pPr>
        <w:widowControl/>
        <w:spacing w:line="58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七、结算方式</w:t>
      </w:r>
    </w:p>
    <w:p w14:paraId="52D16D53">
      <w:pPr>
        <w:pStyle w:val="26"/>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1.每月结算一次，结算时以实际送量为准。</w:t>
      </w:r>
    </w:p>
    <w:p w14:paraId="13A45669">
      <w:pPr>
        <w:pStyle w:val="26"/>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2.乙方提供的食品经双方结算确认后，乙方须开具正规发票，凭验收清单和正式税务发票与供货学校（幼儿园）进行结算。</w:t>
      </w:r>
    </w:p>
    <w:p w14:paraId="47754D26">
      <w:pPr>
        <w:pStyle w:val="26"/>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3.采取先供货后付款的方式。</w:t>
      </w:r>
      <w:r>
        <w:rPr>
          <w:rFonts w:hint="eastAsia" w:ascii="宋体" w:hAnsi="宋体" w:eastAsia="宋体" w:cs="宋体"/>
          <w:color w:val="auto"/>
          <w:sz w:val="24"/>
          <w:szCs w:val="24"/>
          <w:highlight w:val="none"/>
          <w:lang w:eastAsia="zh-CN"/>
        </w:rPr>
        <w:t>中标人</w:t>
      </w:r>
      <w:r>
        <w:rPr>
          <w:rFonts w:hint="eastAsia" w:ascii="宋体" w:hAnsi="宋体" w:eastAsia="宋体" w:cs="宋体"/>
          <w:color w:val="auto"/>
          <w:sz w:val="24"/>
          <w:szCs w:val="24"/>
          <w:highlight w:val="none"/>
        </w:rPr>
        <w:t>提供的</w:t>
      </w:r>
      <w:r>
        <w:rPr>
          <w:rFonts w:hint="eastAsia" w:ascii="宋体" w:hAnsi="宋体" w:eastAsia="宋体" w:cs="宋体"/>
          <w:color w:val="auto"/>
          <w:sz w:val="24"/>
          <w:szCs w:val="24"/>
          <w:highlight w:val="none"/>
          <w:lang w:eastAsia="zh-CN"/>
        </w:rPr>
        <w:t>食材</w:t>
      </w:r>
      <w:r>
        <w:rPr>
          <w:rFonts w:hint="eastAsia" w:ascii="宋体" w:hAnsi="宋体" w:eastAsia="宋体" w:cs="宋体"/>
          <w:color w:val="auto"/>
          <w:sz w:val="24"/>
          <w:szCs w:val="24"/>
          <w:highlight w:val="none"/>
        </w:rPr>
        <w:t>经双方在当月结算确认后，供货商须开据发票，在次月15日之前付清货款。如因不及时下拨经费，可适当延后付款期限。即使不能付款，也必须在次月15日前开出发票。</w:t>
      </w:r>
    </w:p>
    <w:p w14:paraId="30A5E982">
      <w:pPr>
        <w:pStyle w:val="19"/>
        <w:spacing w:before="0" w:beforeAutospacing="0" w:after="0" w:afterAutospacing="0" w:line="5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八、争议解决办法</w:t>
      </w:r>
    </w:p>
    <w:p w14:paraId="4CC79937">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在合同履行过程中发生争议，双方应当协商解决。双方不愿协商、调解或者协商、调解不成的，任何一方均可以向其中一方所在地人民法院提起诉讼，请求人民法院对合同纠纷依法予以处理。</w:t>
      </w:r>
    </w:p>
    <w:p w14:paraId="3A682742">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九、其它未尽事宜：</w:t>
      </w:r>
    </w:p>
    <w:p w14:paraId="477A3DEC">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供货商为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3CD97A">
      <w:pPr>
        <w:widowControl/>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rPr>
        <w:t>乙方如违约，将取消其以后参加甲方采购资格。</w:t>
      </w:r>
    </w:p>
    <w:p w14:paraId="4C541C2F">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一经签字，即具有法律约束力，双方必须全面履行合同规定的义务，不得单方任意变更或解除，若遇不可抗力原因，不能履行合同时，应提前三个工作日以书面形式通知对方，以书面形式变更或解除合同。</w:t>
      </w:r>
    </w:p>
    <w:p w14:paraId="3B6662E4">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000000"/>
          <w:sz w:val="24"/>
          <w:highlight w:val="none"/>
        </w:rPr>
        <w:t>本合同一式三份，甲、乙双方各一份，教体局一份。</w:t>
      </w:r>
    </w:p>
    <w:p w14:paraId="1C11CDF8">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5.未尽事宜，另行商议。</w:t>
      </w:r>
    </w:p>
    <w:p w14:paraId="4F8A729F">
      <w:pPr>
        <w:pStyle w:val="2"/>
        <w:rPr>
          <w:rFonts w:hint="eastAsia" w:ascii="宋体" w:hAnsi="宋体" w:eastAsia="宋体" w:cs="宋体"/>
          <w:color w:val="auto"/>
          <w:sz w:val="24"/>
          <w:szCs w:val="24"/>
          <w:highlight w:val="none"/>
        </w:rPr>
      </w:pPr>
    </w:p>
    <w:p w14:paraId="42DE73B6">
      <w:pPr>
        <w:pStyle w:val="7"/>
        <w:spacing w:before="0" w:beforeAutospacing="0" w:after="0" w:afterAutospacing="0" w:line="600" w:lineRule="exac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甲方（采购方）：（盖章）        乙方（供货方）：（盖章）</w:t>
      </w:r>
    </w:p>
    <w:p w14:paraId="43F8D649">
      <w:pPr>
        <w:spacing w:line="600" w:lineRule="exact"/>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p>
    <w:p w14:paraId="59639027">
      <w:pPr>
        <w:pStyle w:val="7"/>
        <w:spacing w:before="0" w:beforeAutospacing="0" w:after="0" w:afterAutospacing="0" w:line="600" w:lineRule="exac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2"/>
          <w:sz w:val="24"/>
          <w:szCs w:val="24"/>
          <w:highlight w:val="none"/>
        </w:rPr>
        <w:t xml:space="preserve">     法定代表人：</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2"/>
          <w:sz w:val="24"/>
          <w:szCs w:val="24"/>
          <w:highlight w:val="none"/>
        </w:rPr>
        <w:t xml:space="preserve"> </w:t>
      </w:r>
    </w:p>
    <w:p w14:paraId="16F61083">
      <w:pPr>
        <w:spacing w:line="60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（或委托代理人）             （或委托代理人）</w:t>
      </w:r>
    </w:p>
    <w:p w14:paraId="4C3875CF">
      <w:pPr>
        <w:spacing w:line="60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 xml:space="preserve">       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7579C9C3">
      <w:pPr>
        <w:pStyle w:val="7"/>
        <w:spacing w:before="0" w:beforeAutospacing="0" w:after="0" w:afterAutospacing="0" w:line="600" w:lineRule="exact"/>
        <w:rPr>
          <w:rFonts w:hint="eastAsia" w:ascii="宋体" w:hAnsi="宋体" w:eastAsia="宋体" w:cs="宋体"/>
          <w:color w:val="auto"/>
          <w:kern w:val="2"/>
          <w:sz w:val="24"/>
          <w:szCs w:val="24"/>
          <w:highlight w:val="none"/>
        </w:rPr>
      </w:pPr>
    </w:p>
    <w:p w14:paraId="2A0DEB1D">
      <w:pPr>
        <w:pStyle w:val="7"/>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签字日期：    年  月  日      签字日期：   年  月  日</w:t>
      </w:r>
    </w:p>
    <w:p w14:paraId="0040689E">
      <w:pPr>
        <w:rPr>
          <w:rFonts w:hint="eastAsia" w:ascii="宋体" w:hAnsi="宋体" w:eastAsia="宋体" w:cs="宋体"/>
          <w:sz w:val="24"/>
          <w:szCs w:val="24"/>
        </w:rPr>
      </w:pPr>
    </w:p>
    <w:p w14:paraId="1A26D5E7">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659F4"/>
    <w:rsid w:val="12F82CAB"/>
    <w:rsid w:val="35E408B0"/>
    <w:rsid w:val="36E44B5A"/>
    <w:rsid w:val="3AF73010"/>
    <w:rsid w:val="427A45C5"/>
    <w:rsid w:val="4CA54934"/>
    <w:rsid w:val="57460AC2"/>
    <w:rsid w:val="62013F63"/>
    <w:rsid w:val="643F337E"/>
    <w:rsid w:val="664B7EA3"/>
    <w:rsid w:val="7E480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rPr>
  </w:style>
  <w:style w:type="paragraph" w:styleId="4">
    <w:name w:val="index 5"/>
    <w:basedOn w:val="1"/>
    <w:next w:val="1"/>
    <w:qFormat/>
    <w:uiPriority w:val="0"/>
    <w:pPr>
      <w:ind w:left="1680"/>
    </w:pPr>
  </w:style>
  <w:style w:type="paragraph" w:styleId="5">
    <w:name w:val="annotation text"/>
    <w:basedOn w:val="1"/>
    <w:semiHidden/>
    <w:unhideWhenUsed/>
    <w:qFormat/>
    <w:uiPriority w:val="99"/>
    <w:pPr>
      <w:jc w:val="left"/>
    </w:pPr>
  </w:style>
  <w:style w:type="paragraph" w:styleId="6">
    <w:name w:val="Body Text Indent"/>
    <w:next w:val="7"/>
    <w:qFormat/>
    <w:uiPriority w:val="0"/>
    <w:pPr>
      <w:widowControl w:val="0"/>
      <w:ind w:firstLine="225" w:firstLineChars="225"/>
      <w:jc w:val="both"/>
    </w:pPr>
    <w:rPr>
      <w:rFonts w:ascii="Times New Roman" w:hAnsi="Times New Roman" w:eastAsia="仿宋_GB2312" w:cs="Times New Roman"/>
      <w:kern w:val="2"/>
      <w:sz w:val="32"/>
      <w:szCs w:val="24"/>
      <w:lang w:val="en-US" w:eastAsia="zh-CN" w:bidi="ar-SA"/>
    </w:rPr>
  </w:style>
  <w:style w:type="paragraph" w:styleId="7">
    <w:name w:val="Normal (Web)"/>
    <w:qFormat/>
    <w:uiPriority w:val="0"/>
    <w:pPr>
      <w:spacing w:before="100" w:beforeAutospacing="1" w:after="100" w:afterAutospacing="1"/>
    </w:pPr>
    <w:rPr>
      <w:rFonts w:ascii="宋体" w:hAnsi="宋体" w:eastAsia="仿宋_GB2312" w:cs="宋体"/>
      <w:sz w:val="24"/>
      <w:szCs w:val="30"/>
      <w:lang w:val="en-US" w:eastAsia="zh-CN" w:bidi="ar-SA"/>
    </w:rPr>
  </w:style>
  <w:style w:type="paragraph" w:styleId="8">
    <w:name w:val="toc 5"/>
    <w:basedOn w:val="1"/>
    <w:next w:val="1"/>
    <w:qFormat/>
    <w:uiPriority w:val="0"/>
    <w:pPr>
      <w:ind w:left="1680"/>
    </w:pPr>
  </w:style>
  <w:style w:type="paragraph" w:styleId="9">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10">
    <w:name w:val="envelope return"/>
    <w:basedOn w:val="1"/>
    <w:qFormat/>
    <w:uiPriority w:val="0"/>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index 9"/>
    <w:basedOn w:val="1"/>
    <w:next w:val="1"/>
    <w:semiHidden/>
    <w:unhideWhenUsed/>
    <w:qFormat/>
    <w:uiPriority w:val="99"/>
    <w:pPr>
      <w:ind w:left="1600" w:leftChars="1600"/>
    </w:pPr>
  </w:style>
  <w:style w:type="paragraph" w:styleId="13">
    <w:name w:val="table of figures"/>
    <w:basedOn w:val="1"/>
    <w:next w:val="1"/>
    <w:qFormat/>
    <w:uiPriority w:val="0"/>
  </w:style>
  <w:style w:type="paragraph" w:styleId="14">
    <w:name w:val="toc 2"/>
    <w:basedOn w:val="1"/>
    <w:next w:val="1"/>
    <w:qFormat/>
    <w:uiPriority w:val="0"/>
    <w:pPr>
      <w:ind w:left="420"/>
    </w:pPr>
  </w:style>
  <w:style w:type="paragraph" w:styleId="15">
    <w:name w:val="Body Text 2"/>
    <w:basedOn w:val="1"/>
    <w:qFormat/>
    <w:uiPriority w:val="0"/>
    <w:pPr>
      <w:spacing w:line="440" w:lineRule="exact"/>
    </w:pPr>
  </w:style>
  <w:style w:type="character" w:styleId="18">
    <w:name w:val="Strong"/>
    <w:basedOn w:val="17"/>
    <w:qFormat/>
    <w:uiPriority w:val="0"/>
    <w:rPr>
      <w:b/>
    </w:rPr>
  </w:style>
  <w:style w:type="paragraph" w:customStyle="1" w:styleId="19">
    <w:name w:val="reader-word-layer reader-word-s3-5"/>
    <w:next w:val="12"/>
    <w:qFormat/>
    <w:uiPriority w:val="0"/>
    <w:pPr>
      <w:spacing w:before="100" w:beforeAutospacing="1" w:after="100" w:afterAutospacing="1"/>
    </w:pPr>
    <w:rPr>
      <w:rFonts w:ascii="宋体" w:hAnsi="Times New Roman" w:eastAsia="宋体" w:cs="宋体"/>
      <w:kern w:val="0"/>
      <w:sz w:val="24"/>
      <w:szCs w:val="24"/>
      <w:lang w:val="en-US" w:eastAsia="zh-CN" w:bidi="ar-SA"/>
    </w:rPr>
  </w:style>
  <w:style w:type="paragraph" w:customStyle="1" w:styleId="20">
    <w:name w:val="reader-word-layer reader-word-s2-1"/>
    <w:next w:val="4"/>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1">
    <w:name w:val="reader-word-layer reader-word-s3-1"/>
    <w:next w:val="14"/>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2">
    <w:name w:val="reader-word-layer reader-word-s5-1"/>
    <w:next w:val="8"/>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3">
    <w:name w:val="reader-word-layer reader-word-s6-8"/>
    <w:next w:val="9"/>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4">
    <w:name w:val="reader-word-layer reader-word-s6-4"/>
    <w:next w:val="5"/>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5">
    <w:name w:val="reader-word-layer reader-word-s7-3"/>
    <w:next w:val="13"/>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6">
    <w:name w:val="reader-word-layer reader-word-s3-11"/>
    <w:next w:val="10"/>
    <w:qFormat/>
    <w:uiPriority w:val="0"/>
    <w:pPr>
      <w:spacing w:before="100" w:beforeAutospacing="1" w:after="100" w:afterAutospacing="1"/>
    </w:pPr>
    <w:rPr>
      <w:rFonts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5475</Words>
  <Characters>5610</Characters>
  <Lines>0</Lines>
  <Paragraphs>0</Paragraphs>
  <TotalTime>0</TotalTime>
  <ScaleCrop>false</ScaleCrop>
  <LinksUpToDate>false</LinksUpToDate>
  <CharactersWithSpaces>5952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2026-07-27T07:23:00Z</dcterms:created>
  <dc:creator>Administrator</dc:creator>
  <cp:lastModifiedBy>没头脑 </cp:lastModifiedBy>
  <dcterms:modified xsi:type="dcterms:W3CDTF">2026-07-27T09:50:02Z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eyJoZGlkIjoiMmNmYTIyNDg4NDc4Y2E5MjM1Y2EyMzFiOWY3ODZkMGEiLCJ1c2VySWQiOiIyMzA2MzI1OTAifQ==</vt:lpwstr>
  </property>
  <property fmtid="{D5CDD505-2E9C-101B-9397-08002B2CF9AE}" pid="4" name="ICV">
    <vt:lpwstr>65FF3709132F433D90C7216A4BB6424D_12</vt:lpwstr>
  </property>
</Properties>
</file>