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9820AC">
      <w:pPr>
        <w:pStyle w:val="4"/>
        <w:jc w:val="center"/>
        <w:outlineLvl w:val="1"/>
      </w:pPr>
      <w:r>
        <w:rPr>
          <w:rFonts w:ascii="仿宋_GB2312" w:hAnsi="仿宋_GB2312" w:eastAsia="仿宋_GB2312" w:cs="仿宋_GB2312"/>
          <w:b/>
          <w:sz w:val="36"/>
        </w:rPr>
        <w:t>第三章 磋商项目技术、服务、商务及其他要求</w:t>
      </w:r>
    </w:p>
    <w:p w14:paraId="4D0F435B">
      <w:pPr>
        <w:pStyle w:val="4"/>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3FA84110">
      <w:pPr>
        <w:pStyle w:val="4"/>
        <w:outlineLvl w:val="2"/>
      </w:pPr>
      <w:r>
        <w:rPr>
          <w:rFonts w:ascii="仿宋_GB2312" w:hAnsi="仿宋_GB2312" w:eastAsia="仿宋_GB2312" w:cs="仿宋_GB2312"/>
          <w:b/>
          <w:sz w:val="28"/>
        </w:rPr>
        <w:t>3.1采购项目概况</w:t>
      </w:r>
    </w:p>
    <w:p w14:paraId="4C496FA1">
      <w:pPr>
        <w:pStyle w:val="4"/>
        <w:ind w:firstLine="480"/>
      </w:pPr>
      <w:r>
        <w:rPr>
          <w:rFonts w:ascii="仿宋_GB2312" w:hAnsi="仿宋_GB2312" w:eastAsia="仿宋_GB2312" w:cs="仿宋_GB2312"/>
        </w:rPr>
        <w:t>西安市鄠邑区秦岭生态环境保护智慧管控系统于2020年建设完成并投入使用。自2020 年完成建设以来，已经累计运营时间超过60个月，项目所用使用网络传输服务已到期。为了智慧管控系统的正常运转，本次采购各系统相关设备所用的组网网络传输服务。</w:t>
      </w:r>
    </w:p>
    <w:p w14:paraId="2ED51EC4">
      <w:pPr>
        <w:pStyle w:val="4"/>
        <w:outlineLvl w:val="2"/>
      </w:pPr>
      <w:r>
        <w:rPr>
          <w:rFonts w:ascii="仿宋_GB2312" w:hAnsi="仿宋_GB2312" w:eastAsia="仿宋_GB2312" w:cs="仿宋_GB2312"/>
          <w:b/>
          <w:sz w:val="28"/>
        </w:rPr>
        <w:t>3.2服务内容及服务要求</w:t>
      </w:r>
    </w:p>
    <w:p w14:paraId="24ED5AB5">
      <w:pPr>
        <w:pStyle w:val="4"/>
        <w:outlineLvl w:val="3"/>
      </w:pPr>
      <w:r>
        <w:rPr>
          <w:rFonts w:ascii="仿宋_GB2312" w:hAnsi="仿宋_GB2312" w:eastAsia="仿宋_GB2312" w:cs="仿宋_GB2312"/>
          <w:b/>
          <w:sz w:val="24"/>
        </w:rPr>
        <w:t>3.2.1服务内容</w:t>
      </w:r>
    </w:p>
    <w:p w14:paraId="28A5BC98">
      <w:pPr>
        <w:pStyle w:val="4"/>
      </w:pPr>
      <w:r>
        <w:rPr>
          <w:rFonts w:ascii="仿宋_GB2312" w:hAnsi="仿宋_GB2312" w:eastAsia="仿宋_GB2312" w:cs="仿宋_GB2312"/>
        </w:rPr>
        <w:t>采购包1：</w:t>
      </w:r>
    </w:p>
    <w:p w14:paraId="3A241CF1">
      <w:pPr>
        <w:pStyle w:val="4"/>
      </w:pPr>
      <w:r>
        <w:rPr>
          <w:rFonts w:ascii="仿宋_GB2312" w:hAnsi="仿宋_GB2312" w:eastAsia="仿宋_GB2312" w:cs="仿宋_GB2312"/>
        </w:rPr>
        <w:t>采购包预算金额（元）: 660,000.00</w:t>
      </w:r>
    </w:p>
    <w:p w14:paraId="46EF48C5">
      <w:pPr>
        <w:pStyle w:val="4"/>
      </w:pPr>
      <w:r>
        <w:rPr>
          <w:rFonts w:ascii="仿宋_GB2312" w:hAnsi="仿宋_GB2312" w:eastAsia="仿宋_GB2312" w:cs="仿宋_GB2312"/>
        </w:rPr>
        <w:t>采购包最高限价（元）: 660,000.00</w:t>
      </w:r>
    </w:p>
    <w:p w14:paraId="1720C8FD">
      <w:pPr>
        <w:pStyle w:val="4"/>
      </w:pPr>
      <w:r>
        <w:rPr>
          <w:rFonts w:ascii="仿宋_GB2312" w:hAnsi="仿宋_GB2312" w:eastAsia="仿宋_GB2312" w:cs="仿宋_GB2312"/>
        </w:rPr>
        <w:t>供应商报价不允许超过标的金额</w:t>
      </w:r>
    </w:p>
    <w:p w14:paraId="7B4A02C3">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0F7AD2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0EB226FC">
            <w:pPr>
              <w:pStyle w:val="4"/>
            </w:pPr>
            <w:r>
              <w:rPr>
                <w:rFonts w:ascii="仿宋_GB2312" w:hAnsi="仿宋_GB2312" w:eastAsia="仿宋_GB2312" w:cs="仿宋_GB2312"/>
              </w:rPr>
              <w:t>序号</w:t>
            </w:r>
          </w:p>
        </w:tc>
        <w:tc>
          <w:tcPr>
            <w:tcW w:w="755" w:type="dxa"/>
          </w:tcPr>
          <w:p w14:paraId="7DCCD42B">
            <w:pPr>
              <w:pStyle w:val="4"/>
            </w:pPr>
            <w:r>
              <w:rPr>
                <w:rFonts w:ascii="仿宋_GB2312" w:hAnsi="仿宋_GB2312" w:eastAsia="仿宋_GB2312" w:cs="仿宋_GB2312"/>
              </w:rPr>
              <w:t>标的名称</w:t>
            </w:r>
          </w:p>
        </w:tc>
        <w:tc>
          <w:tcPr>
            <w:tcW w:w="755" w:type="dxa"/>
          </w:tcPr>
          <w:p w14:paraId="392CA92F">
            <w:pPr>
              <w:pStyle w:val="4"/>
            </w:pPr>
            <w:r>
              <w:rPr>
                <w:rFonts w:ascii="仿宋_GB2312" w:hAnsi="仿宋_GB2312" w:eastAsia="仿宋_GB2312" w:cs="仿宋_GB2312"/>
              </w:rPr>
              <w:t>数量</w:t>
            </w:r>
          </w:p>
        </w:tc>
        <w:tc>
          <w:tcPr>
            <w:tcW w:w="755" w:type="dxa"/>
          </w:tcPr>
          <w:p w14:paraId="77329F8B">
            <w:pPr>
              <w:pStyle w:val="4"/>
            </w:pPr>
            <w:r>
              <w:rPr>
                <w:rFonts w:ascii="仿宋_GB2312" w:hAnsi="仿宋_GB2312" w:eastAsia="仿宋_GB2312" w:cs="仿宋_GB2312"/>
              </w:rPr>
              <w:t>标的金额 （元）</w:t>
            </w:r>
          </w:p>
        </w:tc>
        <w:tc>
          <w:tcPr>
            <w:tcW w:w="755" w:type="dxa"/>
          </w:tcPr>
          <w:p w14:paraId="36FBAB17">
            <w:pPr>
              <w:pStyle w:val="4"/>
            </w:pPr>
            <w:r>
              <w:rPr>
                <w:rFonts w:ascii="仿宋_GB2312" w:hAnsi="仿宋_GB2312" w:eastAsia="仿宋_GB2312" w:cs="仿宋_GB2312"/>
              </w:rPr>
              <w:t>计量单位</w:t>
            </w:r>
          </w:p>
        </w:tc>
        <w:tc>
          <w:tcPr>
            <w:tcW w:w="755" w:type="dxa"/>
          </w:tcPr>
          <w:p w14:paraId="09EE73DB">
            <w:pPr>
              <w:pStyle w:val="4"/>
            </w:pPr>
            <w:r>
              <w:rPr>
                <w:rFonts w:ascii="仿宋_GB2312" w:hAnsi="仿宋_GB2312" w:eastAsia="仿宋_GB2312" w:cs="仿宋_GB2312"/>
              </w:rPr>
              <w:t>所属行业</w:t>
            </w:r>
          </w:p>
        </w:tc>
        <w:tc>
          <w:tcPr>
            <w:tcW w:w="755" w:type="dxa"/>
          </w:tcPr>
          <w:p w14:paraId="744977C8">
            <w:pPr>
              <w:pStyle w:val="4"/>
            </w:pPr>
            <w:r>
              <w:rPr>
                <w:rFonts w:ascii="仿宋_GB2312" w:hAnsi="仿宋_GB2312" w:eastAsia="仿宋_GB2312" w:cs="仿宋_GB2312"/>
              </w:rPr>
              <w:t>是否核心产品</w:t>
            </w:r>
          </w:p>
        </w:tc>
        <w:tc>
          <w:tcPr>
            <w:tcW w:w="755" w:type="dxa"/>
          </w:tcPr>
          <w:p w14:paraId="4A18AD36">
            <w:pPr>
              <w:pStyle w:val="4"/>
            </w:pPr>
            <w:r>
              <w:rPr>
                <w:rFonts w:ascii="仿宋_GB2312" w:hAnsi="仿宋_GB2312" w:eastAsia="仿宋_GB2312" w:cs="仿宋_GB2312"/>
              </w:rPr>
              <w:t>是否允许进口产品</w:t>
            </w:r>
          </w:p>
        </w:tc>
        <w:tc>
          <w:tcPr>
            <w:tcW w:w="755" w:type="dxa"/>
          </w:tcPr>
          <w:p w14:paraId="045E9C8A">
            <w:pPr>
              <w:pStyle w:val="4"/>
            </w:pPr>
            <w:r>
              <w:rPr>
                <w:rFonts w:ascii="仿宋_GB2312" w:hAnsi="仿宋_GB2312" w:eastAsia="仿宋_GB2312" w:cs="仿宋_GB2312"/>
              </w:rPr>
              <w:t>是否属于节能产品</w:t>
            </w:r>
          </w:p>
        </w:tc>
        <w:tc>
          <w:tcPr>
            <w:tcW w:w="755" w:type="dxa"/>
          </w:tcPr>
          <w:p w14:paraId="627DD928">
            <w:pPr>
              <w:pStyle w:val="4"/>
            </w:pPr>
            <w:r>
              <w:rPr>
                <w:rFonts w:ascii="仿宋_GB2312" w:hAnsi="仿宋_GB2312" w:eastAsia="仿宋_GB2312" w:cs="仿宋_GB2312"/>
              </w:rPr>
              <w:t>是否属于环境标志产品</w:t>
            </w:r>
          </w:p>
        </w:tc>
        <w:tc>
          <w:tcPr>
            <w:tcW w:w="755" w:type="dxa"/>
          </w:tcPr>
          <w:p w14:paraId="188EC70A">
            <w:pPr>
              <w:pStyle w:val="4"/>
            </w:pPr>
            <w:r>
              <w:rPr>
                <w:rFonts w:ascii="仿宋_GB2312" w:hAnsi="仿宋_GB2312" w:eastAsia="仿宋_GB2312" w:cs="仿宋_GB2312"/>
              </w:rPr>
              <w:t>是否实施本国产品政策</w:t>
            </w:r>
          </w:p>
        </w:tc>
      </w:tr>
      <w:tr w14:paraId="599436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2D2095F0">
            <w:pPr>
              <w:pStyle w:val="4"/>
            </w:pPr>
            <w:r>
              <w:rPr>
                <w:rFonts w:ascii="仿宋_GB2312" w:hAnsi="仿宋_GB2312" w:eastAsia="仿宋_GB2312" w:cs="仿宋_GB2312"/>
              </w:rPr>
              <w:t>1</w:t>
            </w:r>
          </w:p>
        </w:tc>
        <w:tc>
          <w:tcPr>
            <w:tcW w:w="755" w:type="dxa"/>
          </w:tcPr>
          <w:p w14:paraId="6C763F1C">
            <w:pPr>
              <w:pStyle w:val="4"/>
            </w:pPr>
            <w:r>
              <w:rPr>
                <w:rFonts w:ascii="仿宋_GB2312" w:hAnsi="仿宋_GB2312" w:eastAsia="仿宋_GB2312" w:cs="仿宋_GB2312"/>
              </w:rPr>
              <w:t>网络服务</w:t>
            </w:r>
          </w:p>
        </w:tc>
        <w:tc>
          <w:tcPr>
            <w:tcW w:w="755" w:type="dxa"/>
          </w:tcPr>
          <w:p w14:paraId="238DBE72">
            <w:pPr>
              <w:pStyle w:val="4"/>
              <w:jc w:val="right"/>
            </w:pPr>
            <w:r>
              <w:rPr>
                <w:rFonts w:ascii="仿宋_GB2312" w:hAnsi="仿宋_GB2312" w:eastAsia="仿宋_GB2312" w:cs="仿宋_GB2312"/>
              </w:rPr>
              <w:t>1.00</w:t>
            </w:r>
          </w:p>
        </w:tc>
        <w:tc>
          <w:tcPr>
            <w:tcW w:w="755" w:type="dxa"/>
          </w:tcPr>
          <w:p w14:paraId="79C1F11A">
            <w:pPr>
              <w:pStyle w:val="4"/>
              <w:jc w:val="right"/>
            </w:pPr>
            <w:r>
              <w:rPr>
                <w:rFonts w:ascii="仿宋_GB2312" w:hAnsi="仿宋_GB2312" w:eastAsia="仿宋_GB2312" w:cs="仿宋_GB2312"/>
              </w:rPr>
              <w:t>660,000.00</w:t>
            </w:r>
          </w:p>
        </w:tc>
        <w:tc>
          <w:tcPr>
            <w:tcW w:w="755" w:type="dxa"/>
          </w:tcPr>
          <w:p w14:paraId="27695385">
            <w:pPr>
              <w:pStyle w:val="4"/>
            </w:pPr>
            <w:r>
              <w:rPr>
                <w:rFonts w:ascii="仿宋_GB2312" w:hAnsi="仿宋_GB2312" w:eastAsia="仿宋_GB2312" w:cs="仿宋_GB2312"/>
              </w:rPr>
              <w:t>项</w:t>
            </w:r>
          </w:p>
        </w:tc>
        <w:tc>
          <w:tcPr>
            <w:tcW w:w="755" w:type="dxa"/>
          </w:tcPr>
          <w:p w14:paraId="297A0B24">
            <w:pPr>
              <w:pStyle w:val="4"/>
            </w:pPr>
            <w:r>
              <w:rPr>
                <w:rFonts w:ascii="仿宋_GB2312" w:hAnsi="仿宋_GB2312" w:eastAsia="仿宋_GB2312" w:cs="仿宋_GB2312"/>
              </w:rPr>
              <w:t>软件和信息技术服务业</w:t>
            </w:r>
          </w:p>
        </w:tc>
        <w:tc>
          <w:tcPr>
            <w:tcW w:w="755" w:type="dxa"/>
          </w:tcPr>
          <w:p w14:paraId="73F9B788">
            <w:pPr>
              <w:pStyle w:val="4"/>
            </w:pPr>
            <w:r>
              <w:rPr>
                <w:rFonts w:ascii="仿宋_GB2312" w:hAnsi="仿宋_GB2312" w:eastAsia="仿宋_GB2312" w:cs="仿宋_GB2312"/>
              </w:rPr>
              <w:t>否</w:t>
            </w:r>
          </w:p>
        </w:tc>
        <w:tc>
          <w:tcPr>
            <w:tcW w:w="755" w:type="dxa"/>
          </w:tcPr>
          <w:p w14:paraId="0F1594F2">
            <w:pPr>
              <w:pStyle w:val="4"/>
            </w:pPr>
            <w:r>
              <w:rPr>
                <w:rFonts w:ascii="仿宋_GB2312" w:hAnsi="仿宋_GB2312" w:eastAsia="仿宋_GB2312" w:cs="仿宋_GB2312"/>
              </w:rPr>
              <w:t>否</w:t>
            </w:r>
          </w:p>
        </w:tc>
        <w:tc>
          <w:tcPr>
            <w:tcW w:w="755" w:type="dxa"/>
          </w:tcPr>
          <w:p w14:paraId="1304939E">
            <w:pPr>
              <w:pStyle w:val="4"/>
            </w:pPr>
            <w:r>
              <w:rPr>
                <w:rFonts w:ascii="仿宋_GB2312" w:hAnsi="仿宋_GB2312" w:eastAsia="仿宋_GB2312" w:cs="仿宋_GB2312"/>
              </w:rPr>
              <w:t>否</w:t>
            </w:r>
          </w:p>
        </w:tc>
        <w:tc>
          <w:tcPr>
            <w:tcW w:w="755" w:type="dxa"/>
          </w:tcPr>
          <w:p w14:paraId="61125E14">
            <w:pPr>
              <w:pStyle w:val="4"/>
            </w:pPr>
            <w:r>
              <w:rPr>
                <w:rFonts w:ascii="仿宋_GB2312" w:hAnsi="仿宋_GB2312" w:eastAsia="仿宋_GB2312" w:cs="仿宋_GB2312"/>
              </w:rPr>
              <w:t>否</w:t>
            </w:r>
          </w:p>
        </w:tc>
        <w:tc>
          <w:tcPr>
            <w:tcW w:w="755" w:type="dxa"/>
          </w:tcPr>
          <w:p w14:paraId="3C86B88B">
            <w:pPr>
              <w:pStyle w:val="4"/>
            </w:pPr>
            <w:r>
              <w:rPr>
                <w:rFonts w:ascii="仿宋_GB2312" w:hAnsi="仿宋_GB2312" w:eastAsia="仿宋_GB2312" w:cs="仿宋_GB2312"/>
              </w:rPr>
              <w:t>否</w:t>
            </w:r>
          </w:p>
        </w:tc>
      </w:tr>
    </w:tbl>
    <w:p w14:paraId="4EBE5B8D">
      <w:pPr>
        <w:pStyle w:val="4"/>
        <w:outlineLvl w:val="2"/>
      </w:pPr>
      <w:r>
        <w:rPr>
          <w:rFonts w:ascii="仿宋_GB2312" w:hAnsi="仿宋_GB2312" w:eastAsia="仿宋_GB2312" w:cs="仿宋_GB2312"/>
          <w:b/>
          <w:sz w:val="28"/>
        </w:rPr>
        <w:t>3.2.2服务要求</w:t>
      </w:r>
    </w:p>
    <w:p w14:paraId="76AF935C">
      <w:pPr>
        <w:pStyle w:val="4"/>
      </w:pPr>
      <w:r>
        <w:rPr>
          <w:rFonts w:ascii="仿宋_GB2312" w:hAnsi="仿宋_GB2312" w:eastAsia="仿宋_GB2312" w:cs="仿宋_GB2312"/>
        </w:rPr>
        <w:t>采购包1：</w:t>
      </w:r>
    </w:p>
    <w:p w14:paraId="6EA1730E">
      <w:pPr>
        <w:pStyle w:val="4"/>
      </w:pPr>
      <w:r>
        <w:rPr>
          <w:rFonts w:ascii="仿宋_GB2312" w:hAnsi="仿宋_GB2312" w:eastAsia="仿宋_GB2312" w:cs="仿宋_GB2312"/>
        </w:rPr>
        <w:t>标的名称：网络服务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80"/>
        <w:gridCol w:w="1100"/>
        <w:gridCol w:w="6227"/>
      </w:tblGrid>
      <w:tr w14:paraId="3049F5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80" w:type="dxa"/>
          </w:tcPr>
          <w:p w14:paraId="201BCC47">
            <w:pPr>
              <w:pStyle w:val="4"/>
            </w:pPr>
            <w:r>
              <w:rPr>
                <w:rFonts w:ascii="仿宋_GB2312" w:hAnsi="仿宋_GB2312" w:eastAsia="仿宋_GB2312" w:cs="仿宋_GB2312"/>
              </w:rPr>
              <w:t xml:space="preserve"> 序号</w:t>
            </w:r>
          </w:p>
        </w:tc>
        <w:tc>
          <w:tcPr>
            <w:tcW w:w="1100" w:type="dxa"/>
          </w:tcPr>
          <w:p w14:paraId="3FD930C2">
            <w:pPr>
              <w:pStyle w:val="4"/>
            </w:pPr>
            <w:r>
              <w:rPr>
                <w:rFonts w:ascii="仿宋_GB2312" w:hAnsi="仿宋_GB2312" w:eastAsia="仿宋_GB2312" w:cs="仿宋_GB2312"/>
              </w:rPr>
              <w:t xml:space="preserve"> 参数性质</w:t>
            </w:r>
          </w:p>
        </w:tc>
        <w:tc>
          <w:tcPr>
            <w:tcW w:w="6227" w:type="dxa"/>
          </w:tcPr>
          <w:p w14:paraId="3A5E707B">
            <w:pPr>
              <w:pStyle w:val="4"/>
            </w:pPr>
            <w:r>
              <w:rPr>
                <w:rFonts w:ascii="仿宋_GB2312" w:hAnsi="仿宋_GB2312" w:eastAsia="仿宋_GB2312" w:cs="仿宋_GB2312"/>
              </w:rPr>
              <w:t xml:space="preserve"> 技术参数与性能指标</w:t>
            </w:r>
          </w:p>
        </w:tc>
      </w:tr>
      <w:tr w14:paraId="717D1B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80" w:type="dxa"/>
          </w:tcPr>
          <w:p w14:paraId="490FDA4B">
            <w:pPr>
              <w:pStyle w:val="4"/>
            </w:pPr>
            <w:r>
              <w:rPr>
                <w:rFonts w:ascii="仿宋_GB2312" w:hAnsi="仿宋_GB2312" w:eastAsia="仿宋_GB2312" w:cs="仿宋_GB2312"/>
              </w:rPr>
              <w:t>1</w:t>
            </w:r>
          </w:p>
        </w:tc>
        <w:tc>
          <w:tcPr>
            <w:tcW w:w="1100" w:type="dxa"/>
          </w:tcPr>
          <w:p w14:paraId="6843B9C6"/>
        </w:tc>
        <w:tc>
          <w:tcPr>
            <w:tcW w:w="6227" w:type="dxa"/>
          </w:tcPr>
          <w:p w14:paraId="57FB6BE7">
            <w:pPr>
              <w:pStyle w:val="4"/>
              <w:ind w:firstLine="402"/>
            </w:pPr>
            <w:r>
              <w:rPr>
                <w:rFonts w:ascii="仿宋_GB2312" w:hAnsi="仿宋_GB2312" w:eastAsia="仿宋_GB2312" w:cs="仿宋_GB2312"/>
                <w:b/>
                <w:sz w:val="21"/>
              </w:rPr>
              <w:t>一、项目概况</w:t>
            </w:r>
          </w:p>
          <w:p w14:paraId="7E120C9B">
            <w:pPr>
              <w:pStyle w:val="4"/>
              <w:ind w:firstLine="400"/>
            </w:pPr>
            <w:r>
              <w:rPr>
                <w:rFonts w:ascii="仿宋_GB2312" w:hAnsi="仿宋_GB2312" w:eastAsia="仿宋_GB2312" w:cs="仿宋_GB2312"/>
                <w:sz w:val="21"/>
              </w:rPr>
              <w:t>西安市鄠邑区秦岭生态环境保护智慧管控系统于2020年建设完成并投入使用。自2020 年完成建设以来，已经累计运营时间超过60个月，项目所用使用网络传输服务已到期。为了智慧管控系统的正常运转，本次采购各系统相关设备所用的组网网络传输服务。</w:t>
            </w:r>
          </w:p>
          <w:p w14:paraId="3958C0D6">
            <w:pPr>
              <w:pStyle w:val="4"/>
              <w:ind w:firstLine="402"/>
            </w:pPr>
            <w:r>
              <w:rPr>
                <w:rFonts w:ascii="仿宋_GB2312" w:hAnsi="仿宋_GB2312" w:eastAsia="仿宋_GB2312" w:cs="仿宋_GB2312"/>
                <w:b/>
                <w:sz w:val="21"/>
              </w:rPr>
              <w:t>二、服务内容</w:t>
            </w:r>
          </w:p>
          <w:p w14:paraId="3E76BC0A">
            <w:pPr>
              <w:pStyle w:val="4"/>
              <w:ind w:firstLine="400"/>
            </w:pPr>
            <w:r>
              <w:rPr>
                <w:rFonts w:ascii="仿宋_GB2312" w:hAnsi="仿宋_GB2312" w:eastAsia="仿宋_GB2312" w:cs="仿宋_GB2312"/>
                <w:sz w:val="21"/>
              </w:rPr>
              <w:t>（一）网络线路建设与服务内容</w:t>
            </w:r>
          </w:p>
          <w:p w14:paraId="5856C599">
            <w:pPr>
              <w:pStyle w:val="4"/>
              <w:ind w:firstLine="400"/>
            </w:pPr>
            <w:r>
              <w:rPr>
                <w:rFonts w:ascii="仿宋_GB2312" w:hAnsi="仿宋_GB2312" w:eastAsia="仿宋_GB2312" w:cs="仿宋_GB2312"/>
                <w:sz w:val="21"/>
              </w:rPr>
              <w:t>1.为秦岭生态环境保护总站提供稳定、高速的互联网专线网络传输服务，保障日常办公及对外数据交互需求。</w:t>
            </w:r>
          </w:p>
          <w:p w14:paraId="0E495C67">
            <w:pPr>
              <w:pStyle w:val="4"/>
              <w:ind w:firstLine="400"/>
            </w:pPr>
            <w:r>
              <w:rPr>
                <w:rFonts w:ascii="仿宋_GB2312" w:hAnsi="仿宋_GB2312" w:eastAsia="仿宋_GB2312" w:cs="仿宋_GB2312"/>
                <w:sz w:val="21"/>
              </w:rPr>
              <w:t>2.提供智慧管控项目所有前端设备至秦岭保护总站所需的全部网络传输线路，确保前端监控视频、监测数据等能够实时、无损回传至总站智慧管控中心。</w:t>
            </w:r>
          </w:p>
          <w:p w14:paraId="74EFCC1B">
            <w:pPr>
              <w:pStyle w:val="4"/>
              <w:ind w:firstLine="400"/>
            </w:pPr>
            <w:r>
              <w:rPr>
                <w:rFonts w:ascii="仿宋_GB2312" w:hAnsi="仿宋_GB2312" w:eastAsia="仿宋_GB2312" w:cs="仿宋_GB2312"/>
                <w:sz w:val="21"/>
              </w:rPr>
              <w:t>3.负责本服务年度内零星网络线路的开通及网络服务，确保开通线路的前端设备与秦岭保护总站设备之间网络传输的稳定、畅通，并将本年度的实际使用量与计费情况作为下一年度采购的依据。</w:t>
            </w:r>
          </w:p>
          <w:p w14:paraId="44420FA9">
            <w:pPr>
              <w:pStyle w:val="4"/>
              <w:ind w:firstLine="400"/>
            </w:pPr>
            <w:r>
              <w:rPr>
                <w:rFonts w:ascii="仿宋_GB2312" w:hAnsi="仿宋_GB2312" w:eastAsia="仿宋_GB2312" w:cs="仿宋_GB2312"/>
                <w:sz w:val="21"/>
              </w:rPr>
              <w:t>4.通过上述网络线路的开通与优化，全面保障西安市鄠邑区秦岭生态环境保护智慧管控综合系统的正常运转与数据互联互通。</w:t>
            </w:r>
          </w:p>
          <w:p w14:paraId="3AA8979D">
            <w:pPr>
              <w:pStyle w:val="4"/>
              <w:ind w:firstLine="400"/>
            </w:pPr>
            <w:r>
              <w:rPr>
                <w:rFonts w:ascii="仿宋_GB2312" w:hAnsi="仿宋_GB2312" w:eastAsia="仿宋_GB2312" w:cs="仿宋_GB2312"/>
                <w:sz w:val="21"/>
              </w:rPr>
              <w:t>（二）网络线路维护服务</w:t>
            </w:r>
          </w:p>
          <w:p w14:paraId="0E37AB30">
            <w:pPr>
              <w:pStyle w:val="4"/>
              <w:ind w:firstLine="400"/>
            </w:pPr>
            <w:r>
              <w:rPr>
                <w:rFonts w:ascii="仿宋_GB2312" w:hAnsi="仿宋_GB2312" w:eastAsia="仿宋_GB2312" w:cs="仿宋_GB2312"/>
                <w:sz w:val="21"/>
              </w:rPr>
              <w:t>对区秦岭保护总站的互联网专线线路，智慧管控项目前端设备与秦岭保护总站之间的内网传输线路，负责本服务年度内重点项目或活动中，零星临时网络线路的应急开通及网络保障服务（原则不超过6条/次，若有应急零星开通线路，以总服务项目的服务时限为准），提供为期一年的专业维护服务。维护内容包括但不限于：线路日常巡检、性能检测与评估、故障排查与修复、应急响应等，确保网络安全、稳定、可靠。</w:t>
            </w:r>
          </w:p>
          <w:p w14:paraId="7AB21099">
            <w:pPr>
              <w:pStyle w:val="4"/>
              <w:ind w:firstLine="400"/>
            </w:pPr>
            <w:r>
              <w:rPr>
                <w:rFonts w:ascii="仿宋_GB2312" w:hAnsi="仿宋_GB2312" w:eastAsia="仿宋_GB2312" w:cs="仿宋_GB2312"/>
                <w:sz w:val="21"/>
              </w:rPr>
              <w:t>（三）线路开通调试时限与验收要求</w:t>
            </w:r>
          </w:p>
          <w:p w14:paraId="558CA6E1">
            <w:pPr>
              <w:pStyle w:val="4"/>
              <w:ind w:firstLine="400"/>
            </w:pPr>
            <w:r>
              <w:rPr>
                <w:rFonts w:ascii="仿宋_GB2312" w:hAnsi="仿宋_GB2312" w:eastAsia="仿宋_GB2312" w:cs="仿宋_GB2312"/>
                <w:sz w:val="21"/>
              </w:rPr>
              <w:t>成交供应商须在合同签订后，严格按照既定计划推进网络线路的开通与调试工作，确保于2026年10月1日前完成系统所用全部网络线路的建设、联调及验收工作，实现各项网络传输服务的正常、稳定使用。</w:t>
            </w:r>
          </w:p>
          <w:p w14:paraId="65853C29">
            <w:pPr>
              <w:pStyle w:val="4"/>
              <w:ind w:firstLine="402"/>
            </w:pPr>
            <w:r>
              <w:rPr>
                <w:rFonts w:ascii="仿宋_GB2312" w:hAnsi="仿宋_GB2312" w:eastAsia="仿宋_GB2312" w:cs="仿宋_GB2312"/>
                <w:b/>
                <w:sz w:val="21"/>
              </w:rPr>
              <w:t>三、技术内容</w:t>
            </w:r>
          </w:p>
          <w:p w14:paraId="46CE5900">
            <w:pPr>
              <w:pStyle w:val="4"/>
              <w:ind w:firstLine="400"/>
            </w:pPr>
            <w:r>
              <w:rPr>
                <w:rFonts w:ascii="仿宋_GB2312" w:hAnsi="仿宋_GB2312" w:eastAsia="仿宋_GB2312" w:cs="仿宋_GB2312"/>
                <w:sz w:val="21"/>
              </w:rPr>
              <w:t>1.组网网络包括数字电路、视频专线、光纤专线等；</w:t>
            </w:r>
          </w:p>
          <w:p w14:paraId="2F8AB304">
            <w:pPr>
              <w:pStyle w:val="4"/>
              <w:ind w:firstLine="400"/>
            </w:pPr>
            <w:r>
              <w:rPr>
                <w:rFonts w:ascii="仿宋_GB2312" w:hAnsi="仿宋_GB2312" w:eastAsia="仿宋_GB2312" w:cs="仿宋_GB2312"/>
                <w:sz w:val="21"/>
              </w:rPr>
              <w:t>2.熟悉并掌握当前主流的网络线路技术标准和规范。</w:t>
            </w:r>
          </w:p>
          <w:p w14:paraId="7F176355">
            <w:pPr>
              <w:pStyle w:val="4"/>
              <w:ind w:firstLine="402"/>
            </w:pPr>
            <w:r>
              <w:rPr>
                <w:rFonts w:ascii="仿宋_GB2312" w:hAnsi="仿宋_GB2312" w:eastAsia="仿宋_GB2312" w:cs="仿宋_GB2312"/>
                <w:b/>
                <w:sz w:val="21"/>
              </w:rPr>
              <w:t>四、服务要求</w:t>
            </w:r>
          </w:p>
          <w:p w14:paraId="3A58A948">
            <w:pPr>
              <w:pStyle w:val="4"/>
              <w:ind w:firstLine="400"/>
            </w:pPr>
            <w:r>
              <w:rPr>
                <w:rFonts w:ascii="仿宋_GB2312" w:hAnsi="仿宋_GB2312" w:eastAsia="仿宋_GB2312" w:cs="仿宋_GB2312"/>
                <w:sz w:val="21"/>
              </w:rPr>
              <w:t>1.对现有的系统和组网情况要求充分了解，能定期对网络线路进行性能检测与评估，确保网络安全稳定可靠；</w:t>
            </w:r>
          </w:p>
          <w:p w14:paraId="53712A9A">
            <w:pPr>
              <w:pStyle w:val="4"/>
              <w:ind w:firstLine="400"/>
            </w:pPr>
            <w:r>
              <w:rPr>
                <w:rFonts w:ascii="仿宋_GB2312" w:hAnsi="仿宋_GB2312" w:eastAsia="仿宋_GB2312" w:cs="仿宋_GB2312"/>
                <w:sz w:val="21"/>
              </w:rPr>
              <w:t>2.建立完善的故障处理流程，确保故障发生后能够迅速响应并修复；</w:t>
            </w:r>
          </w:p>
          <w:p w14:paraId="50FF23C2">
            <w:pPr>
              <w:pStyle w:val="4"/>
              <w:ind w:firstLine="400"/>
            </w:pPr>
            <w:r>
              <w:rPr>
                <w:rFonts w:ascii="仿宋_GB2312" w:hAnsi="仿宋_GB2312" w:eastAsia="仿宋_GB2312" w:cs="仿宋_GB2312"/>
                <w:sz w:val="21"/>
              </w:rPr>
              <w:t>3.能够提供7x24小时的技术支持与故障响应服务；</w:t>
            </w:r>
          </w:p>
          <w:p w14:paraId="6C6BCCF9">
            <w:pPr>
              <w:pStyle w:val="4"/>
              <w:ind w:firstLine="400"/>
            </w:pPr>
            <w:r>
              <w:rPr>
                <w:rFonts w:ascii="仿宋_GB2312" w:hAnsi="仿宋_GB2312" w:eastAsia="仿宋_GB2312" w:cs="仿宋_GB2312"/>
                <w:sz w:val="21"/>
              </w:rPr>
              <w:t>4.拥有专业的网络线路维保技术团队和应急响应机制。</w:t>
            </w:r>
          </w:p>
          <w:p w14:paraId="4C82F89C">
            <w:pPr>
              <w:pStyle w:val="4"/>
              <w:ind w:firstLine="402"/>
            </w:pPr>
            <w:r>
              <w:rPr>
                <w:rFonts w:ascii="仿宋_GB2312" w:hAnsi="仿宋_GB2312" w:eastAsia="仿宋_GB2312" w:cs="仿宋_GB2312"/>
                <w:b/>
                <w:sz w:val="21"/>
              </w:rPr>
              <w:t>五、商务要求</w:t>
            </w:r>
          </w:p>
          <w:p w14:paraId="71243CCF">
            <w:pPr>
              <w:pStyle w:val="4"/>
              <w:ind w:firstLine="400"/>
            </w:pPr>
            <w:r>
              <w:rPr>
                <w:rFonts w:ascii="仿宋_GB2312" w:hAnsi="仿宋_GB2312" w:eastAsia="仿宋_GB2312" w:cs="仿宋_GB2312"/>
                <w:sz w:val="21"/>
              </w:rPr>
              <w:t>（一）服务期限</w:t>
            </w:r>
          </w:p>
          <w:p w14:paraId="2F4B0663">
            <w:pPr>
              <w:pStyle w:val="4"/>
              <w:ind w:firstLine="400"/>
            </w:pPr>
            <w:r>
              <w:rPr>
                <w:rFonts w:ascii="仿宋_GB2312" w:hAnsi="仿宋_GB2312" w:eastAsia="仿宋_GB2312" w:cs="仿宋_GB2312"/>
                <w:sz w:val="21"/>
              </w:rPr>
              <w:t>自合同签订之日起1年。</w:t>
            </w:r>
          </w:p>
          <w:p w14:paraId="45385593">
            <w:pPr>
              <w:pStyle w:val="4"/>
              <w:ind w:firstLine="400"/>
            </w:pPr>
            <w:r>
              <w:rPr>
                <w:rFonts w:ascii="仿宋_GB2312" w:hAnsi="仿宋_GB2312" w:eastAsia="仿宋_GB2312" w:cs="仿宋_GB2312"/>
                <w:sz w:val="21"/>
              </w:rPr>
              <w:t>（二）款项结算</w:t>
            </w:r>
          </w:p>
          <w:p w14:paraId="5BB24222">
            <w:pPr>
              <w:pStyle w:val="4"/>
              <w:ind w:firstLine="400"/>
            </w:pPr>
            <w:r>
              <w:rPr>
                <w:rFonts w:ascii="仿宋_GB2312" w:hAnsi="仿宋_GB2312" w:eastAsia="仿宋_GB2312" w:cs="仿宋_GB2312"/>
                <w:sz w:val="21"/>
              </w:rPr>
              <w:t>每季度后一周内按照考核结果支付上一季度网络费用。</w:t>
            </w:r>
          </w:p>
          <w:p w14:paraId="1D543EFB">
            <w:pPr>
              <w:pStyle w:val="4"/>
              <w:ind w:firstLine="400"/>
            </w:pPr>
            <w:r>
              <w:rPr>
                <w:rFonts w:ascii="仿宋_GB2312" w:hAnsi="仿宋_GB2312" w:eastAsia="仿宋_GB2312" w:cs="仿宋_GB2312"/>
                <w:sz w:val="21"/>
              </w:rPr>
              <w:t>（三）考核标准（满分100分）</w:t>
            </w:r>
          </w:p>
          <w:p w14:paraId="68B51826">
            <w:pPr>
              <w:pStyle w:val="4"/>
              <w:ind w:firstLine="400"/>
            </w:pPr>
            <w:r>
              <w:rPr>
                <w:rFonts w:ascii="仿宋_GB2312" w:hAnsi="仿宋_GB2312" w:eastAsia="仿宋_GB2312" w:cs="仿宋_GB2312"/>
                <w:sz w:val="21"/>
              </w:rPr>
              <w:t>1.是否向客户提供所在地维护工程师专项服务（20分）</w:t>
            </w:r>
          </w:p>
          <w:p w14:paraId="1784B14A">
            <w:pPr>
              <w:pStyle w:val="4"/>
              <w:ind w:firstLine="400"/>
            </w:pPr>
            <w:r>
              <w:rPr>
                <w:rFonts w:ascii="仿宋_GB2312" w:hAnsi="仿宋_GB2312" w:eastAsia="仿宋_GB2312" w:cs="仿宋_GB2312"/>
                <w:sz w:val="21"/>
              </w:rPr>
              <w:t>2.若出现故障是否在24小时内处理故障并恢复网络（不可抗力因素外）（25分）</w:t>
            </w:r>
          </w:p>
          <w:p w14:paraId="30E8FBED">
            <w:pPr>
              <w:pStyle w:val="4"/>
              <w:ind w:firstLine="400"/>
            </w:pPr>
            <w:r>
              <w:rPr>
                <w:rFonts w:ascii="仿宋_GB2312" w:hAnsi="仿宋_GB2312" w:eastAsia="仿宋_GB2312" w:cs="仿宋_GB2312"/>
                <w:sz w:val="21"/>
              </w:rPr>
              <w:t>3.按期提供提供故障处理报告（15分）</w:t>
            </w:r>
          </w:p>
          <w:p w14:paraId="24119E83">
            <w:pPr>
              <w:pStyle w:val="4"/>
              <w:ind w:firstLine="400"/>
            </w:pPr>
            <w:r>
              <w:rPr>
                <w:rFonts w:ascii="仿宋_GB2312" w:hAnsi="仿宋_GB2312" w:eastAsia="仿宋_GB2312" w:cs="仿宋_GB2312"/>
                <w:sz w:val="21"/>
              </w:rPr>
              <w:t>4.提供网络运行分析报告，分析网络运行情况（20分）</w:t>
            </w:r>
          </w:p>
          <w:p w14:paraId="08323091">
            <w:pPr>
              <w:pStyle w:val="4"/>
              <w:ind w:firstLine="400"/>
            </w:pPr>
            <w:r>
              <w:rPr>
                <w:rFonts w:ascii="仿宋_GB2312" w:hAnsi="仿宋_GB2312" w:eastAsia="仿宋_GB2312" w:cs="仿宋_GB2312"/>
                <w:sz w:val="21"/>
              </w:rPr>
              <w:t>5.每年依照客户需求为客户提供一次联席会议服务（20分）</w:t>
            </w:r>
          </w:p>
          <w:p w14:paraId="21F4110C">
            <w:pPr>
              <w:pStyle w:val="4"/>
              <w:ind w:firstLine="400"/>
            </w:pPr>
            <w:r>
              <w:rPr>
                <w:rFonts w:ascii="仿宋_GB2312" w:hAnsi="仿宋_GB2312" w:eastAsia="仿宋_GB2312" w:cs="仿宋_GB2312"/>
                <w:sz w:val="21"/>
              </w:rPr>
              <w:t>备注：考核成绩在90分及以上，支付当季结算金额的100%。如考核成绩在60分以下的，责令整改，限期解决，如未解决则对不在线点位进行考核，针对因维护不及时造成当月不在线时长（不可抗力因素除外）超15日未修复的，则扣除该点位当月网络服务费用，直至网络修复。</w:t>
            </w:r>
          </w:p>
          <w:p w14:paraId="4D6A260A">
            <w:pPr>
              <w:pStyle w:val="4"/>
              <w:ind w:firstLine="402"/>
            </w:pPr>
            <w:r>
              <w:rPr>
                <w:rFonts w:ascii="仿宋_GB2312" w:hAnsi="仿宋_GB2312" w:eastAsia="仿宋_GB2312" w:cs="仿宋_GB2312"/>
                <w:b/>
                <w:sz w:val="21"/>
              </w:rPr>
              <w:t>六、其他要求</w:t>
            </w:r>
          </w:p>
          <w:p w14:paraId="3AC3BA94">
            <w:pPr>
              <w:pStyle w:val="4"/>
              <w:ind w:firstLine="400"/>
            </w:pPr>
            <w:r>
              <w:rPr>
                <w:rFonts w:ascii="仿宋_GB2312" w:hAnsi="仿宋_GB2312" w:eastAsia="仿宋_GB2312" w:cs="仿宋_GB2312"/>
                <w:sz w:val="21"/>
              </w:rPr>
              <w:t>（一）成果交付要求</w:t>
            </w:r>
          </w:p>
          <w:p w14:paraId="6E61B622">
            <w:pPr>
              <w:pStyle w:val="4"/>
              <w:ind w:firstLine="400"/>
            </w:pPr>
            <w:r>
              <w:rPr>
                <w:rFonts w:ascii="仿宋_GB2312" w:hAnsi="仿宋_GB2312" w:eastAsia="仿宋_GB2312" w:cs="仿宋_GB2312"/>
                <w:sz w:val="21"/>
              </w:rPr>
              <w:t xml:space="preserve"> 签订合同之日后，5个工作日内全面开通交付，并保障整系统的安全稳定运行。</w:t>
            </w:r>
          </w:p>
          <w:p w14:paraId="28F76455">
            <w:pPr>
              <w:pStyle w:val="4"/>
              <w:ind w:firstLine="400"/>
            </w:pPr>
            <w:r>
              <w:rPr>
                <w:rFonts w:ascii="仿宋_GB2312" w:hAnsi="仿宋_GB2312" w:eastAsia="仿宋_GB2312" w:cs="仿宋_GB2312"/>
                <w:sz w:val="21"/>
              </w:rPr>
              <w:t>（二）质量验收标准或规范</w:t>
            </w:r>
          </w:p>
          <w:p w14:paraId="6E1563CC">
            <w:pPr>
              <w:pStyle w:val="4"/>
              <w:ind w:firstLine="400"/>
            </w:pPr>
            <w:r>
              <w:rPr>
                <w:rFonts w:ascii="仿宋_GB2312" w:hAnsi="仿宋_GB2312" w:eastAsia="仿宋_GB2312" w:cs="仿宋_GB2312"/>
                <w:sz w:val="21"/>
              </w:rPr>
              <w:t>符合双方约定质量标准；</w:t>
            </w:r>
          </w:p>
          <w:p w14:paraId="3D70775C">
            <w:pPr>
              <w:pStyle w:val="4"/>
              <w:ind w:firstLine="400"/>
            </w:pPr>
            <w:r>
              <w:rPr>
                <w:rFonts w:ascii="仿宋_GB2312" w:hAnsi="仿宋_GB2312" w:eastAsia="仿宋_GB2312" w:cs="仿宋_GB2312"/>
                <w:sz w:val="21"/>
              </w:rPr>
              <w:t>（三）违约责任</w:t>
            </w:r>
          </w:p>
          <w:p w14:paraId="4AA5676E">
            <w:pPr>
              <w:pStyle w:val="4"/>
              <w:ind w:firstLine="400"/>
            </w:pPr>
            <w:r>
              <w:rPr>
                <w:rFonts w:ascii="仿宋_GB2312" w:hAnsi="仿宋_GB2312" w:eastAsia="仿宋_GB2312" w:cs="仿宋_GB2312"/>
                <w:sz w:val="21"/>
              </w:rPr>
              <w:t>1.网络服务提供方违约</w:t>
            </w:r>
          </w:p>
          <w:p w14:paraId="291E0D3E">
            <w:pPr>
              <w:pStyle w:val="4"/>
              <w:ind w:firstLine="400"/>
            </w:pPr>
            <w:r>
              <w:rPr>
                <w:rFonts w:ascii="仿宋_GB2312" w:hAnsi="仿宋_GB2312" w:eastAsia="仿宋_GB2312" w:cs="仿宋_GB2312"/>
                <w:sz w:val="21"/>
              </w:rPr>
              <w:t>（1）合同履行中发生下列情况之一的，属网络服务提供方违约：</w:t>
            </w:r>
          </w:p>
          <w:p w14:paraId="1B982F85">
            <w:pPr>
              <w:pStyle w:val="4"/>
              <w:ind w:firstLine="400"/>
            </w:pPr>
            <w:r>
              <w:rPr>
                <w:rFonts w:ascii="仿宋_GB2312" w:hAnsi="仿宋_GB2312" w:eastAsia="仿宋_GB2312" w:cs="仿宋_GB2312"/>
                <w:sz w:val="21"/>
              </w:rPr>
              <w:t>1）提供的网络服务不符合法律以及合同约定；</w:t>
            </w:r>
          </w:p>
          <w:p w14:paraId="7FDC89D5">
            <w:pPr>
              <w:pStyle w:val="4"/>
              <w:ind w:firstLine="400"/>
            </w:pPr>
            <w:r>
              <w:rPr>
                <w:rFonts w:ascii="仿宋_GB2312" w:hAnsi="仿宋_GB2312" w:eastAsia="仿宋_GB2312" w:cs="仿宋_GB2312"/>
                <w:sz w:val="21"/>
              </w:rPr>
              <w:t>2）网络服务提供方无法履行或停止履行合同；</w:t>
            </w:r>
          </w:p>
          <w:p w14:paraId="7D4093A7">
            <w:pPr>
              <w:pStyle w:val="4"/>
              <w:ind w:firstLine="400"/>
            </w:pPr>
            <w:r>
              <w:rPr>
                <w:rFonts w:ascii="仿宋_GB2312" w:hAnsi="仿宋_GB2312" w:eastAsia="仿宋_GB2312" w:cs="仿宋_GB2312"/>
                <w:sz w:val="21"/>
              </w:rPr>
              <w:t>3）网络服务提供方不履行合同约定的其他义务。</w:t>
            </w:r>
          </w:p>
          <w:p w14:paraId="43645568">
            <w:pPr>
              <w:pStyle w:val="4"/>
              <w:ind w:firstLine="400"/>
            </w:pPr>
            <w:r>
              <w:rPr>
                <w:rFonts w:ascii="仿宋_GB2312" w:hAnsi="仿宋_GB2312" w:eastAsia="仿宋_GB2312" w:cs="仿宋_GB2312"/>
                <w:sz w:val="21"/>
              </w:rPr>
              <w:t>（2）网络服务提供方发生违约情况时，发包方可向网络服务提供方发出整改通知，要求其在限定期限内纠正；逾期仍不纠正的，发包方有权解除合同并向网络服务提供方发出解除合同通知。网络服务提供方应当承担由于违约所造成的费用增加、周期延误和发包方损失等。</w:t>
            </w:r>
          </w:p>
          <w:p w14:paraId="4B97CC02">
            <w:pPr>
              <w:pStyle w:val="4"/>
              <w:ind w:firstLine="400"/>
            </w:pPr>
            <w:r>
              <w:rPr>
                <w:rFonts w:ascii="仿宋_GB2312" w:hAnsi="仿宋_GB2312" w:eastAsia="仿宋_GB2312" w:cs="仿宋_GB2312"/>
                <w:sz w:val="21"/>
              </w:rPr>
              <w:t>2.发包方违约</w:t>
            </w:r>
          </w:p>
          <w:p w14:paraId="5A95119C">
            <w:pPr>
              <w:pStyle w:val="4"/>
              <w:ind w:firstLine="400"/>
            </w:pPr>
            <w:r>
              <w:rPr>
                <w:rFonts w:ascii="仿宋_GB2312" w:hAnsi="仿宋_GB2312" w:eastAsia="仿宋_GB2312" w:cs="仿宋_GB2312"/>
                <w:sz w:val="21"/>
              </w:rPr>
              <w:t>（1）合同履行中发生下列情况之一的，属发包方违约：</w:t>
            </w:r>
          </w:p>
          <w:p w14:paraId="6AF09498">
            <w:pPr>
              <w:pStyle w:val="4"/>
              <w:ind w:firstLine="400"/>
            </w:pPr>
            <w:r>
              <w:rPr>
                <w:rFonts w:ascii="仿宋_GB2312" w:hAnsi="仿宋_GB2312" w:eastAsia="仿宋_GB2312" w:cs="仿宋_GB2312"/>
                <w:sz w:val="21"/>
              </w:rPr>
              <w:t>1）发包方未按合同约定支付网络服务费用；</w:t>
            </w:r>
          </w:p>
          <w:p w14:paraId="3D3816E2">
            <w:pPr>
              <w:pStyle w:val="4"/>
              <w:ind w:firstLine="400"/>
            </w:pPr>
            <w:r>
              <w:rPr>
                <w:rFonts w:ascii="仿宋_GB2312" w:hAnsi="仿宋_GB2312" w:eastAsia="仿宋_GB2312" w:cs="仿宋_GB2312"/>
                <w:sz w:val="21"/>
              </w:rPr>
              <w:t>2）发包方原因造成服务停止；</w:t>
            </w:r>
          </w:p>
          <w:p w14:paraId="1C9BE861">
            <w:pPr>
              <w:pStyle w:val="4"/>
              <w:ind w:firstLine="400"/>
            </w:pPr>
            <w:r>
              <w:rPr>
                <w:rFonts w:ascii="仿宋_GB2312" w:hAnsi="仿宋_GB2312" w:eastAsia="仿宋_GB2312" w:cs="仿宋_GB2312"/>
                <w:sz w:val="21"/>
              </w:rPr>
              <w:t>3）发包方无法履行或停止履行合同；</w:t>
            </w:r>
          </w:p>
          <w:p w14:paraId="4D59F331">
            <w:pPr>
              <w:pStyle w:val="4"/>
              <w:ind w:firstLine="400"/>
            </w:pPr>
            <w:r>
              <w:rPr>
                <w:rFonts w:ascii="仿宋_GB2312" w:hAnsi="仿宋_GB2312" w:eastAsia="仿宋_GB2312" w:cs="仿宋_GB2312"/>
                <w:sz w:val="21"/>
              </w:rPr>
              <w:t>4）发包方不履行合同约定的其他义务。</w:t>
            </w:r>
          </w:p>
          <w:p w14:paraId="548A5731">
            <w:pPr>
              <w:pStyle w:val="4"/>
            </w:pPr>
            <w:r>
              <w:rPr>
                <w:rFonts w:ascii="仿宋_GB2312" w:hAnsi="仿宋_GB2312" w:eastAsia="仿宋_GB2312" w:cs="仿宋_GB2312"/>
                <w:sz w:val="21"/>
              </w:rPr>
              <w:t>（2） 发包方发生违约情况时，网络服务提供方可向发包方发出暂停提供服务通知，要求其在限定期限内纠正；逾期仍不纠正的，网络服务提供方有权解除合同并向发包方发出解除合同通知。发包方应当承担由于违约所造成的费用增加、周期延误和网络服务提供方损失等。</w:t>
            </w:r>
          </w:p>
        </w:tc>
      </w:tr>
    </w:tbl>
    <w:p w14:paraId="3D9C4D9C">
      <w:pPr>
        <w:pStyle w:val="4"/>
        <w:outlineLvl w:val="2"/>
      </w:pPr>
      <w:r>
        <w:rPr>
          <w:rFonts w:ascii="仿宋_GB2312" w:hAnsi="仿宋_GB2312" w:eastAsia="仿宋_GB2312" w:cs="仿宋_GB2312"/>
          <w:b/>
          <w:sz w:val="28"/>
        </w:rPr>
        <w:t>3.2.3人员配置要求</w:t>
      </w:r>
    </w:p>
    <w:p w14:paraId="078313E6">
      <w:pPr>
        <w:pStyle w:val="4"/>
      </w:pPr>
      <w:r>
        <w:rPr>
          <w:rFonts w:ascii="仿宋_GB2312" w:hAnsi="仿宋_GB2312" w:eastAsia="仿宋_GB2312" w:cs="仿宋_GB2312"/>
        </w:rPr>
        <w:t>采购包1：</w:t>
      </w:r>
    </w:p>
    <w:p w14:paraId="7708BE71">
      <w:pPr>
        <w:pStyle w:val="4"/>
      </w:pPr>
      <w:r>
        <w:rPr>
          <w:rFonts w:ascii="仿宋_GB2312" w:hAnsi="仿宋_GB2312" w:eastAsia="仿宋_GB2312" w:cs="仿宋_GB2312"/>
        </w:rPr>
        <w:t>所配备的人员需充分，能够满足项目需求。</w:t>
      </w:r>
    </w:p>
    <w:p w14:paraId="02981B86">
      <w:pPr>
        <w:pStyle w:val="4"/>
        <w:outlineLvl w:val="2"/>
      </w:pPr>
      <w:r>
        <w:rPr>
          <w:rFonts w:ascii="仿宋_GB2312" w:hAnsi="仿宋_GB2312" w:eastAsia="仿宋_GB2312" w:cs="仿宋_GB2312"/>
          <w:b/>
          <w:sz w:val="28"/>
        </w:rPr>
        <w:t>3.2.4设施设备要求</w:t>
      </w:r>
    </w:p>
    <w:p w14:paraId="019C3C56">
      <w:pPr>
        <w:pStyle w:val="4"/>
      </w:pPr>
      <w:r>
        <w:rPr>
          <w:rFonts w:ascii="仿宋_GB2312" w:hAnsi="仿宋_GB2312" w:eastAsia="仿宋_GB2312" w:cs="仿宋_GB2312"/>
        </w:rPr>
        <w:t>采购包1：</w:t>
      </w:r>
    </w:p>
    <w:p w14:paraId="109039D0">
      <w:pPr>
        <w:pStyle w:val="4"/>
      </w:pPr>
      <w:r>
        <w:rPr>
          <w:rFonts w:ascii="仿宋_GB2312" w:hAnsi="仿宋_GB2312" w:eastAsia="仿宋_GB2312" w:cs="仿宋_GB2312"/>
        </w:rPr>
        <w:t>/</w:t>
      </w:r>
    </w:p>
    <w:p w14:paraId="06E0469D">
      <w:pPr>
        <w:pStyle w:val="4"/>
        <w:outlineLvl w:val="2"/>
      </w:pPr>
      <w:r>
        <w:rPr>
          <w:rFonts w:ascii="仿宋_GB2312" w:hAnsi="仿宋_GB2312" w:eastAsia="仿宋_GB2312" w:cs="仿宋_GB2312"/>
          <w:b/>
          <w:sz w:val="28"/>
        </w:rPr>
        <w:t>3.2.5其他要求</w:t>
      </w:r>
    </w:p>
    <w:p w14:paraId="637B5182">
      <w:pPr>
        <w:pStyle w:val="4"/>
      </w:pPr>
      <w:r>
        <w:rPr>
          <w:rFonts w:ascii="仿宋_GB2312" w:hAnsi="仿宋_GB2312" w:eastAsia="仿宋_GB2312" w:cs="仿宋_GB2312"/>
        </w:rPr>
        <w:t>采购包1：</w:t>
      </w:r>
    </w:p>
    <w:p w14:paraId="666C344C">
      <w:pPr>
        <w:pStyle w:val="4"/>
      </w:pPr>
      <w:r>
        <w:rPr>
          <w:rFonts w:ascii="仿宋_GB2312" w:hAnsi="仿宋_GB2312" w:eastAsia="仿宋_GB2312" w:cs="仿宋_GB2312"/>
        </w:rPr>
        <w:t>/</w:t>
      </w:r>
    </w:p>
    <w:p w14:paraId="577F5657">
      <w:pPr>
        <w:pStyle w:val="4"/>
        <w:outlineLvl w:val="2"/>
      </w:pPr>
      <w:r>
        <w:rPr>
          <w:rFonts w:ascii="仿宋_GB2312" w:hAnsi="仿宋_GB2312" w:eastAsia="仿宋_GB2312" w:cs="仿宋_GB2312"/>
          <w:b/>
          <w:sz w:val="28"/>
        </w:rPr>
        <w:t>3.3商务要求</w:t>
      </w:r>
    </w:p>
    <w:p w14:paraId="7CCEB009">
      <w:pPr>
        <w:pStyle w:val="4"/>
        <w:outlineLvl w:val="3"/>
      </w:pPr>
      <w:r>
        <w:rPr>
          <w:rFonts w:ascii="仿宋_GB2312" w:hAnsi="仿宋_GB2312" w:eastAsia="仿宋_GB2312" w:cs="仿宋_GB2312"/>
          <w:b/>
          <w:sz w:val="24"/>
        </w:rPr>
        <w:t>3.3.1服务期限</w:t>
      </w:r>
    </w:p>
    <w:p w14:paraId="31143FD5">
      <w:pPr>
        <w:pStyle w:val="4"/>
      </w:pPr>
      <w:r>
        <w:rPr>
          <w:rFonts w:ascii="仿宋_GB2312" w:hAnsi="仿宋_GB2312" w:eastAsia="仿宋_GB2312" w:cs="仿宋_GB2312"/>
        </w:rPr>
        <w:t>采购包1：</w:t>
      </w:r>
    </w:p>
    <w:p w14:paraId="69A5C553">
      <w:pPr>
        <w:pStyle w:val="4"/>
      </w:pPr>
      <w:r>
        <w:rPr>
          <w:rFonts w:ascii="仿宋_GB2312" w:hAnsi="仿宋_GB2312" w:eastAsia="仿宋_GB2312" w:cs="仿宋_GB2312"/>
        </w:rPr>
        <w:t>自合同签订之日起1年</w:t>
      </w:r>
    </w:p>
    <w:p w14:paraId="4EE2C43A">
      <w:pPr>
        <w:pStyle w:val="4"/>
        <w:outlineLvl w:val="3"/>
      </w:pPr>
      <w:r>
        <w:rPr>
          <w:rFonts w:ascii="仿宋_GB2312" w:hAnsi="仿宋_GB2312" w:eastAsia="仿宋_GB2312" w:cs="仿宋_GB2312"/>
          <w:b/>
          <w:sz w:val="24"/>
        </w:rPr>
        <w:t>3.3.2服务地点</w:t>
      </w:r>
    </w:p>
    <w:p w14:paraId="5700AE3A">
      <w:pPr>
        <w:pStyle w:val="4"/>
      </w:pPr>
      <w:r>
        <w:rPr>
          <w:rFonts w:ascii="仿宋_GB2312" w:hAnsi="仿宋_GB2312" w:eastAsia="仿宋_GB2312" w:cs="仿宋_GB2312"/>
        </w:rPr>
        <w:t>采购包1：</w:t>
      </w:r>
    </w:p>
    <w:p w14:paraId="4ABF113D">
      <w:pPr>
        <w:pStyle w:val="4"/>
      </w:pPr>
      <w:r>
        <w:rPr>
          <w:rFonts w:ascii="仿宋_GB2312" w:hAnsi="仿宋_GB2312" w:eastAsia="仿宋_GB2312" w:cs="仿宋_GB2312"/>
        </w:rPr>
        <w:t>采购人指定地点</w:t>
      </w:r>
    </w:p>
    <w:p w14:paraId="62FDD8B0">
      <w:pPr>
        <w:pStyle w:val="4"/>
        <w:outlineLvl w:val="3"/>
      </w:pPr>
      <w:r>
        <w:rPr>
          <w:rFonts w:ascii="仿宋_GB2312" w:hAnsi="仿宋_GB2312" w:eastAsia="仿宋_GB2312" w:cs="仿宋_GB2312"/>
          <w:b/>
          <w:sz w:val="24"/>
        </w:rPr>
        <w:t>3.3.3考核（验收）标准和方法</w:t>
      </w:r>
    </w:p>
    <w:p w14:paraId="52BBC868">
      <w:pPr>
        <w:pStyle w:val="4"/>
      </w:pPr>
      <w:r>
        <w:rPr>
          <w:rFonts w:ascii="仿宋_GB2312" w:hAnsi="仿宋_GB2312" w:eastAsia="仿宋_GB2312" w:cs="仿宋_GB2312"/>
        </w:rPr>
        <w:t>采购包1：</w:t>
      </w:r>
    </w:p>
    <w:p w14:paraId="5E749C14">
      <w:pPr>
        <w:pStyle w:val="4"/>
      </w:pPr>
      <w:r>
        <w:rPr>
          <w:rFonts w:ascii="仿宋_GB2312" w:hAnsi="仿宋_GB2312" w:eastAsia="仿宋_GB2312" w:cs="仿宋_GB2312"/>
        </w:rPr>
        <w:t>详见采购文件合同文本</w:t>
      </w:r>
    </w:p>
    <w:p w14:paraId="18DE3051">
      <w:pPr>
        <w:pStyle w:val="4"/>
        <w:outlineLvl w:val="3"/>
      </w:pPr>
      <w:r>
        <w:rPr>
          <w:rFonts w:ascii="仿宋_GB2312" w:hAnsi="仿宋_GB2312" w:eastAsia="仿宋_GB2312" w:cs="仿宋_GB2312"/>
          <w:b/>
          <w:sz w:val="24"/>
        </w:rPr>
        <w:t>3.3.4支付方式</w:t>
      </w:r>
    </w:p>
    <w:p w14:paraId="31F31178">
      <w:pPr>
        <w:pStyle w:val="4"/>
      </w:pPr>
      <w:r>
        <w:rPr>
          <w:rFonts w:ascii="仿宋_GB2312" w:hAnsi="仿宋_GB2312" w:eastAsia="仿宋_GB2312" w:cs="仿宋_GB2312"/>
        </w:rPr>
        <w:t>采购包1：</w:t>
      </w:r>
    </w:p>
    <w:p w14:paraId="6CECDAF9">
      <w:pPr>
        <w:pStyle w:val="4"/>
      </w:pPr>
      <w:r>
        <w:rPr>
          <w:rFonts w:ascii="仿宋_GB2312" w:hAnsi="仿宋_GB2312" w:eastAsia="仿宋_GB2312" w:cs="仿宋_GB2312"/>
        </w:rPr>
        <w:t>分期付款</w:t>
      </w:r>
    </w:p>
    <w:p w14:paraId="38C48022">
      <w:pPr>
        <w:pStyle w:val="4"/>
        <w:outlineLvl w:val="3"/>
      </w:pPr>
      <w:r>
        <w:rPr>
          <w:rFonts w:ascii="仿宋_GB2312" w:hAnsi="仿宋_GB2312" w:eastAsia="仿宋_GB2312" w:cs="仿宋_GB2312"/>
          <w:b/>
          <w:sz w:val="24"/>
        </w:rPr>
        <w:t>3.3.5支付约定</w:t>
      </w:r>
    </w:p>
    <w:p w14:paraId="371E303D">
      <w:pPr>
        <w:pStyle w:val="4"/>
      </w:pPr>
      <w:r>
        <w:rPr>
          <w:rFonts w:ascii="仿宋_GB2312" w:hAnsi="仿宋_GB2312" w:eastAsia="仿宋_GB2312" w:cs="仿宋_GB2312"/>
        </w:rPr>
        <w:t>采购包1：</w:t>
      </w:r>
    </w:p>
    <w:p w14:paraId="20C796F9">
      <w:pPr>
        <w:pStyle w:val="4"/>
      </w:pPr>
      <w:r>
        <w:rPr>
          <w:rFonts w:ascii="仿宋_GB2312" w:hAnsi="仿宋_GB2312" w:eastAsia="仿宋_GB2312" w:cs="仿宋_GB2312"/>
        </w:rPr>
        <w:t>1、进度款，每季度后一周内按照考核结果，达到付款条件起15个工作日内，支付合同总金额的25.0%</w:t>
      </w:r>
    </w:p>
    <w:p w14:paraId="2C53260A">
      <w:pPr>
        <w:pStyle w:val="4"/>
      </w:pPr>
      <w:r>
        <w:rPr>
          <w:rFonts w:ascii="仿宋_GB2312" w:hAnsi="仿宋_GB2312" w:eastAsia="仿宋_GB2312" w:cs="仿宋_GB2312"/>
        </w:rPr>
        <w:t>2、进度款，每季度后一周内按照考核结果，达到付款条件起15个工作日内，支付合同总金额的25.0%</w:t>
      </w:r>
    </w:p>
    <w:p w14:paraId="0C635200">
      <w:pPr>
        <w:pStyle w:val="4"/>
      </w:pPr>
      <w:r>
        <w:rPr>
          <w:rFonts w:ascii="仿宋_GB2312" w:hAnsi="仿宋_GB2312" w:eastAsia="仿宋_GB2312" w:cs="仿宋_GB2312"/>
        </w:rPr>
        <w:t>3、进度款，季度后一周内按照考核结果，达到付款条件起15个工作日内，支付合同总金额的25.0%</w:t>
      </w:r>
    </w:p>
    <w:p w14:paraId="6255B84B">
      <w:pPr>
        <w:pStyle w:val="4"/>
      </w:pPr>
      <w:r>
        <w:rPr>
          <w:rFonts w:ascii="仿宋_GB2312" w:hAnsi="仿宋_GB2312" w:eastAsia="仿宋_GB2312" w:cs="仿宋_GB2312"/>
        </w:rPr>
        <w:t>4、进度款，每季度后一周内按照考核结果，达到付款条件起15个工作日内，支付合同总金额的25.0%</w:t>
      </w:r>
    </w:p>
    <w:p w14:paraId="4AF83840">
      <w:pPr>
        <w:pStyle w:val="4"/>
        <w:outlineLvl w:val="3"/>
      </w:pPr>
      <w:r>
        <w:rPr>
          <w:rFonts w:ascii="仿宋_GB2312" w:hAnsi="仿宋_GB2312" w:eastAsia="仿宋_GB2312" w:cs="仿宋_GB2312"/>
          <w:b/>
          <w:sz w:val="24"/>
        </w:rPr>
        <w:t>3.3.6违约责任及解决争议的方法</w:t>
      </w:r>
    </w:p>
    <w:p w14:paraId="3FA3BC3D">
      <w:pPr>
        <w:pStyle w:val="4"/>
      </w:pPr>
      <w:r>
        <w:rPr>
          <w:rFonts w:ascii="仿宋_GB2312" w:hAnsi="仿宋_GB2312" w:eastAsia="仿宋_GB2312" w:cs="仿宋_GB2312"/>
        </w:rPr>
        <w:t>采购包1：</w:t>
      </w:r>
    </w:p>
    <w:p w14:paraId="75197A3B">
      <w:pPr>
        <w:pStyle w:val="4"/>
      </w:pPr>
      <w:r>
        <w:rPr>
          <w:rFonts w:ascii="仿宋_GB2312" w:hAnsi="仿宋_GB2312" w:eastAsia="仿宋_GB2312" w:cs="仿宋_GB2312"/>
        </w:rPr>
        <w:t>一、违约责任： 1.网络服务提供方违约 （1）合同履行中发生下列情况之一的，属网络服务提供方违约： 1）提供的网络服务不符合法律以及合同约定； 2）网络服务提供方无法履行或停止履行合同； 3）网络服务提供方不履行合同约定的其他义务。 （2）网络服务提供方发生违约情况时，发包方可向网络服务提供方发出整改通知，要求其在限定期限内纠正；逾期仍不纠正的，发包方有权解除合同并向网络服务提供</w:t>
      </w:r>
      <w:bookmarkStart w:id="0" w:name="_GoBack"/>
      <w:bookmarkEnd w:id="0"/>
      <w:r>
        <w:rPr>
          <w:rFonts w:ascii="仿宋_GB2312" w:hAnsi="仿宋_GB2312" w:eastAsia="仿宋_GB2312" w:cs="仿宋_GB2312"/>
        </w:rPr>
        <w:t>方发出解除合同通知。网络服务提供方应当承担由于违约所造成的费用增加、周期延误和发包方损失等。 2.发包方违约 （1）合同履行中发生下列情况之一的，属发包方违约： 1）发包方未按合同约定支付网络服务费用； 2）发包方原因造成服务停止； 3）发包方无法履行或停止履行合同； 4）发包方不履行合同约定的其他义务。 （2） 发包方发生违约情况时，网络服务提供方可向发包方发出暂停提供服务通知，要求其在限定期限内纠正；逾期仍不纠正的，网络服务提供方有权解除合同并向发包方发出解除合同通知。发包方应当承担由于违约所造成的费用增加、周期延误和网络服务提供方损失等。 二、解决争议的办法： 合同执行中发生争议的，当事人双方应协商解决，协商达不成一致时，可向采购人所在地人民法院提请诉讼。</w:t>
      </w:r>
    </w:p>
    <w:p w14:paraId="52682B74">
      <w:pPr>
        <w:pStyle w:val="4"/>
        <w:outlineLvl w:val="2"/>
      </w:pPr>
      <w:r>
        <w:rPr>
          <w:rFonts w:ascii="仿宋_GB2312" w:hAnsi="仿宋_GB2312" w:eastAsia="仿宋_GB2312" w:cs="仿宋_GB2312"/>
          <w:b/>
          <w:sz w:val="28"/>
        </w:rPr>
        <w:t>3.4其他要求</w:t>
      </w:r>
    </w:p>
    <w:p w14:paraId="267B5700">
      <w:pPr>
        <w:pStyle w:val="4"/>
      </w:pPr>
      <w:r>
        <w:rPr>
          <w:rFonts w:ascii="仿宋_GB2312" w:hAnsi="仿宋_GB2312" w:eastAsia="仿宋_GB2312" w:cs="仿宋_GB2312"/>
        </w:rPr>
        <w:t>参与本项目采购的供应商应通过陕西省政府采购综合管理平台的项目电子化交易系统在线实施响应、磋商、报价等操作，磋商响应时无需供应商现场提供纸质响应文件，但在中标（成交）后中标（成交）供应商需在2个工作日内提供纸质响应文件正本一套、副本一套（电子版文件一份含完整的电子文件PDF版本），纸质响应文件应通过专用制作软件直接打印，确保与项目电子化交易系统中的电子响应文件保持一致，不允许修改和补充。递交文件地点：陕西省西安市曲江新区旺座曲江 F 座1708。</w:t>
      </w:r>
    </w:p>
    <w:p w14:paraId="4B9F186E">
      <w:r>
        <w:rPr>
          <w:rFonts w:ascii="仿宋_GB2312" w:hAnsi="仿宋_GB2312" w:eastAsia="仿宋_GB2312" w:cs="仿宋_GB2312"/>
        </w:rPr>
        <w:t xml:space="preserve"> </w:t>
      </w:r>
      <w:r>
        <w:rPr>
          <w:rFonts w:ascii="仿宋_GB2312" w:hAnsi="仿宋_GB2312" w:eastAsia="仿宋_GB2312" w:cs="仿宋_GB2312"/>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DB84F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2026-07-30T07:19:35Z</dcterms:created>
  <dc:creator>Administrator</dc:creator>
  <cp:lastModifiedBy>时间。负荷</cp:lastModifiedBy>
  <dcterms:modified xsi:type="dcterms:W3CDTF">2026-07-30T07:20:03Z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eyJoZGlkIjoiOTA2ZWIwNGE0ZTc5ZGFiODkyZDk5MDc0NmE4OGVhYTciLCJ1c2VySWQiOiI1MDY5NzczMDcifQ==</vt:lpwstr>
  </property>
  <property fmtid="{D5CDD505-2E9C-101B-9397-08002B2CF9AE}" pid="4" name="ICV">
    <vt:lpwstr>8901836577884D259327113FDC880933_12</vt:lpwstr>
  </property>
</Properties>
</file>