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版本号：ZX2026-03-0620260518001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2026中国田径街头巡回赛采购项目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ZX2026-03-06</w:t>
      </w:r>
      <w:r>
        <w:br/>
      </w:r>
      <w:r>
        <w:br/>
      </w:r>
      <w:r>
        <w:br/>
      </w:r>
    </w:p>
    <w:p>
      <w:pPr>
        <w:pStyle w:val="null3"/>
        <w:jc w:val="center"/>
        <w:outlineLvl w:val="2"/>
      </w:pPr>
      <w:r>
        <w:rPr>
          <w:rFonts w:ascii="仿宋_GB2312" w:hAnsi="仿宋_GB2312" w:cs="仿宋_GB2312" w:eastAsia="仿宋_GB2312"/>
          <w:sz w:val="28"/>
          <w:b/>
        </w:rPr>
        <w:t>西安市田径运动管理中心</w:t>
      </w:r>
    </w:p>
    <w:p>
      <w:pPr>
        <w:pStyle w:val="null3"/>
        <w:jc w:val="center"/>
        <w:outlineLvl w:val="2"/>
      </w:pPr>
      <w:r>
        <w:rPr>
          <w:rFonts w:ascii="仿宋_GB2312" w:hAnsi="仿宋_GB2312" w:cs="仿宋_GB2312" w:eastAsia="仿宋_GB2312"/>
          <w:sz w:val="28"/>
          <w:b/>
        </w:rPr>
        <w:t>陕西正信招标有限公司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陕西正信招标有限公司</w:t>
      </w:r>
      <w:r>
        <w:rPr>
          <w:rFonts w:ascii="仿宋_GB2312" w:hAnsi="仿宋_GB2312" w:cs="仿宋_GB2312" w:eastAsia="仿宋_GB2312"/>
        </w:rPr>
        <w:t>（以下简称“代理机构”）受</w:t>
      </w:r>
      <w:r>
        <w:rPr>
          <w:rFonts w:ascii="仿宋_GB2312" w:hAnsi="仿宋_GB2312" w:cs="仿宋_GB2312" w:eastAsia="仿宋_GB2312"/>
        </w:rPr>
        <w:t>西安市田径运动管理中心</w:t>
      </w:r>
      <w:r>
        <w:rPr>
          <w:rFonts w:ascii="仿宋_GB2312" w:hAnsi="仿宋_GB2312" w:cs="仿宋_GB2312" w:eastAsia="仿宋_GB2312"/>
        </w:rPr>
        <w:t>委托，拟对</w:t>
      </w:r>
      <w:r>
        <w:rPr>
          <w:rFonts w:ascii="仿宋_GB2312" w:hAnsi="仿宋_GB2312" w:cs="仿宋_GB2312" w:eastAsia="仿宋_GB2312"/>
        </w:rPr>
        <w:t>2026中国田径街头巡回赛采购项目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ZX2026-03-06</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2026中国田径街头巡回赛采购项目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2026中国田径街头巡回赛采购项目，1项，具体内容详见招标文件第3章</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采购包1（2026中国田径街头巡回赛采购项目）：属于专门面向中小企业采购。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1、法定代表人授权委托书：法定代表人参加投标的，须提供法定代表人身份证；法定代表人授权本单位他人参加投标的，须提供法定代表人授权委托书。</w:t>
      </w:r>
    </w:p>
    <w:p>
      <w:pPr>
        <w:pStyle w:val="null3"/>
      </w:pPr>
      <w:r>
        <w:rPr>
          <w:rFonts w:ascii="仿宋_GB2312" w:hAnsi="仿宋_GB2312" w:cs="仿宋_GB2312" w:eastAsia="仿宋_GB2312"/>
        </w:rPr>
        <w:t>2、本项目不接受联合体投标，不允许分包：本项目不接受联合体投标，不允许分包。投标人应提供《非联合体不分包投标声明》。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西安市田径运动管理中心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西安市浐灞国际港欧亚大道西安市体育训练中心</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孟老师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029-88060596</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陕西正信招标有限公司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西安市莲湖区环城西路南段元晟合中心6层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梁文龙 张浥清 曹婷 王宇轩 崔文 马演 蔡丹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029-88110800转8028</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采购包1：2,850,000.00元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代理服务费收费标准：参照国家计委计价格[2002]1980号及发改办价格[2003]857号通知规定，由成交供应商支付代理服务费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西安市田径运动管理中心</w:t>
      </w:r>
      <w:r>
        <w:rPr>
          <w:rFonts w:ascii="仿宋_GB2312" w:hAnsi="仿宋_GB2312" w:cs="仿宋_GB2312" w:eastAsia="仿宋_GB2312"/>
        </w:rPr>
        <w:t>和</w:t>
      </w:r>
      <w:r>
        <w:rPr>
          <w:rFonts w:ascii="仿宋_GB2312" w:hAnsi="仿宋_GB2312" w:cs="仿宋_GB2312" w:eastAsia="仿宋_GB2312"/>
        </w:rPr>
        <w:t>陕西正信招标有限公司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西安市田径运动管理中心</w:t>
      </w:r>
      <w:r>
        <w:rPr>
          <w:rFonts w:ascii="仿宋_GB2312" w:hAnsi="仿宋_GB2312" w:cs="仿宋_GB2312" w:eastAsia="仿宋_GB2312"/>
        </w:rPr>
        <w:t>负责解释。除上述招标文件内容，其他内容由</w:t>
      </w:r>
      <w:r>
        <w:rPr>
          <w:rFonts w:ascii="仿宋_GB2312" w:hAnsi="仿宋_GB2312" w:cs="仿宋_GB2312" w:eastAsia="仿宋_GB2312"/>
        </w:rPr>
        <w:t>陕西正信招标有限公司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西安市田径运动管理中心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陕西正信招标有限公司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按招标文件、投标文件及合同约定执行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联系人：曹婷 梁文龙</w:t>
      </w:r>
    </w:p>
    <w:p>
      <w:pPr>
        <w:pStyle w:val="null3"/>
      </w:pPr>
      <w:r>
        <w:rPr>
          <w:rFonts w:ascii="仿宋_GB2312" w:hAnsi="仿宋_GB2312" w:cs="仿宋_GB2312" w:eastAsia="仿宋_GB2312"/>
        </w:rPr>
        <w:t>联系电话：029-88110800转8028</w:t>
      </w:r>
    </w:p>
    <w:p>
      <w:pPr>
        <w:pStyle w:val="null3"/>
      </w:pPr>
      <w:r>
        <w:rPr>
          <w:rFonts w:ascii="仿宋_GB2312" w:hAnsi="仿宋_GB2312" w:cs="仿宋_GB2312" w:eastAsia="仿宋_GB2312"/>
        </w:rPr>
        <w:t>地址：西安市莲湖区环城西路南段元晟合中心6层</w:t>
      </w:r>
    </w:p>
    <w:p>
      <w:pPr>
        <w:pStyle w:val="null3"/>
      </w:pPr>
      <w:r>
        <w:rPr>
          <w:rFonts w:ascii="仿宋_GB2312" w:hAnsi="仿宋_GB2312" w:cs="仿宋_GB2312" w:eastAsia="仿宋_GB2312"/>
        </w:rPr>
        <w:t>邮编：710082</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sz w:val="21"/>
        </w:rPr>
        <w:t>2026中国田径街头巡回赛采购项目，具体内容详见3.2服务内容及服务要求</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2,850,000.00</w:t>
      </w:r>
    </w:p>
    <w:p>
      <w:pPr>
        <w:pStyle w:val="null3"/>
      </w:pPr>
      <w:r>
        <w:rPr>
          <w:rFonts w:ascii="仿宋_GB2312" w:hAnsi="仿宋_GB2312" w:cs="仿宋_GB2312" w:eastAsia="仿宋_GB2312"/>
        </w:rPr>
        <w:t>采购包最高限价（元）: 2,850,000.00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田径街头巡回赛</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2,850,000.00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标的名称：田径街头巡回赛</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一、项目背景</w:t>
            </w:r>
          </w:p>
          <w:p>
            <w:pPr>
              <w:pStyle w:val="null3"/>
              <w:ind w:firstLine="400"/>
            </w:pPr>
            <w:r>
              <w:rPr>
                <w:rFonts w:ascii="仿宋_GB2312" w:hAnsi="仿宋_GB2312" w:cs="仿宋_GB2312" w:eastAsia="仿宋_GB2312"/>
              </w:rPr>
              <w:t>作为</w:t>
            </w:r>
            <w:r>
              <w:rPr>
                <w:rFonts w:ascii="仿宋_GB2312" w:hAnsi="仿宋_GB2312" w:cs="仿宋_GB2312" w:eastAsia="仿宋_GB2312"/>
              </w:rPr>
              <w:t>“</w:t>
            </w:r>
            <w:r>
              <w:rPr>
                <w:rFonts w:ascii="仿宋_GB2312" w:hAnsi="仿宋_GB2312" w:cs="仿宋_GB2312" w:eastAsia="仿宋_GB2312"/>
              </w:rPr>
              <w:t>十四运</w:t>
            </w:r>
            <w:r>
              <w:rPr>
                <w:rFonts w:ascii="仿宋_GB2312" w:hAnsi="仿宋_GB2312" w:cs="仿宋_GB2312" w:eastAsia="仿宋_GB2312"/>
              </w:rPr>
              <w:t>”</w:t>
            </w:r>
            <w:r>
              <w:rPr>
                <w:rFonts w:ascii="仿宋_GB2312" w:hAnsi="仿宋_GB2312" w:cs="仿宋_GB2312" w:eastAsia="仿宋_GB2312"/>
              </w:rPr>
              <w:t>后时代体育强市建设的创新实践，西安以</w:t>
            </w:r>
            <w:r>
              <w:rPr>
                <w:rFonts w:ascii="仿宋_GB2312" w:hAnsi="仿宋_GB2312" w:cs="仿宋_GB2312" w:eastAsia="仿宋_GB2312"/>
              </w:rPr>
              <w:t>“</w:t>
            </w:r>
            <w:r>
              <w:rPr>
                <w:rFonts w:ascii="仿宋_GB2312" w:hAnsi="仿宋_GB2312" w:cs="仿宋_GB2312" w:eastAsia="仿宋_GB2312"/>
              </w:rPr>
              <w:t>赛事</w:t>
            </w:r>
            <w:r>
              <w:rPr>
                <w:rFonts w:ascii="仿宋_GB2312" w:hAnsi="仿宋_GB2312" w:cs="仿宋_GB2312" w:eastAsia="仿宋_GB2312"/>
              </w:rPr>
              <w:t>名</w:t>
            </w:r>
            <w:r>
              <w:rPr>
                <w:rFonts w:ascii="仿宋_GB2312" w:hAnsi="仿宋_GB2312" w:cs="仿宋_GB2312" w:eastAsia="仿宋_GB2312"/>
              </w:rPr>
              <w:t>城</w:t>
            </w:r>
            <w:r>
              <w:rPr>
                <w:rFonts w:ascii="仿宋_GB2312" w:hAnsi="仿宋_GB2312" w:cs="仿宋_GB2312" w:eastAsia="仿宋_GB2312"/>
              </w:rPr>
              <w:t>”</w:t>
            </w:r>
            <w:r>
              <w:rPr>
                <w:rFonts w:ascii="仿宋_GB2312" w:hAnsi="仿宋_GB2312" w:cs="仿宋_GB2312" w:eastAsia="仿宋_GB2312"/>
              </w:rPr>
              <w:t>战略为引领，将体育赛事深度融入城市发展脉络，持续释放全运会综合效应。</w:t>
            </w:r>
            <w:r>
              <w:rPr>
                <w:rFonts w:ascii="仿宋_GB2312" w:hAnsi="仿宋_GB2312" w:cs="仿宋_GB2312" w:eastAsia="仿宋_GB2312"/>
              </w:rPr>
              <w:t>2026中国田径街头巡回赛</w:t>
            </w:r>
            <w:r>
              <w:rPr>
                <w:rFonts w:ascii="仿宋_GB2312" w:hAnsi="仿宋_GB2312" w:cs="仿宋_GB2312" w:eastAsia="仿宋_GB2312"/>
              </w:rPr>
              <w:t>总决赛</w:t>
            </w:r>
            <w:r>
              <w:rPr>
                <w:rFonts w:ascii="仿宋_GB2312" w:hAnsi="仿宋_GB2312" w:cs="仿宋_GB2312" w:eastAsia="仿宋_GB2312"/>
              </w:rPr>
              <w:t>应运而生，作为全国性田径赛事的</w:t>
            </w:r>
            <w:r>
              <w:rPr>
                <w:rFonts w:ascii="仿宋_GB2312" w:hAnsi="仿宋_GB2312" w:cs="仿宋_GB2312" w:eastAsia="仿宋_GB2312"/>
              </w:rPr>
              <w:t>“破壁者”，打破传统场地限制，将田径赛道铺设在城市地标下。赛事邀请知名田径运动员，近距离为大众呈现精彩赛事，同时增设公开赛，引导大众参与，普及田径规则。这一举措不仅促进全民健身事业发展，还通过赛事IP打造和地标场景活化，推动体育与文旅、商业的深度融合，为西安建设“赛</w:t>
            </w:r>
            <w:r>
              <w:rPr>
                <w:rFonts w:ascii="仿宋_GB2312" w:hAnsi="仿宋_GB2312" w:cs="仿宋_GB2312" w:eastAsia="仿宋_GB2312"/>
              </w:rPr>
              <w:t>事名城</w:t>
            </w:r>
            <w:r>
              <w:rPr>
                <w:rFonts w:ascii="仿宋_GB2312" w:hAnsi="仿宋_GB2312" w:cs="仿宋_GB2312" w:eastAsia="仿宋_GB2312"/>
              </w:rPr>
              <w:t>”注入新活力。</w:t>
            </w:r>
          </w:p>
          <w:p>
            <w:pPr>
              <w:pStyle w:val="null3"/>
            </w:pPr>
            <w:r>
              <w:rPr>
                <w:rFonts w:ascii="仿宋_GB2312" w:hAnsi="仿宋_GB2312" w:cs="仿宋_GB2312" w:eastAsia="仿宋_GB2312"/>
              </w:rPr>
              <w:t xml:space="preserve">  2026中国田径街头巡回赛</w:t>
            </w:r>
            <w:r>
              <w:rPr>
                <w:rFonts w:ascii="仿宋_GB2312" w:hAnsi="仿宋_GB2312" w:cs="仿宋_GB2312" w:eastAsia="仿宋_GB2312"/>
              </w:rPr>
              <w:t>总决赛</w:t>
            </w:r>
            <w:r>
              <w:rPr>
                <w:rFonts w:ascii="仿宋_GB2312" w:hAnsi="仿宋_GB2312" w:cs="仿宋_GB2312" w:eastAsia="仿宋_GB2312"/>
              </w:rPr>
              <w:t>拟于</w:t>
            </w:r>
            <w:r>
              <w:rPr>
                <w:rFonts w:ascii="仿宋_GB2312" w:hAnsi="仿宋_GB2312" w:cs="仿宋_GB2312" w:eastAsia="仿宋_GB2312"/>
              </w:rPr>
              <w:t>202</w:t>
            </w:r>
            <w:r>
              <w:rPr>
                <w:rFonts w:ascii="仿宋_GB2312" w:hAnsi="仿宋_GB2312" w:cs="仿宋_GB2312" w:eastAsia="仿宋_GB2312"/>
              </w:rPr>
              <w:t>6</w:t>
            </w:r>
            <w:r>
              <w:rPr>
                <w:rFonts w:ascii="仿宋_GB2312" w:hAnsi="仿宋_GB2312" w:cs="仿宋_GB2312" w:eastAsia="仿宋_GB2312"/>
              </w:rPr>
              <w:t>年</w:t>
            </w:r>
            <w:r>
              <w:rPr>
                <w:rFonts w:ascii="仿宋_GB2312" w:hAnsi="仿宋_GB2312" w:cs="仿宋_GB2312" w:eastAsia="仿宋_GB2312"/>
              </w:rPr>
              <w:t>10</w:t>
            </w:r>
            <w:r>
              <w:rPr>
                <w:rFonts w:ascii="仿宋_GB2312" w:hAnsi="仿宋_GB2312" w:cs="仿宋_GB2312" w:eastAsia="仿宋_GB2312"/>
              </w:rPr>
              <w:t>月</w:t>
            </w:r>
            <w:r>
              <w:rPr>
                <w:rFonts w:ascii="仿宋_GB2312" w:hAnsi="仿宋_GB2312" w:cs="仿宋_GB2312" w:eastAsia="仿宋_GB2312"/>
              </w:rPr>
              <w:t>6</w:t>
            </w:r>
            <w:r>
              <w:rPr>
                <w:rFonts w:ascii="仿宋_GB2312" w:hAnsi="仿宋_GB2312" w:cs="仿宋_GB2312" w:eastAsia="仿宋_GB2312"/>
              </w:rPr>
              <w:t>日至</w:t>
            </w:r>
            <w:r>
              <w:rPr>
                <w:rFonts w:ascii="仿宋_GB2312" w:hAnsi="仿宋_GB2312" w:cs="仿宋_GB2312" w:eastAsia="仿宋_GB2312"/>
              </w:rPr>
              <w:t>7</w:t>
            </w:r>
            <w:r>
              <w:rPr>
                <w:rFonts w:ascii="仿宋_GB2312" w:hAnsi="仿宋_GB2312" w:cs="仿宋_GB2312" w:eastAsia="仿宋_GB2312"/>
              </w:rPr>
              <w:t>日在西安</w:t>
            </w:r>
            <w:r>
              <w:rPr>
                <w:rFonts w:ascii="仿宋_GB2312" w:hAnsi="仿宋_GB2312" w:cs="仿宋_GB2312" w:eastAsia="仿宋_GB2312"/>
              </w:rPr>
              <w:t>奥体中心</w:t>
            </w:r>
            <w:r>
              <w:rPr>
                <w:rFonts w:ascii="仿宋_GB2312" w:hAnsi="仿宋_GB2312" w:cs="仿宋_GB2312" w:eastAsia="仿宋_GB2312"/>
              </w:rPr>
              <w:t>举办，比赛场地为半封闭场地。比赛天数</w:t>
            </w:r>
            <w:r>
              <w:rPr>
                <w:rFonts w:ascii="仿宋_GB2312" w:hAnsi="仿宋_GB2312" w:cs="仿宋_GB2312" w:eastAsia="仿宋_GB2312"/>
              </w:rPr>
              <w:t>2天，</w:t>
            </w:r>
            <w:r>
              <w:rPr>
                <w:rFonts w:ascii="仿宋_GB2312" w:hAnsi="仿宋_GB2312" w:cs="仿宋_GB2312" w:eastAsia="仿宋_GB2312"/>
              </w:rPr>
              <w:t>不少于</w:t>
            </w:r>
            <w:r>
              <w:rPr>
                <w:rFonts w:ascii="仿宋_GB2312" w:hAnsi="仿宋_GB2312" w:cs="仿宋_GB2312" w:eastAsia="仿宋_GB2312"/>
              </w:rPr>
              <w:t>7个项目,含100米、跨栏、跳高、跳远、撑竿跳高等</w:t>
            </w:r>
            <w:r>
              <w:rPr>
                <w:rFonts w:ascii="仿宋_GB2312" w:hAnsi="仿宋_GB2312" w:cs="仿宋_GB2312" w:eastAsia="仿宋_GB2312"/>
              </w:rPr>
              <w:t>。</w:t>
            </w:r>
          </w:p>
          <w:p>
            <w:pPr>
              <w:pStyle w:val="null3"/>
            </w:pPr>
            <w:r>
              <w:rPr>
                <w:rFonts w:ascii="仿宋_GB2312" w:hAnsi="仿宋_GB2312" w:cs="仿宋_GB2312" w:eastAsia="仿宋_GB2312"/>
              </w:rPr>
              <w:t>二、项目需求</w:t>
            </w:r>
          </w:p>
          <w:p>
            <w:pPr>
              <w:pStyle w:val="null3"/>
              <w:ind w:firstLine="400"/>
            </w:pPr>
            <w:r>
              <w:rPr>
                <w:rFonts w:ascii="仿宋_GB2312" w:hAnsi="仿宋_GB2312" w:cs="仿宋_GB2312" w:eastAsia="仿宋_GB2312"/>
              </w:rPr>
              <w:t>根据大会要求负责整体比赛的活动方案、活动相关物品制作、比赛用品购买、租赁及赛场搭建布置，赛事交通、安保、医疗，比赛赛场气氛渲染等服务。</w:t>
            </w:r>
          </w:p>
          <w:p>
            <w:pPr>
              <w:pStyle w:val="null3"/>
            </w:pPr>
            <w:r>
              <w:rPr>
                <w:rFonts w:ascii="仿宋_GB2312" w:hAnsi="仿宋_GB2312" w:cs="仿宋_GB2312" w:eastAsia="仿宋_GB2312"/>
              </w:rPr>
              <w:t>三、具体服务需求</w:t>
            </w:r>
          </w:p>
          <w:p>
            <w:pPr>
              <w:pStyle w:val="null3"/>
            </w:pPr>
            <w:r>
              <w:rPr>
                <w:rFonts w:ascii="仿宋_GB2312" w:hAnsi="仿宋_GB2312" w:cs="仿宋_GB2312" w:eastAsia="仿宋_GB2312"/>
              </w:rPr>
              <w:t>1.提供2026中国田径街头巡回赛赛事场地规划及搭建。包括：场地租赁、专业跑道铺设、西安站赛事场地设计效果图、竞赛核心区域搭建、观众席、田径科普区规划及搭建、世界田联场地认证等。</w:t>
            </w:r>
          </w:p>
          <w:p>
            <w:pPr>
              <w:pStyle w:val="null3"/>
            </w:pPr>
            <w:r>
              <w:rPr>
                <w:rFonts w:ascii="仿宋_GB2312" w:hAnsi="仿宋_GB2312" w:cs="仿宋_GB2312" w:eastAsia="仿宋_GB2312"/>
              </w:rPr>
              <w:t>2.提供体育展示物资和设施。提供展示物资包括：西安站赛事灯光和光影效果规划设计、声光电相关的赛事展示搭建、运动员出场LED屏幕、现场展示LED大屏幕、功能房布置、灯光、音频和视频切换调控设备、赛事主持颁奖解说等专业人员管理等</w:t>
            </w:r>
            <w:r>
              <w:rPr>
                <w:rFonts w:ascii="仿宋_GB2312" w:hAnsi="仿宋_GB2312" w:cs="仿宋_GB2312" w:eastAsia="仿宋_GB2312"/>
              </w:rPr>
              <w:t>，赛事现场赛道搭建需使用经世界田联认证过的赛道面层，搭建完成后需进行世界田联场地赛道认证。</w:t>
            </w:r>
            <w:r>
              <w:rPr>
                <w:rFonts w:ascii="仿宋_GB2312" w:hAnsi="仿宋_GB2312" w:cs="仿宋_GB2312" w:eastAsia="仿宋_GB2312"/>
              </w:rPr>
              <w:t>。</w:t>
            </w:r>
          </w:p>
          <w:p>
            <w:pPr>
              <w:pStyle w:val="null3"/>
            </w:pPr>
            <w:r>
              <w:rPr>
                <w:rFonts w:ascii="仿宋_GB2312" w:hAnsi="仿宋_GB2312" w:cs="仿宋_GB2312" w:eastAsia="仿宋_GB2312"/>
              </w:rPr>
              <w:t>3.</w:t>
            </w:r>
            <w:r>
              <w:rPr>
                <w:rFonts w:ascii="仿宋_GB2312" w:hAnsi="仿宋_GB2312" w:cs="仿宋_GB2312" w:eastAsia="仿宋_GB2312"/>
              </w:rPr>
              <w:t>负责单项比赛运动员的邀请，具体标准为：按照中国田协积分排名达到国内排名前十的运动员。</w:t>
            </w:r>
          </w:p>
          <w:p>
            <w:pPr>
              <w:pStyle w:val="null3"/>
            </w:pPr>
            <w:r>
              <w:rPr>
                <w:rFonts w:ascii="仿宋_GB2312" w:hAnsi="仿宋_GB2312" w:cs="仿宋_GB2312" w:eastAsia="仿宋_GB2312"/>
              </w:rPr>
              <w:t>4.</w:t>
            </w:r>
            <w:r>
              <w:rPr>
                <w:rFonts w:ascii="仿宋_GB2312" w:hAnsi="仿宋_GB2312" w:cs="仿宋_GB2312" w:eastAsia="仿宋_GB2312"/>
              </w:rPr>
              <w:t>协调赛事相关报备，包含：公安、场地物业、消防、航拍、应急局等。</w:t>
            </w:r>
          </w:p>
          <w:p>
            <w:pPr>
              <w:pStyle w:val="null3"/>
            </w:pPr>
            <w:r>
              <w:rPr>
                <w:rFonts w:ascii="仿宋_GB2312" w:hAnsi="仿宋_GB2312" w:cs="仿宋_GB2312" w:eastAsia="仿宋_GB2312"/>
              </w:rPr>
              <w:t>5</w:t>
            </w:r>
            <w:r>
              <w:rPr>
                <w:rFonts w:ascii="仿宋_GB2312" w:hAnsi="仿宋_GB2312" w:cs="仿宋_GB2312" w:eastAsia="仿宋_GB2312"/>
              </w:rPr>
              <w:t>.负责赛事直播相关工作，包含机位架设、航拍报批、解说播报等。</w:t>
            </w:r>
          </w:p>
          <w:p>
            <w:pPr>
              <w:pStyle w:val="null3"/>
            </w:pPr>
            <w:r>
              <w:rPr>
                <w:rFonts w:ascii="仿宋_GB2312" w:hAnsi="仿宋_GB2312" w:cs="仿宋_GB2312" w:eastAsia="仿宋_GB2312"/>
              </w:rPr>
              <w:t>6</w:t>
            </w:r>
            <w:r>
              <w:rPr>
                <w:rFonts w:ascii="仿宋_GB2312" w:hAnsi="仿宋_GB2312" w:cs="仿宋_GB2312" w:eastAsia="仿宋_GB2312"/>
              </w:rPr>
              <w:t>.配合编辑、制作项目《秩序册》和《成绩册》。</w:t>
            </w:r>
          </w:p>
          <w:p>
            <w:pPr>
              <w:pStyle w:val="null3"/>
            </w:pPr>
            <w:r>
              <w:rPr>
                <w:rFonts w:ascii="仿宋_GB2312" w:hAnsi="仿宋_GB2312" w:cs="仿宋_GB2312" w:eastAsia="仿宋_GB2312"/>
                <w:sz w:val="21"/>
              </w:rPr>
              <w:t>7</w:t>
            </w:r>
            <w:r>
              <w:rPr>
                <w:rFonts w:ascii="仿宋_GB2312" w:hAnsi="仿宋_GB2312" w:cs="仿宋_GB2312" w:eastAsia="仿宋_GB2312"/>
                <w:sz w:val="21"/>
              </w:rPr>
              <w:t>.负责做好应急预案、医疗保障工作</w:t>
            </w:r>
            <w:r>
              <w:rPr>
                <w:rFonts w:ascii="仿宋_GB2312" w:hAnsi="仿宋_GB2312" w:cs="仿宋_GB2312" w:eastAsia="仿宋_GB2312"/>
              </w:rPr>
              <w:t>。</w:t>
            </w:r>
          </w:p>
          <w:p>
            <w:pPr>
              <w:pStyle w:val="null3"/>
            </w:pPr>
            <w:r>
              <w:rPr>
                <w:rFonts w:ascii="仿宋_GB2312" w:hAnsi="仿宋_GB2312" w:cs="仿宋_GB2312" w:eastAsia="仿宋_GB2312"/>
              </w:rPr>
              <w:t>四、赛事基本情况介绍</w:t>
            </w:r>
          </w:p>
          <w:p>
            <w:pPr>
              <w:pStyle w:val="null3"/>
            </w:pPr>
            <w:r>
              <w:rPr>
                <w:rFonts w:ascii="仿宋_GB2312" w:hAnsi="仿宋_GB2312" w:cs="仿宋_GB2312" w:eastAsia="仿宋_GB2312"/>
              </w:rPr>
              <w:t>（一</w:t>
            </w:r>
            <w:r>
              <w:rPr>
                <w:rFonts w:ascii="仿宋_GB2312" w:hAnsi="仿宋_GB2312" w:cs="仿宋_GB2312" w:eastAsia="仿宋_GB2312"/>
              </w:rPr>
              <w:t>）赛事名称</w:t>
            </w:r>
            <w:r>
              <w:rPr>
                <w:rFonts w:ascii="仿宋_GB2312" w:hAnsi="仿宋_GB2312" w:cs="仿宋_GB2312" w:eastAsia="仿宋_GB2312"/>
              </w:rPr>
              <w:t>:2026中国田径街头巡回赛</w:t>
            </w:r>
          </w:p>
          <w:p>
            <w:pPr>
              <w:pStyle w:val="null3"/>
            </w:pPr>
            <w:r>
              <w:rPr>
                <w:rFonts w:ascii="仿宋_GB2312" w:hAnsi="仿宋_GB2312" w:cs="仿宋_GB2312" w:eastAsia="仿宋_GB2312"/>
              </w:rPr>
              <w:t>（二）比赛地点：</w:t>
            </w:r>
            <w:r>
              <w:rPr>
                <w:rFonts w:ascii="仿宋_GB2312" w:hAnsi="仿宋_GB2312" w:cs="仿宋_GB2312" w:eastAsia="仿宋_GB2312"/>
              </w:rPr>
              <w:t>西安奥体中心</w:t>
            </w:r>
          </w:p>
          <w:p>
            <w:pPr>
              <w:pStyle w:val="null3"/>
            </w:pPr>
            <w:r>
              <w:rPr>
                <w:rFonts w:ascii="仿宋_GB2312" w:hAnsi="仿宋_GB2312" w:cs="仿宋_GB2312" w:eastAsia="仿宋_GB2312"/>
              </w:rPr>
              <w:t>（三）比赛项目：不少于</w:t>
            </w:r>
            <w:r>
              <w:rPr>
                <w:rFonts w:ascii="仿宋_GB2312" w:hAnsi="仿宋_GB2312" w:cs="仿宋_GB2312" w:eastAsia="仿宋_GB2312"/>
              </w:rPr>
              <w:t>7个项目,含100米、跨栏、跳高、跳远、撑竿跳高等</w:t>
            </w:r>
            <w:r>
              <w:rPr>
                <w:rFonts w:ascii="仿宋_GB2312" w:hAnsi="仿宋_GB2312" w:cs="仿宋_GB2312" w:eastAsia="仿宋_GB2312"/>
              </w:rPr>
              <w:t>。</w:t>
            </w:r>
          </w:p>
          <w:p>
            <w:pPr>
              <w:pStyle w:val="null3"/>
            </w:pPr>
            <w:r>
              <w:rPr>
                <w:rFonts w:ascii="仿宋_GB2312" w:hAnsi="仿宋_GB2312" w:cs="仿宋_GB2312" w:eastAsia="仿宋_GB2312"/>
              </w:rPr>
              <w:t>（四）比赛时间：</w:t>
            </w:r>
            <w:r>
              <w:rPr>
                <w:rFonts w:ascii="仿宋_GB2312" w:hAnsi="仿宋_GB2312" w:cs="仿宋_GB2312" w:eastAsia="仿宋_GB2312"/>
              </w:rPr>
              <w:t>202</w:t>
            </w:r>
            <w:r>
              <w:rPr>
                <w:rFonts w:ascii="仿宋_GB2312" w:hAnsi="仿宋_GB2312" w:cs="仿宋_GB2312" w:eastAsia="仿宋_GB2312"/>
              </w:rPr>
              <w:t>6</w:t>
            </w:r>
            <w:r>
              <w:rPr>
                <w:rFonts w:ascii="仿宋_GB2312" w:hAnsi="仿宋_GB2312" w:cs="仿宋_GB2312" w:eastAsia="仿宋_GB2312"/>
              </w:rPr>
              <w:t>年</w:t>
            </w:r>
            <w:r>
              <w:rPr>
                <w:rFonts w:ascii="仿宋_GB2312" w:hAnsi="仿宋_GB2312" w:cs="仿宋_GB2312" w:eastAsia="仿宋_GB2312"/>
              </w:rPr>
              <w:t>10</w:t>
            </w:r>
            <w:r>
              <w:rPr>
                <w:rFonts w:ascii="仿宋_GB2312" w:hAnsi="仿宋_GB2312" w:cs="仿宋_GB2312" w:eastAsia="仿宋_GB2312"/>
              </w:rPr>
              <w:t>月</w:t>
            </w:r>
            <w:r>
              <w:rPr>
                <w:rFonts w:ascii="仿宋_GB2312" w:hAnsi="仿宋_GB2312" w:cs="仿宋_GB2312" w:eastAsia="仿宋_GB2312"/>
              </w:rPr>
              <w:t>6</w:t>
            </w:r>
            <w:r>
              <w:rPr>
                <w:rFonts w:ascii="仿宋_GB2312" w:hAnsi="仿宋_GB2312" w:cs="仿宋_GB2312" w:eastAsia="仿宋_GB2312"/>
              </w:rPr>
              <w:t>日</w:t>
            </w:r>
            <w:r>
              <w:rPr>
                <w:rFonts w:ascii="仿宋_GB2312" w:hAnsi="仿宋_GB2312" w:cs="仿宋_GB2312" w:eastAsia="仿宋_GB2312"/>
              </w:rPr>
              <w:t>-</w:t>
            </w:r>
            <w:r>
              <w:rPr>
                <w:rFonts w:ascii="仿宋_GB2312" w:hAnsi="仿宋_GB2312" w:cs="仿宋_GB2312" w:eastAsia="仿宋_GB2312"/>
              </w:rPr>
              <w:t>7</w:t>
            </w:r>
            <w:r>
              <w:rPr>
                <w:rFonts w:ascii="仿宋_GB2312" w:hAnsi="仿宋_GB2312" w:cs="仿宋_GB2312" w:eastAsia="仿宋_GB2312"/>
              </w:rPr>
              <w:t>日</w:t>
            </w:r>
          </w:p>
          <w:p>
            <w:pPr>
              <w:pStyle w:val="null3"/>
            </w:pPr>
            <w:r>
              <w:rPr>
                <w:rFonts w:ascii="仿宋_GB2312" w:hAnsi="仿宋_GB2312" w:cs="仿宋_GB2312" w:eastAsia="仿宋_GB2312"/>
              </w:rPr>
              <w:t>（五）活动人数：国内顶级运动员、领导及嘉宾；媒体、定向组织内场观众</w:t>
            </w:r>
            <w:r>
              <w:rPr>
                <w:rFonts w:ascii="仿宋_GB2312" w:hAnsi="仿宋_GB2312" w:cs="仿宋_GB2312" w:eastAsia="仿宋_GB2312"/>
              </w:rPr>
              <w:t>180至200人。</w:t>
            </w:r>
          </w:p>
          <w:p>
            <w:pPr>
              <w:pStyle w:val="null3"/>
            </w:pPr>
            <w:r>
              <w:rPr>
                <w:rFonts w:ascii="仿宋_GB2312" w:hAnsi="仿宋_GB2312" w:cs="仿宋_GB2312" w:eastAsia="仿宋_GB2312"/>
              </w:rPr>
              <w:t>（六）赛事流程</w:t>
            </w:r>
          </w:p>
          <w:p>
            <w:pPr>
              <w:pStyle w:val="null3"/>
            </w:pPr>
            <w:r>
              <w:rPr>
                <w:rFonts w:ascii="仿宋_GB2312" w:hAnsi="仿宋_GB2312" w:cs="仿宋_GB2312" w:eastAsia="仿宋_GB2312"/>
              </w:rPr>
              <w:t>1.正式比赛日202</w:t>
            </w:r>
            <w:r>
              <w:rPr>
                <w:rFonts w:ascii="仿宋_GB2312" w:hAnsi="仿宋_GB2312" w:cs="仿宋_GB2312" w:eastAsia="仿宋_GB2312"/>
              </w:rPr>
              <w:t>6</w:t>
            </w:r>
            <w:r>
              <w:rPr>
                <w:rFonts w:ascii="仿宋_GB2312" w:hAnsi="仿宋_GB2312" w:cs="仿宋_GB2312" w:eastAsia="仿宋_GB2312"/>
              </w:rPr>
              <w:t>年</w:t>
            </w:r>
            <w:r>
              <w:rPr>
                <w:rFonts w:ascii="仿宋_GB2312" w:hAnsi="仿宋_GB2312" w:cs="仿宋_GB2312" w:eastAsia="仿宋_GB2312"/>
              </w:rPr>
              <w:t>10</w:t>
            </w:r>
            <w:r>
              <w:rPr>
                <w:rFonts w:ascii="仿宋_GB2312" w:hAnsi="仿宋_GB2312" w:cs="仿宋_GB2312" w:eastAsia="仿宋_GB2312"/>
              </w:rPr>
              <w:t>月</w:t>
            </w:r>
            <w:r>
              <w:rPr>
                <w:rFonts w:ascii="仿宋_GB2312" w:hAnsi="仿宋_GB2312" w:cs="仿宋_GB2312" w:eastAsia="仿宋_GB2312"/>
              </w:rPr>
              <w:t>6</w:t>
            </w:r>
            <w:r>
              <w:rPr>
                <w:rFonts w:ascii="仿宋_GB2312" w:hAnsi="仿宋_GB2312" w:cs="仿宋_GB2312" w:eastAsia="仿宋_GB2312"/>
              </w:rPr>
              <w:t>日</w:t>
            </w:r>
          </w:p>
          <w:p>
            <w:pPr>
              <w:pStyle w:val="null3"/>
            </w:pPr>
            <w:r>
              <w:rPr>
                <w:rFonts w:ascii="仿宋_GB2312" w:hAnsi="仿宋_GB2312" w:cs="仿宋_GB2312" w:eastAsia="仿宋_GB2312"/>
              </w:rPr>
              <w:t>2.公开赛</w:t>
            </w:r>
            <w:r>
              <w:rPr>
                <w:rFonts w:ascii="仿宋_GB2312" w:hAnsi="仿宋_GB2312" w:cs="仿宋_GB2312" w:eastAsia="仿宋_GB2312"/>
              </w:rPr>
              <w:t>2026年10月7日</w:t>
            </w:r>
            <w:r>
              <w:rPr>
                <w:rFonts w:ascii="仿宋_GB2312" w:hAnsi="仿宋_GB2312" w:cs="仿宋_GB2312" w:eastAsia="仿宋_GB2312"/>
              </w:rPr>
              <w:t>9:00-1</w:t>
            </w:r>
            <w:r>
              <w:rPr>
                <w:rFonts w:ascii="仿宋_GB2312" w:hAnsi="仿宋_GB2312" w:cs="仿宋_GB2312" w:eastAsia="仿宋_GB2312"/>
              </w:rPr>
              <w:t>4</w:t>
            </w:r>
            <w:r>
              <w:rPr>
                <w:rFonts w:ascii="仿宋_GB2312" w:hAnsi="仿宋_GB2312" w:cs="仿宋_GB2312" w:eastAsia="仿宋_GB2312"/>
              </w:rPr>
              <w:t>:00</w:t>
            </w:r>
          </w:p>
          <w:p>
            <w:pPr>
              <w:pStyle w:val="null3"/>
            </w:pPr>
            <w:r>
              <w:rPr>
                <w:rFonts w:ascii="仿宋_GB2312" w:hAnsi="仿宋_GB2312" w:cs="仿宋_GB2312" w:eastAsia="仿宋_GB2312"/>
              </w:rPr>
              <w:t>3.田径科普区时间：202</w:t>
            </w:r>
            <w:r>
              <w:rPr>
                <w:rFonts w:ascii="仿宋_GB2312" w:hAnsi="仿宋_GB2312" w:cs="仿宋_GB2312" w:eastAsia="仿宋_GB2312"/>
              </w:rPr>
              <w:t>6</w:t>
            </w:r>
            <w:r>
              <w:rPr>
                <w:rFonts w:ascii="仿宋_GB2312" w:hAnsi="仿宋_GB2312" w:cs="仿宋_GB2312" w:eastAsia="仿宋_GB2312"/>
              </w:rPr>
              <w:t>年</w:t>
            </w:r>
            <w:r>
              <w:rPr>
                <w:rFonts w:ascii="仿宋_GB2312" w:hAnsi="仿宋_GB2312" w:cs="仿宋_GB2312" w:eastAsia="仿宋_GB2312"/>
              </w:rPr>
              <w:t>10</w:t>
            </w:r>
            <w:r>
              <w:rPr>
                <w:rFonts w:ascii="仿宋_GB2312" w:hAnsi="仿宋_GB2312" w:cs="仿宋_GB2312" w:eastAsia="仿宋_GB2312"/>
              </w:rPr>
              <w:t>月</w:t>
            </w:r>
            <w:r>
              <w:rPr>
                <w:rFonts w:ascii="仿宋_GB2312" w:hAnsi="仿宋_GB2312" w:cs="仿宋_GB2312" w:eastAsia="仿宋_GB2312"/>
              </w:rPr>
              <w:t>6</w:t>
            </w:r>
            <w:r>
              <w:rPr>
                <w:rFonts w:ascii="仿宋_GB2312" w:hAnsi="仿宋_GB2312" w:cs="仿宋_GB2312" w:eastAsia="仿宋_GB2312"/>
              </w:rPr>
              <w:t>日</w:t>
            </w:r>
            <w:r>
              <w:rPr>
                <w:rFonts w:ascii="仿宋_GB2312" w:hAnsi="仿宋_GB2312" w:cs="仿宋_GB2312" w:eastAsia="仿宋_GB2312"/>
              </w:rPr>
              <w:t>-</w:t>
            </w:r>
            <w:r>
              <w:rPr>
                <w:rFonts w:ascii="仿宋_GB2312" w:hAnsi="仿宋_GB2312" w:cs="仿宋_GB2312" w:eastAsia="仿宋_GB2312"/>
              </w:rPr>
              <w:t>7</w:t>
            </w:r>
            <w:r>
              <w:rPr>
                <w:rFonts w:ascii="仿宋_GB2312" w:hAnsi="仿宋_GB2312" w:cs="仿宋_GB2312" w:eastAsia="仿宋_GB2312"/>
              </w:rPr>
              <w:t>日，两日</w:t>
            </w:r>
            <w:r>
              <w:rPr>
                <w:rFonts w:ascii="仿宋_GB2312" w:hAnsi="仿宋_GB2312" w:cs="仿宋_GB2312" w:eastAsia="仿宋_GB2312"/>
              </w:rPr>
              <w:t>1</w:t>
            </w:r>
            <w:r>
              <w:rPr>
                <w:rFonts w:ascii="仿宋_GB2312" w:hAnsi="仿宋_GB2312" w:cs="仿宋_GB2312" w:eastAsia="仿宋_GB2312"/>
              </w:rPr>
              <w:t>0</w:t>
            </w:r>
            <w:r>
              <w:rPr>
                <w:rFonts w:ascii="仿宋_GB2312" w:hAnsi="仿宋_GB2312" w:cs="仿宋_GB2312" w:eastAsia="仿宋_GB2312"/>
              </w:rPr>
              <w:t>:00-21:00</w:t>
            </w:r>
          </w:p>
          <w:tbl>
            <w:tblPr>
              <w:tblInd w:type="dxa" w:w="105"/>
              <w:tblBorders>
                <w:top w:val="none" w:color="000000" w:sz="4"/>
                <w:left w:val="none" w:color="000000" w:sz="4"/>
                <w:bottom w:val="none" w:color="000000" w:sz="4"/>
                <w:right w:val="none" w:color="000000" w:sz="4"/>
                <w:insideH w:val="none"/>
                <w:insideV w:val="none"/>
              </w:tblBorders>
            </w:tblPr>
            <w:tblGrid>
              <w:gridCol w:w="238"/>
              <w:gridCol w:w="666"/>
              <w:gridCol w:w="244"/>
              <w:gridCol w:w="257"/>
              <w:gridCol w:w="1076"/>
            </w:tblGrid>
            <w:tr>
              <w:tc>
                <w:tcPr>
                  <w:tcW w:type="dxa" w:w="2481"/>
                  <w:gridSpan w:val="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2026中国田径街头巡回赛项目需求具体要求</w:t>
                  </w: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序号</w:t>
                  </w:r>
                </w:p>
              </w:tc>
              <w:tc>
                <w:tcPr>
                  <w:tcW w:type="dxa" w:w="6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清单</w:t>
                  </w:r>
                </w:p>
              </w:tc>
              <w:tc>
                <w:tcPr>
                  <w:tcW w:type="dxa" w:w="2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单位</w:t>
                  </w:r>
                </w:p>
              </w:tc>
              <w:tc>
                <w:tcPr>
                  <w:tcW w:type="dxa" w:w="2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数量</w:t>
                  </w:r>
                </w:p>
              </w:tc>
              <w:tc>
                <w:tcPr>
                  <w:tcW w:type="dxa" w:w="1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技术要求参数</w:t>
                  </w: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6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赛事总体</w:t>
                  </w:r>
                </w:p>
                <w:p>
                  <w:pPr>
                    <w:pStyle w:val="null3"/>
                    <w:jc w:val="center"/>
                  </w:pPr>
                  <w:r>
                    <w:rPr>
                      <w:rFonts w:ascii="仿宋_GB2312" w:hAnsi="仿宋_GB2312" w:cs="仿宋_GB2312" w:eastAsia="仿宋_GB2312"/>
                      <w:sz w:val="18"/>
                    </w:rPr>
                    <w:t>工作方案</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项</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一赛六案</w:t>
                  </w: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6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西安站赛事</w:t>
                  </w:r>
                  <w:r>
                    <w:rPr>
                      <w:rFonts w:ascii="仿宋_GB2312" w:hAnsi="仿宋_GB2312" w:cs="仿宋_GB2312" w:eastAsia="仿宋_GB2312"/>
                      <w:sz w:val="18"/>
                    </w:rPr>
                    <w:t>3D设计效果图</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项</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基于地标及赛事实际布局，制作并渲染实际效果图</w:t>
                  </w: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w:t>
                  </w:r>
                </w:p>
              </w:tc>
              <w:tc>
                <w:tcPr>
                  <w:tcW w:type="dxa" w:w="6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制定并实施赛事经济方案</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项</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结合赛事，制定并实施可行的赛事经济方案。</w:t>
                  </w: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w:t>
                  </w:r>
                </w:p>
              </w:tc>
              <w:tc>
                <w:tcPr>
                  <w:tcW w:type="dxa" w:w="6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赛事功能区划分：竞赛区、观众互动区、观众席、竞赛专业物资存放区和候场区等</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项</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竞赛区</w:t>
                  </w:r>
                  <w:r>
                    <w:rPr>
                      <w:rFonts w:ascii="仿宋_GB2312" w:hAnsi="仿宋_GB2312" w:cs="仿宋_GB2312" w:eastAsia="仿宋_GB2312"/>
                      <w:sz w:val="18"/>
                    </w:rPr>
                    <w:t>≥</w:t>
                  </w:r>
                  <w:r>
                    <w:rPr>
                      <w:rFonts w:ascii="仿宋_GB2312" w:hAnsi="仿宋_GB2312" w:cs="仿宋_GB2312" w:eastAsia="仿宋_GB2312"/>
                      <w:sz w:val="18"/>
                    </w:rPr>
                    <w:t>154</w:t>
                  </w:r>
                  <w:r>
                    <w:rPr>
                      <w:rFonts w:ascii="仿宋_GB2312" w:hAnsi="仿宋_GB2312" w:cs="仿宋_GB2312" w:eastAsia="仿宋_GB2312"/>
                      <w:sz w:val="18"/>
                    </w:rPr>
                    <w:t>x</w:t>
                  </w:r>
                  <w:r>
                    <w:rPr>
                      <w:rFonts w:ascii="仿宋_GB2312" w:hAnsi="仿宋_GB2312" w:cs="仿宋_GB2312" w:eastAsia="仿宋_GB2312"/>
                      <w:sz w:val="18"/>
                    </w:rPr>
                    <w:t>40</w:t>
                  </w:r>
                  <w:r>
                    <w:rPr>
                      <w:rFonts w:ascii="仿宋_GB2312" w:hAnsi="仿宋_GB2312" w:cs="仿宋_GB2312" w:eastAsia="仿宋_GB2312"/>
                      <w:sz w:val="18"/>
                    </w:rPr>
                    <w:t>m，内含观众互动区、观众席、候场区、体育展示区。田径科普区≥19x7m。物料堆放区≥</w:t>
                  </w:r>
                  <w:r>
                    <w:rPr>
                      <w:rFonts w:ascii="仿宋_GB2312" w:hAnsi="仿宋_GB2312" w:cs="仿宋_GB2312" w:eastAsia="仿宋_GB2312"/>
                      <w:sz w:val="18"/>
                    </w:rPr>
                    <w:t>10</w:t>
                  </w:r>
                  <w:r>
                    <w:rPr>
                      <w:rFonts w:ascii="仿宋_GB2312" w:hAnsi="仿宋_GB2312" w:cs="仿宋_GB2312" w:eastAsia="仿宋_GB2312"/>
                      <w:sz w:val="18"/>
                    </w:rPr>
                    <w:t>x</w:t>
                  </w:r>
                  <w:r>
                    <w:rPr>
                      <w:rFonts w:ascii="仿宋_GB2312" w:hAnsi="仿宋_GB2312" w:cs="仿宋_GB2312" w:eastAsia="仿宋_GB2312"/>
                      <w:sz w:val="18"/>
                    </w:rPr>
                    <w:t>10</w:t>
                  </w:r>
                  <w:r>
                    <w:rPr>
                      <w:rFonts w:ascii="仿宋_GB2312" w:hAnsi="仿宋_GB2312" w:cs="仿宋_GB2312" w:eastAsia="仿宋_GB2312"/>
                      <w:sz w:val="18"/>
                    </w:rPr>
                    <w:t>m。</w:t>
                  </w: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w:t>
                  </w:r>
                </w:p>
              </w:tc>
              <w:tc>
                <w:tcPr>
                  <w:tcW w:type="dxa" w:w="6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街头田径专用赛道地基铺设</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平米</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2000</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含多层铺设、地基加固、赛道搭建符合竞赛要求及世界田径联合会验收标准并有相关证明</w:t>
                  </w: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w:t>
                  </w:r>
                </w:p>
              </w:tc>
              <w:tc>
                <w:tcPr>
                  <w:tcW w:type="dxa" w:w="6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街头田径专用赛道搭建</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项</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赛道</w:t>
                  </w:r>
                  <w:r>
                    <w:rPr>
                      <w:rFonts w:ascii="仿宋_GB2312" w:hAnsi="仿宋_GB2312" w:cs="仿宋_GB2312" w:eastAsia="仿宋_GB2312"/>
                      <w:sz w:val="18"/>
                    </w:rPr>
                    <w:t>≥长</w:t>
                  </w:r>
                  <w:r>
                    <w:rPr>
                      <w:rFonts w:ascii="仿宋_GB2312" w:hAnsi="仿宋_GB2312" w:cs="仿宋_GB2312" w:eastAsia="仿宋_GB2312"/>
                      <w:sz w:val="18"/>
                    </w:rPr>
                    <w:t>148</w:t>
                  </w:r>
                  <w:r>
                    <w:rPr>
                      <w:rFonts w:ascii="仿宋_GB2312" w:hAnsi="仿宋_GB2312" w:cs="仿宋_GB2312" w:eastAsia="仿宋_GB2312"/>
                      <w:sz w:val="18"/>
                    </w:rPr>
                    <w:t>米</w:t>
                  </w:r>
                  <w:r>
                    <w:rPr>
                      <w:rFonts w:ascii="仿宋_GB2312" w:hAnsi="仿宋_GB2312" w:cs="仿宋_GB2312" w:eastAsia="仿宋_GB2312"/>
                      <w:sz w:val="18"/>
                    </w:rPr>
                    <w:t>*宽</w:t>
                  </w:r>
                  <w:r>
                    <w:rPr>
                      <w:rFonts w:ascii="仿宋_GB2312" w:hAnsi="仿宋_GB2312" w:cs="仿宋_GB2312" w:eastAsia="仿宋_GB2312"/>
                      <w:sz w:val="18"/>
                    </w:rPr>
                    <w:t>17</w:t>
                  </w:r>
                  <w:r>
                    <w:rPr>
                      <w:rFonts w:ascii="仿宋_GB2312" w:hAnsi="仿宋_GB2312" w:cs="仿宋_GB2312" w:eastAsia="仿宋_GB2312"/>
                      <w:sz w:val="18"/>
                    </w:rPr>
                    <w:t>米，含多层铺设、地基加固、符合竞赛要求及场地要求验收标准</w:t>
                  </w: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w:t>
                  </w:r>
                </w:p>
              </w:tc>
              <w:tc>
                <w:tcPr>
                  <w:tcW w:type="dxa" w:w="6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街头田径赛道沙坑制作及填沙</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项</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防尘、固沙、控制湿度</w:t>
                  </w: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w:t>
                  </w:r>
                </w:p>
              </w:tc>
              <w:tc>
                <w:tcPr>
                  <w:tcW w:type="dxa" w:w="6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搭建应急措施（应急灯、施工及物料堆放区域围挡）</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项</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根据场地方要求，</w:t>
                  </w:r>
                </w:p>
                <w:p>
                  <w:pPr>
                    <w:pStyle w:val="null3"/>
                    <w:jc w:val="center"/>
                  </w:pPr>
                  <w:r>
                    <w:rPr>
                      <w:rFonts w:ascii="仿宋_GB2312" w:hAnsi="仿宋_GB2312" w:cs="仿宋_GB2312" w:eastAsia="仿宋_GB2312"/>
                      <w:sz w:val="18"/>
                    </w:rPr>
                    <w:t>合理合规完成搭建</w:t>
                  </w: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9</w:t>
                  </w:r>
                </w:p>
              </w:tc>
              <w:tc>
                <w:tcPr>
                  <w:tcW w:type="dxa" w:w="6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挂幅</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7m*2m钢结构</w:t>
                  </w: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w:t>
                  </w:r>
                </w:p>
              </w:tc>
              <w:tc>
                <w:tcPr>
                  <w:tcW w:type="dxa" w:w="6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防撞海绵垫及海绵套</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项</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w:t>
                  </w:r>
                  <w:r>
                    <w:rPr>
                      <w:rFonts w:ascii="仿宋_GB2312" w:hAnsi="仿宋_GB2312" w:cs="仿宋_GB2312" w:eastAsia="仿宋_GB2312"/>
                      <w:sz w:val="18"/>
                    </w:rPr>
                    <w:t>x3m百米及跨栏防撞海绵垫及</w:t>
                  </w:r>
                </w:p>
                <w:p>
                  <w:pPr>
                    <w:pStyle w:val="null3"/>
                    <w:jc w:val="center"/>
                  </w:pPr>
                  <w:r>
                    <w:rPr>
                      <w:rFonts w:ascii="仿宋_GB2312" w:hAnsi="仿宋_GB2312" w:cs="仿宋_GB2312" w:eastAsia="仿宋_GB2312"/>
                      <w:sz w:val="18"/>
                    </w:rPr>
                    <w:t>背后承重结构</w:t>
                  </w: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11</w:t>
                  </w:r>
                </w:p>
              </w:tc>
              <w:tc>
                <w:tcPr>
                  <w:tcW w:type="dxa" w:w="6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赛道侧小</w:t>
                  </w:r>
                  <w:r>
                    <w:rPr>
                      <w:rFonts w:ascii="仿宋_GB2312" w:hAnsi="仿宋_GB2312" w:cs="仿宋_GB2312" w:eastAsia="仿宋_GB2312"/>
                      <w:sz w:val="18"/>
                    </w:rPr>
                    <w:t>A板</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r>
                    <w:rPr>
                      <w:rFonts w:ascii="仿宋_GB2312" w:hAnsi="仿宋_GB2312" w:cs="仿宋_GB2312" w:eastAsia="仿宋_GB2312"/>
                      <w:sz w:val="18"/>
                    </w:rPr>
                    <w:t>9</w:t>
                  </w:r>
                  <w:r>
                    <w:rPr>
                      <w:rFonts w:ascii="仿宋_GB2312" w:hAnsi="仿宋_GB2312" w:cs="仿宋_GB2312" w:eastAsia="仿宋_GB2312"/>
                      <w:sz w:val="18"/>
                    </w:rPr>
                    <w:t>0</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r>
                    <w:rPr>
                      <w:rFonts w:ascii="仿宋_GB2312" w:hAnsi="仿宋_GB2312" w:cs="仿宋_GB2312" w:eastAsia="仿宋_GB2312"/>
                      <w:sz w:val="18"/>
                    </w:rPr>
                    <w:t>4</w:t>
                  </w:r>
                  <w:r>
                    <w:rPr>
                      <w:rFonts w:ascii="仿宋_GB2312" w:hAnsi="仿宋_GB2312" w:cs="仿宋_GB2312" w:eastAsia="仿宋_GB2312"/>
                      <w:sz w:val="18"/>
                    </w:rPr>
                    <w:t>m*0.</w:t>
                  </w:r>
                  <w:r>
                    <w:rPr>
                      <w:rFonts w:ascii="仿宋_GB2312" w:hAnsi="仿宋_GB2312" w:cs="仿宋_GB2312" w:eastAsia="仿宋_GB2312"/>
                      <w:sz w:val="18"/>
                    </w:rPr>
                    <w:t>2</w:t>
                  </w:r>
                  <w:r>
                    <w:rPr>
                      <w:rFonts w:ascii="仿宋_GB2312" w:hAnsi="仿宋_GB2312" w:cs="仿宋_GB2312" w:eastAsia="仿宋_GB2312"/>
                      <w:sz w:val="18"/>
                    </w:rPr>
                    <w:t>m钢结构</w:t>
                  </w: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12</w:t>
                  </w:r>
                </w:p>
              </w:tc>
              <w:tc>
                <w:tcPr>
                  <w:tcW w:type="dxa" w:w="6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赛道侧</w:t>
                  </w:r>
                  <w:r>
                    <w:rPr>
                      <w:rFonts w:ascii="仿宋_GB2312" w:hAnsi="仿宋_GB2312" w:cs="仿宋_GB2312" w:eastAsia="仿宋_GB2312"/>
                      <w:sz w:val="18"/>
                    </w:rPr>
                    <w:t>A板</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190</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2.2m*0.45m钢结构</w:t>
                  </w: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13</w:t>
                  </w:r>
                </w:p>
              </w:tc>
              <w:tc>
                <w:tcPr>
                  <w:tcW w:type="dxa" w:w="6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铁马结构及画面</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≥150</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≥150个，供应商根据实际情况提供充足数量的铁马并完成画面制作，摆放至需求位置</w:t>
                  </w: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14</w:t>
                  </w:r>
                </w:p>
              </w:tc>
              <w:tc>
                <w:tcPr>
                  <w:tcW w:type="dxa" w:w="6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西安站赛事灯光、光影效果规划</w:t>
                  </w:r>
                </w:p>
                <w:p>
                  <w:pPr>
                    <w:pStyle w:val="null3"/>
                    <w:jc w:val="center"/>
                  </w:pPr>
                  <w:r>
                    <w:rPr>
                      <w:rFonts w:ascii="仿宋_GB2312" w:hAnsi="仿宋_GB2312" w:cs="仿宋_GB2312" w:eastAsia="仿宋_GB2312"/>
                      <w:sz w:val="18"/>
                    </w:rPr>
                    <w:t>设计</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项</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开幕式特色节目演出灯光及</w:t>
                  </w:r>
                </w:p>
                <w:p>
                  <w:pPr>
                    <w:pStyle w:val="null3"/>
                    <w:jc w:val="center"/>
                  </w:pPr>
                  <w:r>
                    <w:rPr>
                      <w:rFonts w:ascii="仿宋_GB2312" w:hAnsi="仿宋_GB2312" w:cs="仿宋_GB2312" w:eastAsia="仿宋_GB2312"/>
                      <w:sz w:val="18"/>
                    </w:rPr>
                    <w:t>赛场灯光秀</w:t>
                  </w: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15</w:t>
                  </w:r>
                </w:p>
              </w:tc>
              <w:tc>
                <w:tcPr>
                  <w:tcW w:type="dxa" w:w="6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竞赛场地灯光</w:t>
                  </w:r>
                </w:p>
                <w:p>
                  <w:pPr>
                    <w:pStyle w:val="null3"/>
                    <w:jc w:val="center"/>
                  </w:pPr>
                  <w:r>
                    <w:rPr>
                      <w:rFonts w:ascii="仿宋_GB2312" w:hAnsi="仿宋_GB2312" w:cs="仿宋_GB2312" w:eastAsia="仿宋_GB2312"/>
                      <w:sz w:val="18"/>
                    </w:rPr>
                    <w:t>结构搭建</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项</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在</w:t>
                  </w:r>
                  <w:r>
                    <w:rPr>
                      <w:rFonts w:ascii="仿宋_GB2312" w:hAnsi="仿宋_GB2312" w:cs="仿宋_GB2312" w:eastAsia="仿宋_GB2312"/>
                      <w:sz w:val="18"/>
                    </w:rPr>
                    <w:t>154</w:t>
                  </w:r>
                  <w:r>
                    <w:rPr>
                      <w:rFonts w:ascii="仿宋_GB2312" w:hAnsi="仿宋_GB2312" w:cs="仿宋_GB2312" w:eastAsia="仿宋_GB2312"/>
                      <w:sz w:val="18"/>
                    </w:rPr>
                    <w:t>米长，</w:t>
                  </w:r>
                  <w:r>
                    <w:rPr>
                      <w:rFonts w:ascii="仿宋_GB2312" w:hAnsi="仿宋_GB2312" w:cs="仿宋_GB2312" w:eastAsia="仿宋_GB2312"/>
                      <w:sz w:val="18"/>
                    </w:rPr>
                    <w:t>40</w:t>
                  </w:r>
                  <w:r>
                    <w:rPr>
                      <w:rFonts w:ascii="仿宋_GB2312" w:hAnsi="仿宋_GB2312" w:cs="仿宋_GB2312" w:eastAsia="仿宋_GB2312"/>
                      <w:sz w:val="18"/>
                    </w:rPr>
                    <w:t>米宽场地内，</w:t>
                  </w:r>
                </w:p>
                <w:p>
                  <w:pPr>
                    <w:pStyle w:val="null3"/>
                    <w:jc w:val="center"/>
                  </w:pPr>
                  <w:r>
                    <w:rPr>
                      <w:rFonts w:ascii="仿宋_GB2312" w:hAnsi="仿宋_GB2312" w:cs="仿宋_GB2312" w:eastAsia="仿宋_GB2312"/>
                      <w:sz w:val="18"/>
                    </w:rPr>
                    <w:t>10米高灯光结构布局多种灯型，且同时符合田径国家级赛事竞赛照明标准及央视网络平台直播标准</w:t>
                  </w: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16</w:t>
                  </w:r>
                </w:p>
              </w:tc>
              <w:tc>
                <w:tcPr>
                  <w:tcW w:type="dxa" w:w="6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LED四面屏及圈屏吊装结构及设备</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LED四面屏支撑结构每面5.5m*3.5mh,LED圈屏支撑结构直径5m支撑钢结构骨架</w:t>
                  </w: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17</w:t>
                  </w:r>
                </w:p>
              </w:tc>
              <w:tc>
                <w:tcPr>
                  <w:tcW w:type="dxa" w:w="6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LED屏幕：四面屏</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平米</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120</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防雨室外高刷新</w:t>
                  </w: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18</w:t>
                  </w:r>
                </w:p>
              </w:tc>
              <w:tc>
                <w:tcPr>
                  <w:tcW w:type="dxa" w:w="6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LED屏幕：圈屏</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项</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防雨室外高刷新异形屏</w:t>
                  </w: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19</w:t>
                  </w:r>
                </w:p>
              </w:tc>
              <w:tc>
                <w:tcPr>
                  <w:tcW w:type="dxa" w:w="6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圈屏配套设备</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光纤、控台、电脑、切换器</w:t>
                  </w: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w:t>
                  </w:r>
                </w:p>
              </w:tc>
              <w:tc>
                <w:tcPr>
                  <w:tcW w:type="dxa" w:w="6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圈屏下圆形画面</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项</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赛事</w:t>
                  </w:r>
                  <w:r>
                    <w:rPr>
                      <w:rFonts w:ascii="仿宋_GB2312" w:hAnsi="仿宋_GB2312" w:cs="仿宋_GB2312" w:eastAsia="仿宋_GB2312"/>
                      <w:sz w:val="18"/>
                    </w:rPr>
                    <w:t>LOGO+封底</w:t>
                  </w: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21</w:t>
                  </w:r>
                </w:p>
              </w:tc>
              <w:tc>
                <w:tcPr>
                  <w:tcW w:type="dxa" w:w="6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起跑背板</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项</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≥宽6m高4m厚1m</w:t>
                  </w: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22</w:t>
                  </w:r>
                </w:p>
              </w:tc>
              <w:tc>
                <w:tcPr>
                  <w:tcW w:type="dxa" w:w="6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DJ台</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项</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≥宽3.4m*长2.5m*高1m 木质结构活动台</w:t>
                  </w: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23</w:t>
                  </w:r>
                </w:p>
              </w:tc>
              <w:tc>
                <w:tcPr>
                  <w:tcW w:type="dxa" w:w="6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光束灯</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r>
                    <w:rPr>
                      <w:rFonts w:ascii="仿宋_GB2312" w:hAnsi="仿宋_GB2312" w:cs="仿宋_GB2312" w:eastAsia="仿宋_GB2312"/>
                      <w:sz w:val="18"/>
                    </w:rPr>
                    <w:t>70</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≥1000w切割灯、160w户外防水LED洗光灯</w:t>
                  </w: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24</w:t>
                  </w:r>
                </w:p>
              </w:tc>
              <w:tc>
                <w:tcPr>
                  <w:tcW w:type="dxa" w:w="6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面光灯</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700</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≥160w户外防水四眼观众灯</w:t>
                  </w: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25</w:t>
                  </w:r>
                </w:p>
              </w:tc>
              <w:tc>
                <w:tcPr>
                  <w:tcW w:type="dxa" w:w="6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染色灯</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600</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≥160w户外防水LED洗光灯</w:t>
                  </w: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26</w:t>
                  </w:r>
                </w:p>
              </w:tc>
              <w:tc>
                <w:tcPr>
                  <w:tcW w:type="dxa" w:w="6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音响</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户外大型线阵列音响包括低音、全频、超低音箱</w:t>
                  </w: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27</w:t>
                  </w:r>
                </w:p>
              </w:tc>
              <w:tc>
                <w:tcPr>
                  <w:tcW w:type="dxa" w:w="6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调音台</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数字</w:t>
                  </w:r>
                  <w:r>
                    <w:rPr>
                      <w:rFonts w:ascii="仿宋_GB2312" w:hAnsi="仿宋_GB2312" w:cs="仿宋_GB2312" w:eastAsia="仿宋_GB2312"/>
                      <w:sz w:val="18"/>
                    </w:rPr>
                    <w:t>32路调音台</w:t>
                  </w: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28</w:t>
                  </w:r>
                </w:p>
              </w:tc>
              <w:tc>
                <w:tcPr>
                  <w:tcW w:type="dxa" w:w="6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观众面包凳</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200</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矩形立方体外观，规格尺寸：长</w:t>
                  </w:r>
                  <w:r>
                    <w:rPr>
                      <w:rFonts w:ascii="仿宋_GB2312" w:hAnsi="仿宋_GB2312" w:cs="仿宋_GB2312" w:eastAsia="仿宋_GB2312"/>
                      <w:sz w:val="18"/>
                    </w:rPr>
                    <w:t>1200mm*宽400mm*高400mm</w:t>
                  </w: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29</w:t>
                  </w:r>
                </w:p>
              </w:tc>
              <w:tc>
                <w:tcPr>
                  <w:tcW w:type="dxa" w:w="6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观众沙发凳</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40</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单人沙发形制，规格尺寸：长</w:t>
                  </w:r>
                  <w:r>
                    <w:rPr>
                      <w:rFonts w:ascii="仿宋_GB2312" w:hAnsi="仿宋_GB2312" w:cs="仿宋_GB2312" w:eastAsia="仿宋_GB2312"/>
                      <w:sz w:val="18"/>
                    </w:rPr>
                    <w:t>1000mm*宽800mm*高800mm</w:t>
                  </w: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30</w:t>
                  </w:r>
                </w:p>
              </w:tc>
              <w:tc>
                <w:tcPr>
                  <w:tcW w:type="dxa" w:w="6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赛事相关物料设计及制作</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项</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按照赛事组委会需求设计并制作人员证件、《秩序册》和《成绩册》</w:t>
                  </w: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31</w:t>
                  </w:r>
                </w:p>
              </w:tc>
              <w:tc>
                <w:tcPr>
                  <w:tcW w:type="dxa" w:w="6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DJ体展团队人员</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人</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有相关赛事经验；负责人员劳务费及差旅费</w:t>
                  </w: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32</w:t>
                  </w:r>
                </w:p>
              </w:tc>
              <w:tc>
                <w:tcPr>
                  <w:tcW w:type="dxa" w:w="6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屏控师</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人</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有相关赛事经验；负责人员劳务费及差旅费</w:t>
                  </w: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33</w:t>
                  </w:r>
                </w:p>
              </w:tc>
              <w:tc>
                <w:tcPr>
                  <w:tcW w:type="dxa" w:w="6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音响师</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人</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有相关赛事经验；负责人员劳务费及差旅费</w:t>
                  </w: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34</w:t>
                  </w:r>
                </w:p>
              </w:tc>
              <w:tc>
                <w:tcPr>
                  <w:tcW w:type="dxa" w:w="6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灯光控制台及灯光师团队</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项</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根据需求配备相应有相关赛事经验人员；负责人员劳务费及差旅费</w:t>
                  </w: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35</w:t>
                  </w:r>
                </w:p>
              </w:tc>
              <w:tc>
                <w:tcPr>
                  <w:tcW w:type="dxa" w:w="6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现场主持人</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有相关赛事经验；负责人员劳务费及差旅费</w:t>
                  </w: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36</w:t>
                  </w:r>
                </w:p>
              </w:tc>
              <w:tc>
                <w:tcPr>
                  <w:tcW w:type="dxa" w:w="6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礼仪</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人</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正式比赛日，服务时长</w:t>
                  </w:r>
                  <w:r>
                    <w:rPr>
                      <w:rFonts w:ascii="仿宋_GB2312" w:hAnsi="仿宋_GB2312" w:cs="仿宋_GB2312" w:eastAsia="仿宋_GB2312"/>
                      <w:sz w:val="18"/>
                    </w:rPr>
                    <w:t>8小时</w:t>
                  </w: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37</w:t>
                  </w:r>
                </w:p>
              </w:tc>
              <w:tc>
                <w:tcPr>
                  <w:tcW w:type="dxa" w:w="6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专业田径赛事信号制作</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次</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为央视网络平台、咪咕、腾讯、微博新浪体育等多家平台直接提供直播信号。现场专业机位不少于</w:t>
                  </w:r>
                  <w:r>
                    <w:rPr>
                      <w:rFonts w:ascii="仿宋_GB2312" w:hAnsi="仿宋_GB2312" w:cs="仿宋_GB2312" w:eastAsia="仿宋_GB2312"/>
                      <w:sz w:val="18"/>
                    </w:rPr>
                    <w:t>30个</w:t>
                  </w:r>
                </w:p>
              </w:tc>
            </w:tr>
          </w:tbl>
          <w:p>
            <w:pPr>
              <w:pStyle w:val="null3"/>
              <w:jc w:val="both"/>
            </w:pPr>
            <w:r>
              <w:rPr>
                <w:rFonts w:ascii="仿宋_GB2312" w:hAnsi="仿宋_GB2312" w:cs="仿宋_GB2312" w:eastAsia="仿宋_GB2312"/>
              </w:rPr>
              <w:t>五、其他要求</w:t>
            </w:r>
          </w:p>
          <w:p>
            <w:pPr>
              <w:pStyle w:val="null3"/>
              <w:jc w:val="both"/>
            </w:pPr>
            <w:r>
              <w:rPr>
                <w:rFonts w:ascii="仿宋_GB2312" w:hAnsi="仿宋_GB2312" w:cs="仿宋_GB2312" w:eastAsia="仿宋_GB2312"/>
              </w:rPr>
              <w:t>1.投标人应负责按照比赛要求，完成各单项比赛运动员的邀请，具体标准为：按照中国田协积分排名达到国内排名前十的运动员。</w:t>
            </w:r>
          </w:p>
          <w:p>
            <w:pPr>
              <w:pStyle w:val="null3"/>
              <w:jc w:val="both"/>
            </w:pPr>
            <w:r>
              <w:rPr>
                <w:rFonts w:ascii="仿宋_GB2312" w:hAnsi="仿宋_GB2312" w:cs="仿宋_GB2312" w:eastAsia="仿宋_GB2312"/>
              </w:rPr>
              <w:t>2.赛事现场赛道搭建需使用经世界田联认证过的赛道面层，搭建完成后需通过世界田联场地赛道认证。</w:t>
            </w:r>
          </w:p>
          <w:p>
            <w:pPr>
              <w:pStyle w:val="null3"/>
              <w:jc w:val="both"/>
            </w:pPr>
            <w:r>
              <w:rPr>
                <w:rFonts w:ascii="仿宋_GB2312" w:hAnsi="仿宋_GB2312" w:cs="仿宋_GB2312" w:eastAsia="仿宋_GB2312"/>
              </w:rPr>
              <w:t>3.符合中国田径协会竞赛场地标准的平整度、承重、均匀受力等要求，且稳固预埋跳远起跳踏板与撑竿跳高插斗。</w:t>
            </w:r>
          </w:p>
          <w:p>
            <w:pPr>
              <w:pStyle w:val="null3"/>
              <w:jc w:val="both"/>
            </w:pPr>
            <w:r>
              <w:rPr>
                <w:rFonts w:ascii="仿宋_GB2312" w:hAnsi="仿宋_GB2312" w:cs="仿宋_GB2312" w:eastAsia="仿宋_GB2312"/>
              </w:rPr>
              <w:t>4.符合央视全网络平台赛事直播标准的灯光布设，并配备国内专业田径项目导播的信号制作团队。</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根据采购需求配置</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根据采购需求配置</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合同签订之日起至赛事活动结束</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西安市田径运动管理中心指定地点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按招标文件、投标文件及合同约定执行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预付款，合同签订后，达到付款条件起30个工作日内，支付合同总金额的60.0%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进度款，赛事活动完成后，达到付款条件起30个工作日内，支付合同总金额的40.0%</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双方本着友好合作的态度,对合同履行过程中发生的纠纷应及时协商解决,协商不成，向采购人所在地人民法院诉讼解决</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①具有独立承担民事责任能力的法人、其他组织或自然人，提供合法有效的统一社会信用代码营业执照（事业单位法人证书/专业服务机构执业许可证/民办非企业单位登记证书，自然人提供身份证）；②税收缴纳证明：提供2025年4月（含4月）以来任意时间段的依法缴纳税收的相关凭据，凭据应有税务机关或代收机关的公章或业务专用章；依法免税的提供证明；零报税的提供申报成功的证明；公司成立不足一个月的提供将依法纳税的承诺书（格式自拟）。上述凭据或证明的时间以税款所属时期为准； ③社会保障资金缴纳证明：提供2025年4月（含4月）以来至少一个月已缴纳的社会保障资金的证明（社会保障资金缴存单据或社保机构开具的社会保险参保缴费情况证明等）；依法不需要缴纳社会保障资金的投标人应提供相关文件证明； ④提供具有履行本合同所必需的设备和专业技术能力的声明； ⑤参加本次政府采购活动前3年内在经营活动中没有重大违纪，以及未被列入失信被执行人、重大税收违法案件当事人名单、政府采购严重违法失信行为记录名单的书面声明。 投标人需在项目电子化交易系统中按要求填写《投标函》完成承诺并进行电子签章。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法人提供会计师事务所出具有效的2024或2025年度审计报告（审计报告须具有注册会计师行业统一监管平台https://acc.mof.gov.cn赋予的验证码）（成立时间至提交投标文件截止时间不足一年的可提供成立后任意时段的资产负债表），或提交自2025年10月1日以来银行出具的资信证明（以上两种形式的资料提供任何一种即可）；其他组织和自然人提供银行出具的资信证明或财务报表。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投标人需在项目电子化交易系统中按要求填写《投标函》完成承诺并进行电子签章、提供直接控股和直接管理关系清单。若与其他投标人存在单位负责人为同一人或者存在直接控股、管理关系的，则投标无效。</w:t>
            </w:r>
          </w:p>
        </w:tc>
        <w:tc>
          <w:tcPr>
            <w:tcW w:type="dxa" w:w="1661"/>
          </w:tcPr>
          <w:p>
            <w:pPr>
              <w:pStyle w:val="null3"/>
            </w:pPr>
            <w:r>
              <w:rPr>
                <w:rFonts w:ascii="仿宋_GB2312" w:hAnsi="仿宋_GB2312" w:cs="仿宋_GB2312" w:eastAsia="仿宋_GB2312"/>
              </w:rPr>
              <w:t>投标函 资格证明文件.docx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法定代表人参加投标的，须提供法定代表人身份证；法定代表人授权本单位他人参加投标的，须提供法定代表人授权委托书。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本项目不接受联合体投标，不允许分包</w:t>
            </w:r>
          </w:p>
        </w:tc>
        <w:tc>
          <w:tcPr>
            <w:tcW w:type="dxa" w:w="3322"/>
          </w:tcPr>
          <w:p>
            <w:pPr>
              <w:pStyle w:val="null3"/>
            </w:pPr>
            <w:r>
              <w:rPr>
                <w:rFonts w:ascii="仿宋_GB2312" w:hAnsi="仿宋_GB2312" w:cs="仿宋_GB2312" w:eastAsia="仿宋_GB2312"/>
              </w:rPr>
              <w:t>本项目不接受联合体投标，不允许分包。投标人应提供《非联合体不分包投标声明》。</w:t>
            </w:r>
          </w:p>
        </w:tc>
        <w:tc>
          <w:tcPr>
            <w:tcW w:type="dxa" w:w="1661"/>
          </w:tcPr>
          <w:p>
            <w:pPr>
              <w:pStyle w:val="null3"/>
            </w:pPr>
            <w:r>
              <w:rPr>
                <w:rFonts w:ascii="仿宋_GB2312" w:hAnsi="仿宋_GB2312" w:cs="仿宋_GB2312" w:eastAsia="仿宋_GB2312"/>
              </w:rPr>
              <w:t>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项目为专门面向中小企业采购，供应商应为中型企业或小型、微型企业或监狱企业或残疾人福利性单位。供应商为中型、小型、微型企业的，提供《中小企业声明函》；供应商为监狱企业的，应提供监狱企业的证明文件；供应商为残疾人福利性单位的，应提供《残疾人福利性单位声明函》</w:t>
            </w:r>
          </w:p>
        </w:tc>
        <w:tc>
          <w:tcPr>
            <w:tcW w:type="dxa" w:w="1661"/>
          </w:tcPr>
          <w:p>
            <w:pPr>
              <w:pStyle w:val="null3"/>
            </w:pPr>
            <w:r>
              <w:rPr>
                <w:rFonts w:ascii="仿宋_GB2312" w:hAnsi="仿宋_GB2312" w:cs="仿宋_GB2312" w:eastAsia="仿宋_GB2312"/>
              </w:rPr>
              <w:t>中小企业声明函 残疾人福利性单位声明函 资格证明文件.docx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其他情形</w:t>
            </w:r>
          </w:p>
        </w:tc>
        <w:tc>
          <w:tcPr>
            <w:tcW w:type="dxa" w:w="3322"/>
          </w:tcPr>
          <w:p>
            <w:pPr>
              <w:pStyle w:val="null3"/>
            </w:pPr>
            <w:r>
              <w:rPr>
                <w:rFonts w:ascii="仿宋_GB2312" w:hAnsi="仿宋_GB2312" w:cs="仿宋_GB2312" w:eastAsia="仿宋_GB2312"/>
              </w:rPr>
              <w:t>有下列情形之一的，应在符合性审查时按照无效投标处理：(1)投标文件未按照招标文件规定要求签署、盖章的；(2)不满足本招标文件中“服务期限、服务地点、采购资金的支付方式及约定的实质性条款要求的；(3)投标有效期不足的或无有效期的；(4)报价超过招标文件中规定的采购预算或最高限价；(5)法律法规和招标文件规定的其他无效情形。</w:t>
            </w:r>
          </w:p>
        </w:tc>
        <w:tc>
          <w:tcPr>
            <w:tcW w:type="dxa" w:w="1661"/>
          </w:tcPr>
          <w:p>
            <w:pPr>
              <w:pStyle w:val="null3"/>
            </w:pPr>
            <w:r>
              <w:rPr>
                <w:rFonts w:ascii="仿宋_GB2312" w:hAnsi="仿宋_GB2312" w:cs="仿宋_GB2312" w:eastAsia="仿宋_GB2312"/>
              </w:rPr>
              <w:t>13其他资料.docx 开标一览表 服务内容及服务邀请应答表 投标函 标的清单 投标文件封面 商务部分偏离表.docx 资格证明文件.docx 分项价格表.docx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策划及实施方案</w:t>
            </w:r>
          </w:p>
        </w:tc>
        <w:tc>
          <w:tcPr>
            <w:tcW w:type="dxa" w:w="2492"/>
          </w:tcPr>
          <w:p>
            <w:pPr>
              <w:pStyle w:val="null3"/>
            </w:pPr>
            <w:r>
              <w:rPr>
                <w:rFonts w:ascii="仿宋_GB2312" w:hAnsi="仿宋_GB2312" w:cs="仿宋_GB2312" w:eastAsia="仿宋_GB2312"/>
              </w:rPr>
              <w:t>供应商针对本项目提供赛事策划及实施方案。方案能够充分理解采购需求并体现赛事主题，保证整个活动的流畅和顺利实施，内容至少包含：①策划组织②项目进度安排③实施重点难点分析④赛事报备⑤赛事直播等。 满足项目实施要求，无瑕疵计10分； 内容每存在一处瑕疵，扣1分； 内容存在10处及以上瑕疵或未提供计0分。 备注：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本表所有对于瑕疵定义的内容“同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1策划及实施方案.docx</w:t>
            </w:r>
          </w:p>
        </w:tc>
      </w:tr>
      <w:tr>
        <w:tc>
          <w:tcPr>
            <w:tcW w:type="dxa" w:w="831"/>
            <w:vMerge/>
          </w:tcPr>
          <w:p/>
        </w:tc>
        <w:tc>
          <w:tcPr>
            <w:tcW w:type="dxa" w:w="1661"/>
          </w:tcPr>
          <w:p>
            <w:pPr>
              <w:pStyle w:val="null3"/>
            </w:pPr>
            <w:r>
              <w:rPr>
                <w:rFonts w:ascii="仿宋_GB2312" w:hAnsi="仿宋_GB2312" w:cs="仿宋_GB2312" w:eastAsia="仿宋_GB2312"/>
              </w:rPr>
              <w:t>人员配置</w:t>
            </w:r>
          </w:p>
        </w:tc>
        <w:tc>
          <w:tcPr>
            <w:tcW w:type="dxa" w:w="2492"/>
          </w:tcPr>
          <w:p>
            <w:pPr>
              <w:pStyle w:val="null3"/>
            </w:pPr>
            <w:r>
              <w:rPr>
                <w:rFonts w:ascii="仿宋_GB2312" w:hAnsi="仿宋_GB2312" w:cs="仿宋_GB2312" w:eastAsia="仿宋_GB2312"/>
              </w:rPr>
              <w:t>供应商针对本项目要求提供详细的各岗位人员配置方案及补充方案，并提供相关证明材料（包括但不限于人员履历、相关资质、项目经验，其中信号制作团队须为国内专业田径项目导播团队），要求配备人员数量充足、岗位明确、能力匹配、管理构架明确，证明材料齐全。 满足项目实施要求，无瑕疵计12分； 内容每存在一处瑕疵，扣1分； 内容存在12处及以上瑕疵或未提供计0分。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2人员配置.docx</w:t>
            </w:r>
          </w:p>
        </w:tc>
      </w:tr>
      <w:tr>
        <w:tc>
          <w:tcPr>
            <w:tcW w:type="dxa" w:w="831"/>
            <w:vMerge/>
          </w:tcPr>
          <w:p/>
        </w:tc>
        <w:tc>
          <w:tcPr>
            <w:tcW w:type="dxa" w:w="1661"/>
          </w:tcPr>
          <w:p>
            <w:pPr>
              <w:pStyle w:val="null3"/>
            </w:pPr>
            <w:r>
              <w:rPr>
                <w:rFonts w:ascii="仿宋_GB2312" w:hAnsi="仿宋_GB2312" w:cs="仿宋_GB2312" w:eastAsia="仿宋_GB2312"/>
              </w:rPr>
              <w:t>物料及设备清单</w:t>
            </w:r>
          </w:p>
        </w:tc>
        <w:tc>
          <w:tcPr>
            <w:tcW w:type="dxa" w:w="2492"/>
          </w:tcPr>
          <w:p>
            <w:pPr>
              <w:pStyle w:val="null3"/>
            </w:pPr>
            <w:r>
              <w:rPr>
                <w:rFonts w:ascii="仿宋_GB2312" w:hAnsi="仿宋_GB2312" w:cs="仿宋_GB2312" w:eastAsia="仿宋_GB2312"/>
              </w:rPr>
              <w:t>供应商针对本项目需求提供所需物料及设施设备清单、专业灯光布设（包括但不限于设施设备及物料清单明细、规格型号、数量、品牌（若有）等）。 满足项目实施要求，无瑕疵计10分； 内容每存在一处瑕疵，扣1分； 内容存在10处及以上瑕疵或未提供计0分。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3物料及设备清单.docx</w:t>
            </w:r>
          </w:p>
        </w:tc>
      </w:tr>
      <w:tr>
        <w:tc>
          <w:tcPr>
            <w:tcW w:type="dxa" w:w="831"/>
            <w:vMerge/>
          </w:tcPr>
          <w:p/>
        </w:tc>
        <w:tc>
          <w:tcPr>
            <w:tcW w:type="dxa" w:w="1661"/>
          </w:tcPr>
          <w:p>
            <w:pPr>
              <w:pStyle w:val="null3"/>
            </w:pPr>
            <w:r>
              <w:rPr>
                <w:rFonts w:ascii="仿宋_GB2312" w:hAnsi="仿宋_GB2312" w:cs="仿宋_GB2312" w:eastAsia="仿宋_GB2312"/>
              </w:rPr>
              <w:t>宣传方案</w:t>
            </w:r>
          </w:p>
        </w:tc>
        <w:tc>
          <w:tcPr>
            <w:tcW w:type="dxa" w:w="2492"/>
          </w:tcPr>
          <w:p>
            <w:pPr>
              <w:pStyle w:val="null3"/>
            </w:pPr>
            <w:r>
              <w:rPr>
                <w:rFonts w:ascii="仿宋_GB2312" w:hAnsi="仿宋_GB2312" w:cs="仿宋_GB2312" w:eastAsia="仿宋_GB2312"/>
              </w:rPr>
              <w:t>供应商提供针对本项目的赛前、赛中、赛后宣传方案；拟邀请的相关宣传媒体、摄影机构的详细清单及以往合作证明材料。并体现针对各环节中的宣传报道计划及宣传思路。 满足项目实施要求，无瑕疵计10分； 内容每存在一处瑕疵，扣1分； 内容存在10处及以上瑕疵或未提供计0分。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4宣传方案.docx</w:t>
            </w:r>
          </w:p>
        </w:tc>
      </w:tr>
      <w:tr>
        <w:tc>
          <w:tcPr>
            <w:tcW w:type="dxa" w:w="831"/>
            <w:vMerge/>
          </w:tcPr>
          <w:p/>
        </w:tc>
        <w:tc>
          <w:tcPr>
            <w:tcW w:type="dxa" w:w="1661"/>
          </w:tcPr>
          <w:p>
            <w:pPr>
              <w:pStyle w:val="null3"/>
            </w:pPr>
            <w:r>
              <w:rPr>
                <w:rFonts w:ascii="仿宋_GB2312" w:hAnsi="仿宋_GB2312" w:cs="仿宋_GB2312" w:eastAsia="仿宋_GB2312"/>
              </w:rPr>
              <w:t>场地</w:t>
            </w:r>
          </w:p>
        </w:tc>
        <w:tc>
          <w:tcPr>
            <w:tcW w:type="dxa" w:w="2492"/>
          </w:tcPr>
          <w:p>
            <w:pPr>
              <w:pStyle w:val="null3"/>
            </w:pPr>
            <w:r>
              <w:rPr>
                <w:rFonts w:ascii="仿宋_GB2312" w:hAnsi="仿宋_GB2312" w:cs="仿宋_GB2312" w:eastAsia="仿宋_GB2312"/>
              </w:rPr>
              <w:t>针对本项目提供关于场地租赁、设计、专业跑道铺设、规划分区、搭建及布置方案、如竞赛核心区、观众席、观众互动区、田径科普区、竞赛专业物资存放区和候场区等功能场地，要求标识清晰，区域划分符合动线要求。 满足项目实施要求，无瑕疵计10分； 内容每存在一处瑕疵，扣1分； 内容存在10处及以上瑕疵或未提供计0分。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5场地.docx</w:t>
            </w:r>
          </w:p>
        </w:tc>
      </w:tr>
      <w:tr>
        <w:tc>
          <w:tcPr>
            <w:tcW w:type="dxa" w:w="831"/>
            <w:vMerge/>
          </w:tcPr>
          <w:p/>
        </w:tc>
        <w:tc>
          <w:tcPr>
            <w:tcW w:type="dxa" w:w="1661"/>
          </w:tcPr>
          <w:p>
            <w:pPr>
              <w:pStyle w:val="null3"/>
            </w:pPr>
            <w:r>
              <w:rPr>
                <w:rFonts w:ascii="仿宋_GB2312" w:hAnsi="仿宋_GB2312" w:cs="仿宋_GB2312" w:eastAsia="仿宋_GB2312"/>
              </w:rPr>
              <w:t>后勤保障</w:t>
            </w:r>
          </w:p>
        </w:tc>
        <w:tc>
          <w:tcPr>
            <w:tcW w:type="dxa" w:w="2492"/>
          </w:tcPr>
          <w:p>
            <w:pPr>
              <w:pStyle w:val="null3"/>
            </w:pPr>
            <w:r>
              <w:rPr>
                <w:rFonts w:ascii="仿宋_GB2312" w:hAnsi="仿宋_GB2312" w:cs="仿宋_GB2312" w:eastAsia="仿宋_GB2312"/>
              </w:rPr>
              <w:t>针对本项目制定后勤保障方案，包括但不限于开幕式组织和颁奖仪式，比赛所需车辆，倒计时实施进度计划、用餐、住宿等。 满足项目实施要求，无瑕疵计6分； 内容每存在一处瑕疵，扣1分； 内容存在6处及以上瑕疵或未提供计0分。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6后勤保障.docx</w:t>
            </w:r>
          </w:p>
        </w:tc>
      </w:tr>
      <w:tr>
        <w:tc>
          <w:tcPr>
            <w:tcW w:type="dxa" w:w="831"/>
            <w:vMerge/>
          </w:tcPr>
          <w:p/>
        </w:tc>
        <w:tc>
          <w:tcPr>
            <w:tcW w:type="dxa" w:w="1661"/>
          </w:tcPr>
          <w:p>
            <w:pPr>
              <w:pStyle w:val="null3"/>
            </w:pPr>
            <w:r>
              <w:rPr>
                <w:rFonts w:ascii="仿宋_GB2312" w:hAnsi="仿宋_GB2312" w:cs="仿宋_GB2312" w:eastAsia="仿宋_GB2312"/>
              </w:rPr>
              <w:t>安全保障</w:t>
            </w:r>
          </w:p>
        </w:tc>
        <w:tc>
          <w:tcPr>
            <w:tcW w:type="dxa" w:w="2492"/>
          </w:tcPr>
          <w:p>
            <w:pPr>
              <w:pStyle w:val="null3"/>
            </w:pPr>
            <w:r>
              <w:rPr>
                <w:rFonts w:ascii="仿宋_GB2312" w:hAnsi="仿宋_GB2312" w:cs="仿宋_GB2312" w:eastAsia="仿宋_GB2312"/>
              </w:rPr>
              <w:t>供应商针对本项目需求制定安全保障方案，至少包含：①现场设施搭建与运行安全保障方案②人员人身安全保障方案③消防保障方案等。 满足项目实施要求，无瑕疵计6分； 内容每存在一处瑕疵，扣1分； 内容存在6处及以上瑕疵或未提供计0分。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7安全保障.docx</w:t>
            </w:r>
          </w:p>
        </w:tc>
      </w:tr>
      <w:tr>
        <w:tc>
          <w:tcPr>
            <w:tcW w:type="dxa" w:w="831"/>
            <w:vMerge/>
          </w:tcPr>
          <w:p/>
        </w:tc>
        <w:tc>
          <w:tcPr>
            <w:tcW w:type="dxa" w:w="1661"/>
          </w:tcPr>
          <w:p>
            <w:pPr>
              <w:pStyle w:val="null3"/>
            </w:pPr>
            <w:r>
              <w:rPr>
                <w:rFonts w:ascii="仿宋_GB2312" w:hAnsi="仿宋_GB2312" w:cs="仿宋_GB2312" w:eastAsia="仿宋_GB2312"/>
              </w:rPr>
              <w:t>医疗救援</w:t>
            </w:r>
          </w:p>
        </w:tc>
        <w:tc>
          <w:tcPr>
            <w:tcW w:type="dxa" w:w="2492"/>
          </w:tcPr>
          <w:p>
            <w:pPr>
              <w:pStyle w:val="null3"/>
            </w:pPr>
            <w:r>
              <w:rPr>
                <w:rFonts w:ascii="仿宋_GB2312" w:hAnsi="仿宋_GB2312" w:cs="仿宋_GB2312" w:eastAsia="仿宋_GB2312"/>
              </w:rPr>
              <w:t>供应商针对本项目需求及特点，提供医疗保障救援方案及医疗转运方案，至少包含：①现场急救与稳定②转运决策③转运工具与路径④途中监护与协调善后⑤开通就近医院绿色通道。 满足项目实施要求，无瑕疵计5分； 内容每存在一处瑕疵，扣1分； 内容存在5处及以上瑕疵或未提供计0分。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8医疗救援.docx</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供应商针对本项目需求，制定赛事应急工作方案（包括但不限于突发公共事件应急预案、舆论应急预案），确保突发事情发生时能够及时有效的采取应对措施。 满足项目实施要求，无瑕疵计10分； 内容每存在一处瑕疵，扣1分； 内容存在10处及以上瑕疵或未提供计0分。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9应急方案.docx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提供供应商2023年1月1日至今同类项目合同，每提供1个得1分，最高得5分。（以合同签订日期为准）。 备注：响应文件中提供合同复印件加盖公章。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10业绩.docx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供应商每提供一条经磋商小组一致认定的有益于实质性提升项目服务质量的增值服务承诺计1分，满分2分；未提供不计分。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11服务承诺.docx</w:t>
            </w:r>
          </w:p>
        </w:tc>
      </w:tr>
      <w:tr>
        <w:tc>
          <w:tcPr>
            <w:tcW w:type="dxa" w:w="831"/>
            <w:vMerge/>
          </w:tcPr>
          <w:p/>
        </w:tc>
        <w:tc>
          <w:tcPr>
            <w:tcW w:type="dxa" w:w="1661"/>
          </w:tcPr>
          <w:p>
            <w:pPr>
              <w:pStyle w:val="null3"/>
            </w:pPr>
            <w:r>
              <w:rPr>
                <w:rFonts w:ascii="仿宋_GB2312" w:hAnsi="仿宋_GB2312" w:cs="仿宋_GB2312" w:eastAsia="仿宋_GB2312"/>
              </w:rPr>
              <w:t>承诺</w:t>
            </w:r>
          </w:p>
        </w:tc>
        <w:tc>
          <w:tcPr>
            <w:tcW w:type="dxa" w:w="2492"/>
          </w:tcPr>
          <w:p>
            <w:pPr>
              <w:pStyle w:val="null3"/>
            </w:pPr>
            <w:r>
              <w:rPr>
                <w:rFonts w:ascii="仿宋_GB2312" w:hAnsi="仿宋_GB2312" w:cs="仿宋_GB2312" w:eastAsia="仿宋_GB2312"/>
              </w:rPr>
              <w:t>投标人承诺： ①赛事现场赛道搭建需使用经世界田联认证过的赛道面层，搭建完成后需通过世界田联场地赛道认证的计2分。 ②负责按照比赛要求，完成各单项比赛运动员的邀请，具体标准为：按照中国田协积分排名达到国内排名前十的运动员，计2分。 注：以上须提供承诺函，否则不计分。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12承诺.docx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分项价格表.docx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 即满足招标文件要求且价格最低的投标报价为评标基准价，其价格分为满分。其他投标人的价格分统一按照下列公式计算：价格分= (评标基准价／投标报价)×报价分值 注：计算分数时四舍五入取小数点后两位。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详见附件：商务部分偏离表.docx</w:t>
      </w:r>
    </w:p>
    <w:p>
      <w:pPr>
        <w:pStyle w:val="null3"/>
        <w:ind w:firstLine="960"/>
      </w:pPr>
      <w:r>
        <w:rPr>
          <w:rFonts w:ascii="仿宋_GB2312" w:hAnsi="仿宋_GB2312" w:cs="仿宋_GB2312" w:eastAsia="仿宋_GB2312"/>
        </w:rPr>
        <w:t>详见附件：分项价格表.docx</w:t>
      </w:r>
    </w:p>
    <w:p>
      <w:pPr>
        <w:pStyle w:val="null3"/>
        <w:ind w:firstLine="960"/>
      </w:pPr>
      <w:r>
        <w:rPr>
          <w:rFonts w:ascii="仿宋_GB2312" w:hAnsi="仿宋_GB2312" w:cs="仿宋_GB2312" w:eastAsia="仿宋_GB2312"/>
        </w:rPr>
        <w:t>详见附件：1策划及实施方案.docx</w:t>
      </w:r>
    </w:p>
    <w:p>
      <w:pPr>
        <w:pStyle w:val="null3"/>
        <w:ind w:firstLine="960"/>
      </w:pPr>
      <w:r>
        <w:rPr>
          <w:rFonts w:ascii="仿宋_GB2312" w:hAnsi="仿宋_GB2312" w:cs="仿宋_GB2312" w:eastAsia="仿宋_GB2312"/>
        </w:rPr>
        <w:t>详见附件：2人员配置.docx</w:t>
      </w:r>
    </w:p>
    <w:p>
      <w:pPr>
        <w:pStyle w:val="null3"/>
        <w:ind w:firstLine="960"/>
      </w:pPr>
      <w:r>
        <w:rPr>
          <w:rFonts w:ascii="仿宋_GB2312" w:hAnsi="仿宋_GB2312" w:cs="仿宋_GB2312" w:eastAsia="仿宋_GB2312"/>
        </w:rPr>
        <w:t>详见附件：3物料及设备清单.docx</w:t>
      </w:r>
    </w:p>
    <w:p>
      <w:pPr>
        <w:pStyle w:val="null3"/>
        <w:ind w:firstLine="960"/>
      </w:pPr>
      <w:r>
        <w:rPr>
          <w:rFonts w:ascii="仿宋_GB2312" w:hAnsi="仿宋_GB2312" w:cs="仿宋_GB2312" w:eastAsia="仿宋_GB2312"/>
        </w:rPr>
        <w:t>详见附件：4宣传方案.docx</w:t>
      </w:r>
    </w:p>
    <w:p>
      <w:pPr>
        <w:pStyle w:val="null3"/>
        <w:ind w:firstLine="960"/>
      </w:pPr>
      <w:r>
        <w:rPr>
          <w:rFonts w:ascii="仿宋_GB2312" w:hAnsi="仿宋_GB2312" w:cs="仿宋_GB2312" w:eastAsia="仿宋_GB2312"/>
        </w:rPr>
        <w:t>详见附件：5场地.docx</w:t>
      </w:r>
    </w:p>
    <w:p>
      <w:pPr>
        <w:pStyle w:val="null3"/>
        <w:ind w:firstLine="960"/>
      </w:pPr>
      <w:r>
        <w:rPr>
          <w:rFonts w:ascii="仿宋_GB2312" w:hAnsi="仿宋_GB2312" w:cs="仿宋_GB2312" w:eastAsia="仿宋_GB2312"/>
        </w:rPr>
        <w:t>详见附件：6后勤保障.docx</w:t>
      </w:r>
    </w:p>
    <w:p>
      <w:pPr>
        <w:pStyle w:val="null3"/>
        <w:ind w:firstLine="960"/>
      </w:pPr>
      <w:r>
        <w:rPr>
          <w:rFonts w:ascii="仿宋_GB2312" w:hAnsi="仿宋_GB2312" w:cs="仿宋_GB2312" w:eastAsia="仿宋_GB2312"/>
        </w:rPr>
        <w:t>详见附件：7安全保障.docx</w:t>
      </w:r>
    </w:p>
    <w:p>
      <w:pPr>
        <w:pStyle w:val="null3"/>
        <w:ind w:firstLine="960"/>
      </w:pPr>
      <w:r>
        <w:rPr>
          <w:rFonts w:ascii="仿宋_GB2312" w:hAnsi="仿宋_GB2312" w:cs="仿宋_GB2312" w:eastAsia="仿宋_GB2312"/>
        </w:rPr>
        <w:t>详见附件：8医疗救援.docx</w:t>
      </w:r>
    </w:p>
    <w:p>
      <w:pPr>
        <w:pStyle w:val="null3"/>
        <w:ind w:firstLine="960"/>
      </w:pPr>
      <w:r>
        <w:rPr>
          <w:rFonts w:ascii="仿宋_GB2312" w:hAnsi="仿宋_GB2312" w:cs="仿宋_GB2312" w:eastAsia="仿宋_GB2312"/>
        </w:rPr>
        <w:t>详见附件：9应急方案.docx</w:t>
      </w:r>
    </w:p>
    <w:p>
      <w:pPr>
        <w:pStyle w:val="null3"/>
        <w:ind w:firstLine="960"/>
      </w:pPr>
      <w:r>
        <w:rPr>
          <w:rFonts w:ascii="仿宋_GB2312" w:hAnsi="仿宋_GB2312" w:cs="仿宋_GB2312" w:eastAsia="仿宋_GB2312"/>
        </w:rPr>
        <w:t>详见附件：10业绩.docx</w:t>
      </w:r>
    </w:p>
    <w:p>
      <w:pPr>
        <w:pStyle w:val="null3"/>
        <w:ind w:firstLine="960"/>
      </w:pPr>
      <w:r>
        <w:rPr>
          <w:rFonts w:ascii="仿宋_GB2312" w:hAnsi="仿宋_GB2312" w:cs="仿宋_GB2312" w:eastAsia="仿宋_GB2312"/>
        </w:rPr>
        <w:t>详见附件：11服务承诺.docx</w:t>
      </w:r>
    </w:p>
    <w:p>
      <w:pPr>
        <w:pStyle w:val="null3"/>
        <w:ind w:firstLine="960"/>
      </w:pPr>
      <w:r>
        <w:rPr>
          <w:rFonts w:ascii="仿宋_GB2312" w:hAnsi="仿宋_GB2312" w:cs="仿宋_GB2312" w:eastAsia="仿宋_GB2312"/>
        </w:rPr>
        <w:t>详见附件：12承诺.docx</w:t>
      </w:r>
    </w:p>
    <w:p>
      <w:pPr>
        <w:pStyle w:val="null3"/>
        <w:ind w:firstLine="960"/>
      </w:pPr>
      <w:r>
        <w:rPr>
          <w:rFonts w:ascii="仿宋_GB2312" w:hAnsi="仿宋_GB2312" w:cs="仿宋_GB2312" w:eastAsia="仿宋_GB2312"/>
        </w:rPr>
        <w:t>详见附件：13其他资料.docx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