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3437F">
      <w:pPr>
        <w:spacing w:line="360" w:lineRule="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合同模板，仅供参考。</w:t>
      </w:r>
    </w:p>
    <w:p w14:paraId="3751CBA8">
      <w:pPr>
        <w:jc w:val="center"/>
        <w:rPr>
          <w:rFonts w:hint="eastAsia" w:ascii="仿宋" w:hAnsi="仿宋" w:eastAsia="仿宋" w:cs="仿宋"/>
          <w:b/>
          <w:bCs/>
          <w:color w:val="auto"/>
          <w:sz w:val="48"/>
          <w:szCs w:val="48"/>
        </w:rPr>
      </w:pPr>
    </w:p>
    <w:p w14:paraId="287DC62C">
      <w:pPr>
        <w:jc w:val="center"/>
        <w:rPr>
          <w:rFonts w:hint="eastAsia" w:ascii="仿宋" w:hAnsi="仿宋" w:eastAsia="仿宋" w:cs="仿宋"/>
          <w:b/>
          <w:bCs/>
          <w:color w:val="auto"/>
          <w:sz w:val="48"/>
          <w:szCs w:val="48"/>
        </w:rPr>
      </w:pPr>
    </w:p>
    <w:p w14:paraId="76890042">
      <w:pPr>
        <w:jc w:val="center"/>
        <w:rPr>
          <w:rFonts w:hint="eastAsia" w:ascii="仿宋" w:hAnsi="仿宋" w:eastAsia="仿宋" w:cs="仿宋"/>
          <w:b/>
          <w:bCs/>
          <w:color w:val="auto"/>
          <w:sz w:val="48"/>
          <w:szCs w:val="48"/>
        </w:rPr>
      </w:pPr>
    </w:p>
    <w:p w14:paraId="62B3E0F9">
      <w:pPr>
        <w:jc w:val="center"/>
        <w:rPr>
          <w:rFonts w:hint="eastAsia" w:ascii="仿宋" w:hAnsi="仿宋" w:eastAsia="仿宋" w:cs="仿宋"/>
          <w:b/>
          <w:bCs/>
          <w:color w:val="auto"/>
          <w:sz w:val="48"/>
          <w:szCs w:val="48"/>
        </w:rPr>
      </w:pPr>
      <w:r>
        <w:rPr>
          <w:rFonts w:hint="eastAsia" w:ascii="仿宋" w:hAnsi="仿宋" w:eastAsia="仿宋" w:cs="仿宋"/>
          <w:b/>
          <w:bCs/>
          <w:color w:val="auto"/>
          <w:sz w:val="48"/>
          <w:szCs w:val="48"/>
        </w:rPr>
        <w:t>“多测合一”数据成果质检入库和测绘数据纳入资源规划“一张图”并上线运行项目</w:t>
      </w:r>
    </w:p>
    <w:p w14:paraId="5DD8914D">
      <w:pPr>
        <w:jc w:val="center"/>
        <w:rPr>
          <w:rFonts w:hint="eastAsia" w:ascii="仿宋" w:hAnsi="仿宋" w:eastAsia="仿宋" w:cs="仿宋"/>
          <w:b/>
          <w:bCs/>
          <w:color w:val="auto"/>
          <w:sz w:val="48"/>
          <w:szCs w:val="48"/>
        </w:rPr>
      </w:pPr>
    </w:p>
    <w:p w14:paraId="26F4BA26">
      <w:pPr>
        <w:jc w:val="center"/>
        <w:rPr>
          <w:rFonts w:hint="eastAsia" w:ascii="仿宋" w:hAnsi="仿宋" w:eastAsia="仿宋" w:cs="仿宋"/>
          <w:b/>
          <w:bCs/>
          <w:color w:val="auto"/>
          <w:sz w:val="48"/>
          <w:szCs w:val="48"/>
          <w:lang w:val="en-US" w:eastAsia="zh-CN"/>
        </w:rPr>
      </w:pPr>
      <w:r>
        <w:rPr>
          <w:rFonts w:hint="eastAsia" w:ascii="仿宋" w:hAnsi="仿宋" w:eastAsia="仿宋" w:cs="仿宋"/>
          <w:b/>
          <w:bCs/>
          <w:color w:val="auto"/>
          <w:sz w:val="48"/>
          <w:szCs w:val="48"/>
          <w:lang w:val="en-US" w:eastAsia="zh-CN"/>
        </w:rPr>
        <w:t>服务合同</w:t>
      </w:r>
    </w:p>
    <w:p w14:paraId="437A38A7">
      <w:pPr>
        <w:jc w:val="center"/>
        <w:rPr>
          <w:rFonts w:hint="eastAsia" w:ascii="仿宋" w:hAnsi="仿宋" w:eastAsia="仿宋" w:cs="仿宋"/>
          <w:b/>
          <w:bCs/>
          <w:color w:val="auto"/>
          <w:sz w:val="36"/>
          <w:szCs w:val="36"/>
          <w:lang w:val="en-US" w:eastAsia="zh-CN"/>
        </w:rPr>
      </w:pPr>
    </w:p>
    <w:p w14:paraId="5ECBD622">
      <w:pPr>
        <w:jc w:val="center"/>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（项目编号：ZLC-XA-2026006）</w:t>
      </w:r>
    </w:p>
    <w:p w14:paraId="71B47B86">
      <w:pPr>
        <w:jc w:val="both"/>
        <w:rPr>
          <w:rFonts w:hint="eastAsia" w:ascii="仿宋" w:hAnsi="仿宋" w:eastAsia="仿宋" w:cs="仿宋"/>
          <w:b/>
          <w:bCs/>
          <w:color w:val="auto"/>
          <w:sz w:val="28"/>
          <w:szCs w:val="28"/>
          <w:lang w:val="en-US" w:eastAsia="zh-CN"/>
        </w:rPr>
      </w:pPr>
    </w:p>
    <w:p w14:paraId="201CDC75">
      <w:pPr>
        <w:jc w:val="center"/>
        <w:rPr>
          <w:rFonts w:hint="eastAsia" w:ascii="仿宋" w:hAnsi="仿宋" w:eastAsia="仿宋" w:cs="仿宋"/>
          <w:b/>
          <w:bCs/>
          <w:color w:val="auto"/>
          <w:sz w:val="28"/>
          <w:szCs w:val="28"/>
          <w:lang w:val="en-US" w:eastAsia="zh-CN"/>
        </w:rPr>
      </w:pPr>
    </w:p>
    <w:p w14:paraId="00A31400">
      <w:pPr>
        <w:jc w:val="center"/>
        <w:rPr>
          <w:rFonts w:hint="eastAsia" w:ascii="仿宋" w:hAnsi="仿宋" w:eastAsia="仿宋" w:cs="仿宋"/>
          <w:b/>
          <w:bCs/>
          <w:color w:val="auto"/>
          <w:sz w:val="28"/>
          <w:szCs w:val="28"/>
          <w:lang w:val="en-US" w:eastAsia="zh-CN"/>
        </w:rPr>
      </w:pPr>
    </w:p>
    <w:p w14:paraId="63D185F0">
      <w:pPr>
        <w:jc w:val="center"/>
        <w:rPr>
          <w:rFonts w:hint="eastAsia" w:ascii="仿宋" w:hAnsi="仿宋" w:eastAsia="仿宋" w:cs="仿宋"/>
          <w:b/>
          <w:bCs/>
          <w:color w:val="auto"/>
          <w:sz w:val="28"/>
          <w:szCs w:val="28"/>
          <w:lang w:val="en-US" w:eastAsia="zh-CN"/>
        </w:rPr>
      </w:pPr>
    </w:p>
    <w:p w14:paraId="0CF5B594">
      <w:pPr>
        <w:spacing w:line="480" w:lineRule="auto"/>
        <w:jc w:val="both"/>
        <w:rPr>
          <w:rFonts w:hint="eastAsia" w:ascii="仿宋" w:hAnsi="仿宋" w:eastAsia="仿宋" w:cs="仿宋"/>
          <w:b/>
          <w:bCs/>
          <w:color w:val="auto"/>
          <w:sz w:val="28"/>
          <w:szCs w:val="28"/>
          <w:lang w:val="en-US" w:eastAsia="zh-CN"/>
        </w:rPr>
      </w:pPr>
    </w:p>
    <w:p w14:paraId="3F0A3425">
      <w:pPr>
        <w:spacing w:line="480" w:lineRule="auto"/>
        <w:jc w:val="both"/>
        <w:rPr>
          <w:rFonts w:hint="eastAsia" w:ascii="仿宋" w:hAnsi="仿宋" w:eastAsia="仿宋" w:cs="仿宋"/>
          <w:b/>
          <w:bCs/>
          <w:color w:val="auto"/>
          <w:sz w:val="28"/>
          <w:szCs w:val="28"/>
          <w:lang w:val="en-US" w:eastAsia="zh-CN"/>
        </w:rPr>
      </w:pPr>
      <w:bookmarkStart w:id="4" w:name="_GoBack"/>
      <w:bookmarkEnd w:id="4"/>
    </w:p>
    <w:p w14:paraId="33A08616">
      <w:pPr>
        <w:spacing w:line="480" w:lineRule="auto"/>
        <w:jc w:val="both"/>
        <w:rPr>
          <w:rFonts w:hint="eastAsia" w:ascii="仿宋" w:hAnsi="仿宋" w:eastAsia="仿宋" w:cs="仿宋"/>
          <w:b/>
          <w:bCs/>
          <w:color w:val="auto"/>
          <w:sz w:val="28"/>
          <w:szCs w:val="28"/>
          <w:lang w:val="en-US" w:eastAsia="zh-CN"/>
        </w:rPr>
      </w:pPr>
    </w:p>
    <w:p w14:paraId="37E899A8">
      <w:pPr>
        <w:spacing w:line="480" w:lineRule="auto"/>
        <w:ind w:firstLine="2249" w:firstLineChars="700"/>
        <w:jc w:val="both"/>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甲方：西安市自然资源和规划局</w:t>
      </w:r>
    </w:p>
    <w:p w14:paraId="4D53745B">
      <w:pPr>
        <w:spacing w:line="480" w:lineRule="auto"/>
        <w:ind w:firstLine="2249" w:firstLineChars="700"/>
        <w:jc w:val="both"/>
        <w:rPr>
          <w:rFonts w:hint="default"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lang w:val="en-US" w:eastAsia="zh-CN"/>
        </w:rPr>
        <w:t>乙方：</w:t>
      </w:r>
      <w:r>
        <w:rPr>
          <w:rFonts w:hint="eastAsia" w:ascii="仿宋" w:hAnsi="仿宋" w:eastAsia="仿宋" w:cs="仿宋"/>
          <w:b/>
          <w:bCs/>
          <w:color w:val="auto"/>
          <w:sz w:val="32"/>
          <w:szCs w:val="32"/>
          <w:u w:val="single"/>
          <w:lang w:val="en-US" w:eastAsia="zh-CN"/>
        </w:rPr>
        <w:t xml:space="preserve">                        </w:t>
      </w:r>
    </w:p>
    <w:p w14:paraId="15120587">
      <w:pPr>
        <w:spacing w:line="480" w:lineRule="auto"/>
        <w:ind w:firstLine="2249" w:firstLineChars="700"/>
        <w:rPr>
          <w:rFonts w:hint="eastAsia" w:ascii="仿宋" w:hAnsi="仿宋" w:eastAsia="仿宋" w:cs="仿宋"/>
          <w:b/>
          <w:bCs/>
          <w:color w:val="auto"/>
          <w:sz w:val="28"/>
          <w:szCs w:val="28"/>
        </w:rPr>
      </w:pPr>
      <w:r>
        <w:rPr>
          <w:rFonts w:hint="eastAsia" w:ascii="仿宋" w:hAnsi="仿宋" w:eastAsia="仿宋" w:cs="仿宋"/>
          <w:b/>
          <w:bCs/>
          <w:color w:val="auto"/>
          <w:sz w:val="32"/>
          <w:szCs w:val="32"/>
          <w:lang w:val="en-US" w:eastAsia="zh-CN"/>
        </w:rPr>
        <w:t>签订日期：</w:t>
      </w:r>
      <w:r>
        <w:rPr>
          <w:rFonts w:hint="eastAsia" w:ascii="仿宋" w:hAnsi="仿宋" w:eastAsia="仿宋" w:cs="仿宋"/>
          <w:b/>
          <w:bCs/>
          <w:color w:val="auto"/>
          <w:sz w:val="32"/>
          <w:szCs w:val="32"/>
          <w:u w:val="single"/>
          <w:lang w:val="en-US" w:eastAsia="zh-CN"/>
        </w:rPr>
        <w:t xml:space="preserve">                    </w:t>
      </w:r>
      <w:r>
        <w:rPr>
          <w:rFonts w:hint="eastAsia" w:ascii="仿宋" w:hAnsi="仿宋" w:eastAsia="仿宋" w:cs="仿宋"/>
          <w:b/>
          <w:bCs/>
          <w:color w:val="auto"/>
          <w:sz w:val="28"/>
          <w:szCs w:val="28"/>
        </w:rPr>
        <w:br w:type="page"/>
      </w:r>
    </w:p>
    <w:p w14:paraId="13C9F825">
      <w:pPr>
        <w:spacing w:line="360" w:lineRule="auto"/>
        <w:ind w:firstLine="482" w:firstLineChars="200"/>
        <w:contextualSpacing/>
        <w:rPr>
          <w:rFonts w:hint="eastAsia" w:ascii="仿宋" w:hAnsi="仿宋" w:eastAsia="仿宋" w:cs="仿宋"/>
          <w:color w:val="auto"/>
          <w:sz w:val="24"/>
          <w:szCs w:val="24"/>
        </w:rPr>
      </w:pPr>
      <w:r>
        <w:rPr>
          <w:rFonts w:hint="eastAsia" w:ascii="仿宋" w:hAnsi="仿宋" w:eastAsia="仿宋" w:cs="仿宋"/>
          <w:b/>
          <w:bCs/>
          <w:color w:val="auto"/>
          <w:sz w:val="24"/>
          <w:szCs w:val="24"/>
        </w:rPr>
        <w:t>甲方：</w:t>
      </w:r>
      <w:r>
        <w:rPr>
          <w:rFonts w:hint="eastAsia" w:ascii="仿宋" w:hAnsi="仿宋" w:eastAsia="仿宋" w:cs="仿宋"/>
          <w:color w:val="auto"/>
          <w:sz w:val="24"/>
          <w:szCs w:val="24"/>
        </w:rPr>
        <w:t xml:space="preserve">西安市自然资源和规划局 </w:t>
      </w:r>
    </w:p>
    <w:p w14:paraId="168F413A">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地址：</w:t>
      </w:r>
      <w:r>
        <w:rPr>
          <w:rFonts w:hint="eastAsia" w:ascii="仿宋" w:hAnsi="仿宋" w:eastAsia="仿宋" w:cs="仿宋"/>
          <w:color w:val="auto"/>
          <w:kern w:val="0"/>
          <w:sz w:val="24"/>
          <w:szCs w:val="24"/>
        </w:rPr>
        <w:t xml:space="preserve"> </w:t>
      </w:r>
      <w:r>
        <w:rPr>
          <w:rFonts w:hint="eastAsia" w:ascii="仿宋" w:hAnsi="仿宋" w:eastAsia="仿宋" w:cs="仿宋"/>
          <w:color w:val="auto"/>
          <w:sz w:val="24"/>
          <w:szCs w:val="24"/>
        </w:rPr>
        <w:t>西安市未央区凤城九路139号市级机关凤城九路办公区</w:t>
      </w:r>
    </w:p>
    <w:p w14:paraId="6E6BEE94">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联系人：</w:t>
      </w:r>
    </w:p>
    <w:p w14:paraId="009936A2">
      <w:pPr>
        <w:spacing w:line="360" w:lineRule="auto"/>
        <w:ind w:firstLine="480" w:firstLineChars="200"/>
        <w:contextualSpacing/>
        <w:rPr>
          <w:rFonts w:hint="eastAsia" w:ascii="仿宋" w:hAnsi="仿宋" w:eastAsia="仿宋" w:cs="仿宋"/>
          <w:b/>
          <w:bCs/>
          <w:color w:val="auto"/>
          <w:sz w:val="24"/>
          <w:szCs w:val="24"/>
        </w:rPr>
      </w:pPr>
      <w:r>
        <w:rPr>
          <w:rFonts w:hint="eastAsia" w:ascii="仿宋" w:hAnsi="仿宋" w:eastAsia="仿宋" w:cs="仿宋"/>
          <w:color w:val="auto"/>
          <w:sz w:val="24"/>
          <w:szCs w:val="24"/>
        </w:rPr>
        <w:t>联系方式：</w:t>
      </w:r>
    </w:p>
    <w:p w14:paraId="148EE3F8">
      <w:pPr>
        <w:spacing w:line="360" w:lineRule="auto"/>
        <w:ind w:firstLine="482" w:firstLineChars="200"/>
        <w:contextualSpacing/>
        <w:rPr>
          <w:rFonts w:hint="default" w:ascii="仿宋" w:hAnsi="仿宋" w:eastAsia="仿宋" w:cs="仿宋"/>
          <w:color w:val="auto"/>
          <w:sz w:val="24"/>
          <w:szCs w:val="24"/>
          <w:u w:val="single"/>
          <w:lang w:val="en-US" w:eastAsia="zh-CN"/>
        </w:rPr>
      </w:pPr>
      <w:r>
        <w:rPr>
          <w:rFonts w:hint="eastAsia" w:ascii="仿宋" w:hAnsi="仿宋" w:eastAsia="仿宋" w:cs="仿宋"/>
          <w:b/>
          <w:bCs/>
          <w:color w:val="auto"/>
          <w:sz w:val="24"/>
          <w:szCs w:val="24"/>
        </w:rPr>
        <w:t>乙方：</w:t>
      </w:r>
      <w:r>
        <w:rPr>
          <w:rFonts w:hint="eastAsia" w:ascii="仿宋" w:hAnsi="仿宋" w:eastAsia="仿宋" w:cs="仿宋"/>
          <w:b/>
          <w:bCs/>
          <w:color w:val="auto"/>
          <w:sz w:val="24"/>
          <w:szCs w:val="24"/>
          <w:u w:val="single"/>
          <w:lang w:val="en-US" w:eastAsia="zh-CN"/>
        </w:rPr>
        <w:t xml:space="preserve">                     </w:t>
      </w:r>
    </w:p>
    <w:p w14:paraId="6DFF2D9E">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地址：</w:t>
      </w:r>
    </w:p>
    <w:p w14:paraId="6937612C">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联系人：</w:t>
      </w:r>
    </w:p>
    <w:p w14:paraId="0809191E">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联系方式：</w:t>
      </w:r>
    </w:p>
    <w:p w14:paraId="68E25D5B">
      <w:pPr>
        <w:pStyle w:val="3"/>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甲乙双方根据《中华人民共和国民法典》及有关法律、法规的相关规定，本着互惠互利的原则，经友好协商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就乙方为甲方提供</w:t>
      </w:r>
      <w:r>
        <w:rPr>
          <w:rFonts w:hint="eastAsia" w:ascii="仿宋" w:hAnsi="仿宋" w:eastAsia="仿宋" w:cs="仿宋"/>
          <w:color w:val="auto"/>
          <w:sz w:val="24"/>
          <w:szCs w:val="24"/>
          <w:u w:val="single"/>
          <w:lang w:val="en-US" w:eastAsia="zh-CN"/>
        </w:rPr>
        <w:t xml:space="preserve">“多测合一”数据成果质检入库和测绘数据纳入资源规划“一张图”并上线运行项目 </w:t>
      </w:r>
      <w:r>
        <w:rPr>
          <w:rFonts w:hint="eastAsia" w:ascii="仿宋" w:hAnsi="仿宋" w:eastAsia="仿宋" w:cs="仿宋"/>
          <w:color w:val="auto"/>
          <w:sz w:val="24"/>
          <w:szCs w:val="24"/>
        </w:rPr>
        <w:t>相关工作达成一致意见，并签订本协议。</w:t>
      </w:r>
    </w:p>
    <w:p w14:paraId="1B0AFA0F">
      <w:pPr>
        <w:spacing w:line="360" w:lineRule="auto"/>
        <w:contextualSpacing/>
        <w:rPr>
          <w:rFonts w:hint="eastAsia" w:ascii="仿宋" w:hAnsi="仿宋" w:eastAsia="仿宋" w:cs="仿宋"/>
          <w:b/>
          <w:color w:val="auto"/>
          <w:sz w:val="24"/>
          <w:szCs w:val="24"/>
        </w:rPr>
      </w:pPr>
      <w:r>
        <w:rPr>
          <w:rFonts w:hint="eastAsia" w:ascii="仿宋" w:hAnsi="仿宋" w:eastAsia="仿宋" w:cs="仿宋"/>
          <w:b/>
          <w:color w:val="auto"/>
          <w:sz w:val="24"/>
          <w:szCs w:val="24"/>
        </w:rPr>
        <w:t>第一条 服务期限</w:t>
      </w:r>
    </w:p>
    <w:p w14:paraId="3E831BCF">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自合同签订之日起至2026年12月15日前完成全部服务内容。</w:t>
      </w:r>
    </w:p>
    <w:p w14:paraId="5B9C9538">
      <w:pPr>
        <w:spacing w:line="360" w:lineRule="auto"/>
        <w:contextualSpacing/>
        <w:rPr>
          <w:rFonts w:hint="eastAsia" w:ascii="仿宋" w:hAnsi="仿宋" w:eastAsia="仿宋" w:cs="仿宋"/>
          <w:color w:val="auto"/>
          <w:sz w:val="24"/>
          <w:szCs w:val="24"/>
        </w:rPr>
      </w:pPr>
      <w:r>
        <w:rPr>
          <w:rFonts w:hint="eastAsia" w:ascii="仿宋" w:hAnsi="仿宋" w:eastAsia="仿宋" w:cs="仿宋"/>
          <w:b/>
          <w:color w:val="auto"/>
          <w:sz w:val="24"/>
          <w:szCs w:val="24"/>
        </w:rPr>
        <w:t>第二条 服务内容</w:t>
      </w:r>
    </w:p>
    <w:p w14:paraId="1FA3679D">
      <w:pPr>
        <w:pStyle w:val="7"/>
        <w:keepNext/>
        <w:keepLines/>
        <w:spacing w:after="0" w:line="360" w:lineRule="auto"/>
        <w:ind w:firstLine="499"/>
        <w:jc w:val="both"/>
        <w:rPr>
          <w:rFonts w:hint="eastAsia" w:ascii="仿宋_GB2312" w:hAnsi="仿宋_GB2312" w:eastAsia="仿宋_GB2312" w:cs="仿宋_GB2312"/>
          <w:color w:val="auto"/>
          <w:sz w:val="24"/>
          <w:szCs w:val="24"/>
          <w:lang w:eastAsia="zh-CN"/>
        </w:rPr>
      </w:pPr>
      <w:r>
        <w:rPr>
          <w:rFonts w:hint="eastAsia" w:ascii="仿宋" w:hAnsi="仿宋" w:eastAsia="仿宋" w:cs="仿宋"/>
          <w:color w:val="auto"/>
          <w:sz w:val="24"/>
          <w:szCs w:val="24"/>
        </w:rPr>
        <w:t xml:space="preserve"> </w:t>
      </w:r>
      <w:r>
        <w:rPr>
          <w:rFonts w:hint="eastAsia" w:ascii="仿宋_GB2312" w:hAnsi="仿宋_GB2312" w:eastAsia="仿宋_GB2312" w:cs="仿宋_GB2312"/>
          <w:color w:val="auto"/>
          <w:sz w:val="24"/>
          <w:szCs w:val="24"/>
          <w:lang w:eastAsia="zh-CN"/>
        </w:rPr>
        <w:t>严格落实“多测合一”成果三级质检机制，全覆盖核查成果完整规范，按比例抽检内外业技术质量，复盘整改不合格成果，定期汇总分析并形成年度质检报告。合规成果统一完成坐标转换、数据接边及标准化处理，纳入全市</w:t>
      </w:r>
      <w:r>
        <w:rPr>
          <w:rFonts w:hint="eastAsia" w:ascii="仿宋_GB2312" w:hAnsi="仿宋_GB2312" w:eastAsia="仿宋_GB2312" w:cs="仿宋_GB2312"/>
          <w:color w:val="auto"/>
          <w:sz w:val="24"/>
          <w:szCs w:val="24"/>
          <w:lang w:val="en-US" w:eastAsia="zh-CN"/>
        </w:rPr>
        <w:t>资源规划</w:t>
      </w:r>
      <w:r>
        <w:rPr>
          <w:rFonts w:hint="eastAsia" w:ascii="仿宋_GB2312" w:hAnsi="仿宋_GB2312" w:eastAsia="仿宋_GB2312" w:cs="仿宋_GB2312"/>
          <w:color w:val="auto"/>
          <w:sz w:val="24"/>
          <w:szCs w:val="24"/>
          <w:lang w:eastAsia="zh-CN"/>
        </w:rPr>
        <w:t>“一张图”数据库，推行一次入库、多方共享模式，常态化更新基础地理数据，赋能规划编制、用地管理、不动产登记等政务工作。持续优化资源规划统一地理底图，完善全域地理信息资源。依托国土变更调查、遥感监测及实地核查，精准摸清城市用地与建设实情，助力空间规划落地、用地监管及存量土地盘活。规范专网、政务、公众三类数据加工管理，确保数据同源统一、安全合规，全力保障市域空间治理与政务服务提质增效。</w:t>
      </w:r>
    </w:p>
    <w:p w14:paraId="5797365B">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服务工作具体要求</w:t>
      </w:r>
    </w:p>
    <w:p w14:paraId="068E6CA4">
      <w:pPr>
        <w:spacing w:line="540" w:lineRule="exact"/>
        <w:ind w:firstLine="482" w:firstLineChars="200"/>
        <w:jc w:val="both"/>
        <w:rPr>
          <w:rFonts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lang w:eastAsia="zh-CN"/>
        </w:rPr>
        <w:t>（一）成果质检技术要求</w:t>
      </w:r>
    </w:p>
    <w:p w14:paraId="1E5D8BEC">
      <w:pPr>
        <w:spacing w:line="540" w:lineRule="exact"/>
        <w:ind w:firstLine="480" w:firstLineChars="200"/>
        <w:jc w:val="both"/>
        <w:rPr>
          <w:rFonts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1.按规定对“多测合一”三阶段首次提交成果的完整性、规范性进行全数检查；技术性检查执行内业≥10%、外业≥5% 抽检，内业核查计算正确性与规范符合性，外业核验精度指标。</w:t>
      </w:r>
    </w:p>
    <w:p w14:paraId="1EF4D4DA">
      <w:pPr>
        <w:spacing w:line="540" w:lineRule="exact"/>
        <w:ind w:firstLine="480" w:firstLineChars="200"/>
        <w:jc w:val="both"/>
        <w:rPr>
          <w:rFonts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2.按月汇总质检结果、编制简报并出具判定意见，年底完成年度质检工作报告。</w:t>
      </w:r>
    </w:p>
    <w:p w14:paraId="1CE32EBD">
      <w:pPr>
        <w:spacing w:line="540" w:lineRule="exact"/>
        <w:ind w:firstLine="482" w:firstLineChars="200"/>
        <w:jc w:val="both"/>
        <w:rPr>
          <w:rFonts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lang w:eastAsia="zh-CN"/>
        </w:rPr>
        <w:t>（二）数据入库与“一张图”整合技术要求</w:t>
      </w:r>
    </w:p>
    <w:p w14:paraId="168E1F2D">
      <w:pPr>
        <w:spacing w:line="540" w:lineRule="exact"/>
        <w:ind w:firstLine="480" w:firstLineChars="200"/>
        <w:jc w:val="both"/>
        <w:rPr>
          <w:rFonts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1.合格成果按标准完成坐标转换、接边处理、标准化整理，实现一次入库、多部门多系统调用。</w:t>
      </w:r>
    </w:p>
    <w:p w14:paraId="5B735D66">
      <w:pPr>
        <w:spacing w:line="540" w:lineRule="exact"/>
        <w:ind w:firstLine="480" w:firstLineChars="200"/>
        <w:jc w:val="both"/>
        <w:rPr>
          <w:rFonts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2.构建全市统一基础测绘“一张图”，为不动产、地理信息、基础测绘等数据库提供动态更新服务。</w:t>
      </w:r>
    </w:p>
    <w:p w14:paraId="76AEAFDE">
      <w:pPr>
        <w:spacing w:line="540" w:lineRule="exact"/>
        <w:ind w:firstLine="482" w:firstLineChars="200"/>
        <w:jc w:val="both"/>
        <w:rPr>
          <w:rFonts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lang w:eastAsia="zh-CN"/>
        </w:rPr>
        <w:t>（三）</w:t>
      </w:r>
      <w:r>
        <w:rPr>
          <w:rFonts w:ascii="仿宋_GB2312" w:hAnsi="仿宋_GB2312" w:eastAsia="仿宋_GB2312" w:cs="仿宋_GB2312"/>
          <w:b/>
          <w:color w:val="auto"/>
          <w:sz w:val="24"/>
          <w:szCs w:val="24"/>
          <w:lang w:eastAsia="zh-CN"/>
        </w:rPr>
        <w:t>国土空间监测技术要求</w:t>
      </w:r>
    </w:p>
    <w:p w14:paraId="6CC57D6E">
      <w:pPr>
        <w:spacing w:line="540" w:lineRule="exact"/>
        <w:ind w:firstLine="480" w:firstLineChars="200"/>
        <w:jc w:val="both"/>
        <w:rPr>
          <w:rFonts w:ascii="仿宋_GB2312" w:hAnsi="仿宋_GB2312" w:eastAsia="仿宋_GB2312" w:cs="仿宋_GB2312"/>
          <w:color w:val="auto"/>
          <w:sz w:val="24"/>
          <w:szCs w:val="24"/>
          <w:lang w:eastAsia="zh-CN"/>
        </w:rPr>
      </w:pPr>
      <w:r>
        <w:rPr>
          <w:rFonts w:ascii="仿宋_GB2312" w:hAnsi="仿宋_GB2312" w:eastAsia="仿宋_GB2312" w:cs="仿宋_GB2312"/>
          <w:color w:val="auto"/>
          <w:sz w:val="24"/>
          <w:szCs w:val="24"/>
          <w:lang w:eastAsia="zh-CN"/>
        </w:rPr>
        <w:t>以2024年度国土变更调查为底图，结合2025年6月底前高分辨率遥感影像与专题资料，开展城市国土空间监测核查汇总，支撑国土空间治理应用。</w:t>
      </w:r>
    </w:p>
    <w:p w14:paraId="38A8ECCE">
      <w:pPr>
        <w:spacing w:line="540" w:lineRule="exact"/>
        <w:ind w:firstLine="482" w:firstLineChars="200"/>
        <w:jc w:val="both"/>
        <w:rPr>
          <w:rFonts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lang w:eastAsia="zh-CN"/>
        </w:rPr>
        <w:t>（四）多版本数据处理技术要求</w:t>
      </w:r>
    </w:p>
    <w:p w14:paraId="25AD8FCC">
      <w:pPr>
        <w:spacing w:line="540" w:lineRule="exact"/>
        <w:ind w:firstLine="480" w:firstLineChars="200"/>
        <w:jc w:val="both"/>
        <w:rPr>
          <w:rFonts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1.专网版：完成适配处理、安全加密、合规审核，确保三版数据同源同步、安全稳定。</w:t>
      </w:r>
    </w:p>
    <w:p w14:paraId="14593863">
      <w:pPr>
        <w:spacing w:line="360" w:lineRule="auto"/>
        <w:ind w:firstLine="480" w:firstLineChars="200"/>
        <w:jc w:val="both"/>
        <w:rPr>
          <w:rFonts w:ascii="仿宋" w:hAnsi="仿宋" w:eastAsia="仿宋" w:cs="仿宋"/>
          <w:b/>
          <w:bCs/>
          <w:color w:val="auto"/>
          <w:sz w:val="24"/>
          <w:szCs w:val="24"/>
          <w:lang w:eastAsia="zh-CN"/>
        </w:rPr>
      </w:pPr>
      <w:r>
        <w:rPr>
          <w:rFonts w:hint="eastAsia" w:ascii="仿宋_GB2312" w:hAnsi="仿宋_GB2312" w:eastAsia="仿宋_GB2312" w:cs="仿宋_GB2312"/>
          <w:color w:val="auto"/>
          <w:sz w:val="24"/>
          <w:szCs w:val="24"/>
          <w:lang w:eastAsia="zh-CN"/>
        </w:rPr>
        <w:t>2.政务版 / 公众版：按分级分类要求完成脱敏脱密、标准化适配，实现政务平台互联互通与高效共享。</w:t>
      </w:r>
    </w:p>
    <w:p w14:paraId="64CC60DB">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第四条 服务要求</w:t>
      </w:r>
    </w:p>
    <w:p w14:paraId="62C0D874">
      <w:pPr>
        <w:spacing w:line="36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1、各类服务形成相关报告文档，提交采购人进行审核，并修改完善。</w:t>
      </w:r>
    </w:p>
    <w:p w14:paraId="55690975">
      <w:pPr>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2、配置测绘工程、地理信息系统、资源规划、计算机等多学科专业技术团队力量开展具体工作。</w:t>
      </w:r>
    </w:p>
    <w:p w14:paraId="0BFE9772">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第五条 服务费用及支付方式</w:t>
      </w:r>
    </w:p>
    <w:p w14:paraId="7C133BB6">
      <w:pPr>
        <w:spacing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（一）合同含税总价款暂定为</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大写：</w:t>
      </w:r>
      <w:r>
        <w:rPr>
          <w:rFonts w:hint="eastAsia" w:ascii="仿宋" w:hAnsi="仿宋" w:eastAsia="仿宋" w:cs="仿宋"/>
          <w:color w:val="auto"/>
          <w:sz w:val="24"/>
          <w:szCs w:val="24"/>
          <w:u w:val="single"/>
        </w:rPr>
        <w:t xml:space="preserve">                。</w:t>
      </w:r>
    </w:p>
    <w:p w14:paraId="4280A20D">
      <w:pPr>
        <w:spacing w:before="14" w:line="360" w:lineRule="auto"/>
        <w:ind w:left="500"/>
        <w:rPr>
          <w:rFonts w:hint="eastAsia" w:ascii="仿宋" w:hAnsi="仿宋" w:eastAsia="仿宋" w:cs="仿宋"/>
          <w:color w:val="auto"/>
          <w:sz w:val="24"/>
          <w:szCs w:val="24"/>
        </w:rPr>
      </w:pPr>
      <w:r>
        <w:rPr>
          <w:rFonts w:hint="eastAsia" w:ascii="仿宋" w:hAnsi="仿宋" w:eastAsia="仿宋" w:cs="仿宋"/>
          <w:color w:val="auto"/>
          <w:sz w:val="24"/>
          <w:szCs w:val="24"/>
        </w:rPr>
        <w:t>（二）支付方式：</w:t>
      </w:r>
    </w:p>
    <w:p w14:paraId="4FE080B7">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1、付款条件说明：合同签订后</w:t>
      </w:r>
      <w:r>
        <w:rPr>
          <w:rFonts w:hint="eastAsia" w:ascii="仿宋" w:hAnsi="仿宋" w:eastAsia="仿宋" w:cs="仿宋"/>
          <w:color w:val="auto"/>
          <w:sz w:val="24"/>
          <w:szCs w:val="24"/>
          <w:lang w:val="en-US" w:eastAsia="zh-CN"/>
        </w:rPr>
        <w:t>30</w:t>
      </w:r>
      <w:r>
        <w:rPr>
          <w:rFonts w:hint="eastAsia" w:ascii="仿宋" w:hAnsi="仿宋" w:eastAsia="仿宋" w:cs="仿宋"/>
          <w:color w:val="auto"/>
          <w:sz w:val="24"/>
          <w:szCs w:val="24"/>
          <w:lang w:eastAsia="zh-CN"/>
        </w:rPr>
        <w:t>个工作日内支付合同总价款的60%；</w:t>
      </w:r>
    </w:p>
    <w:p w14:paraId="7237CD81">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2、付款条件说明：</w:t>
      </w:r>
      <w:r>
        <w:rPr>
          <w:rFonts w:hint="eastAsia" w:ascii="仿宋" w:hAnsi="仿宋" w:eastAsia="仿宋" w:cs="仿宋"/>
          <w:color w:val="auto"/>
          <w:sz w:val="24"/>
          <w:szCs w:val="24"/>
          <w:lang w:eastAsia="zh-CN"/>
        </w:rPr>
        <w:t>项目成果交付验收合格后，</w:t>
      </w:r>
      <w:r>
        <w:rPr>
          <w:rFonts w:hint="eastAsia" w:ascii="仿宋" w:hAnsi="仿宋" w:eastAsia="仿宋" w:cs="仿宋"/>
          <w:color w:val="auto"/>
          <w:sz w:val="24"/>
          <w:szCs w:val="24"/>
          <w:lang w:val="en-US" w:eastAsia="zh-CN"/>
        </w:rPr>
        <w:t>30</w:t>
      </w:r>
      <w:r>
        <w:rPr>
          <w:rFonts w:hint="eastAsia" w:ascii="仿宋" w:hAnsi="仿宋" w:eastAsia="仿宋" w:cs="仿宋"/>
          <w:color w:val="auto"/>
          <w:sz w:val="24"/>
          <w:szCs w:val="24"/>
          <w:lang w:eastAsia="zh-CN"/>
        </w:rPr>
        <w:t>个工作日内支付合同总价款的40%。</w:t>
      </w:r>
    </w:p>
    <w:p w14:paraId="60F1672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（三）支付形式：银行转账</w:t>
      </w:r>
    </w:p>
    <w:p w14:paraId="1A9BE24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（四）乙方指定收款信息</w:t>
      </w:r>
    </w:p>
    <w:p w14:paraId="0FA939C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名称：</w:t>
      </w:r>
    </w:p>
    <w:p w14:paraId="53D1B78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纳税人识别号：</w:t>
      </w:r>
    </w:p>
    <w:p w14:paraId="3946052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地址、电话：</w:t>
      </w:r>
    </w:p>
    <w:p w14:paraId="7401983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开户行：</w:t>
      </w:r>
    </w:p>
    <w:p w14:paraId="179F47F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账号：</w:t>
      </w:r>
    </w:p>
    <w:p w14:paraId="6F499CB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（五）甲方每次付款前，乙方须提供符合甲方财务部门要求的等额增值税（专用/普通）发票。否则，甲方有权延迟支付服务费用，且甲方延迟支付行为不应视为违约。</w:t>
      </w:r>
    </w:p>
    <w:p w14:paraId="363774B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（六）如遇国家政策规定调整本合同中的相应服务费用标准，则届时双方协商按国家规定政策规定执行。</w:t>
      </w:r>
    </w:p>
    <w:p w14:paraId="385FEE1C">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第六条 甲方权利与义务</w:t>
      </w:r>
    </w:p>
    <w:p w14:paraId="66100CE4">
      <w:pPr>
        <w:spacing w:line="360" w:lineRule="auto"/>
        <w:ind w:firstLine="480" w:firstLineChars="200"/>
        <w:rPr>
          <w:rFonts w:hint="eastAsia" w:ascii="仿宋" w:hAnsi="仿宋" w:eastAsia="仿宋" w:cs="仿宋"/>
          <w:color w:val="auto"/>
          <w:spacing w:val="-20"/>
          <w:sz w:val="24"/>
          <w:szCs w:val="24"/>
        </w:rPr>
      </w:pPr>
      <w:r>
        <w:rPr>
          <w:rFonts w:hint="eastAsia" w:ascii="仿宋" w:hAnsi="仿宋" w:eastAsia="仿宋" w:cs="仿宋"/>
          <w:color w:val="auto"/>
          <w:sz w:val="24"/>
          <w:szCs w:val="24"/>
        </w:rPr>
        <w:t>（一）甲方对乙方提供的服务进行</w:t>
      </w:r>
      <w:r>
        <w:rPr>
          <w:rFonts w:hint="eastAsia" w:ascii="仿宋" w:hAnsi="仿宋" w:eastAsia="仿宋" w:cs="仿宋"/>
          <w:color w:val="auto"/>
          <w:spacing w:val="-20"/>
          <w:sz w:val="24"/>
          <w:szCs w:val="24"/>
        </w:rPr>
        <w:t>指导、监督、检查，</w:t>
      </w:r>
      <w:r>
        <w:rPr>
          <w:rFonts w:hint="eastAsia" w:ascii="仿宋" w:hAnsi="仿宋" w:eastAsia="仿宋" w:cs="仿宋"/>
          <w:color w:val="auto"/>
          <w:sz w:val="24"/>
          <w:szCs w:val="24"/>
        </w:rPr>
        <w:t>对服务效果进行考</w:t>
      </w:r>
      <w:r>
        <w:rPr>
          <w:rFonts w:hint="eastAsia" w:ascii="仿宋" w:hAnsi="仿宋" w:eastAsia="仿宋" w:cs="仿宋"/>
          <w:color w:val="auto"/>
          <w:spacing w:val="-20"/>
          <w:sz w:val="24"/>
          <w:szCs w:val="24"/>
        </w:rPr>
        <w:t>核。</w:t>
      </w:r>
    </w:p>
    <w:p w14:paraId="3288F51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（二）甲方对乙方不称职的服务人员提出调换。</w:t>
      </w:r>
    </w:p>
    <w:p w14:paraId="633E3F2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（三）甲方对乙方拟定下发的书面文件进行审核。</w:t>
      </w:r>
    </w:p>
    <w:p w14:paraId="519D36F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（四）甲方按合同约定按时向乙方支付应付款项。</w:t>
      </w:r>
    </w:p>
    <w:p w14:paraId="69D3F34E">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第七条 乙方权利与义务</w:t>
      </w:r>
    </w:p>
    <w:p w14:paraId="2CDD4B5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（一）乙方应按照合同要求开展相关工作，并接受甲方指导，在服务过程中切实维护甲方合法权益。</w:t>
      </w:r>
    </w:p>
    <w:p w14:paraId="5746A7D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（二）乙方接受甲方考评。</w:t>
      </w:r>
    </w:p>
    <w:p w14:paraId="574E745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（三）乙方每周提交工作周报，在甲方指导下修订并提报相关部门。</w:t>
      </w:r>
    </w:p>
    <w:p w14:paraId="7B65231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（四）乙方应妥善使用甲方配置的办公物资，合同到期后向甲方移交。</w:t>
      </w:r>
    </w:p>
    <w:p w14:paraId="458573D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（五）乙方不得以任何形式将本项目转让、分包给其它单位或个人。</w:t>
      </w:r>
    </w:p>
    <w:p w14:paraId="6E6E37AD">
      <w:pPr>
        <w:adjustRightInd w:val="0"/>
        <w:snapToGrid w:val="0"/>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第八条 不可抗力</w:t>
      </w:r>
    </w:p>
    <w:p w14:paraId="62D4BB49">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本协议所指的“不可抗力事件”是指本协议签署日期后出现的，妨碍任何一方履行或部分履行本协议的所有事件，而且该事件是本协议各方不能合理地控制、无法预料，或即使可以预料也无法合理避免和克服的事件（包括但不限于政策变更、上级行政管理要求、地震、台风、洪水、火灾、战争、法律变更等）。</w:t>
      </w:r>
    </w:p>
    <w:p w14:paraId="5CB70807">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除非本协议另有规定，如果在本协议签署后发生上述不可抗力事件，且本协议任何一方受其影响不能履行或不能充分、及时、适当地履行其在本协议项下的任何义务时，本协议下另一方的义务在不可抗力引起的延误期内应中止履行，并应自动延长，延长的时间与该中止时间相等，无法或不适宜延长的，双方应终止履行合同，遭受不可抗力事件的一方及其另一方无须因此承担违约责任。</w:t>
      </w:r>
    </w:p>
    <w:p w14:paraId="392F092D">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第九条 违约责任</w:t>
      </w:r>
    </w:p>
    <w:p w14:paraId="260DAEC4">
      <w:pPr>
        <w:adjustRightInd w:val="0"/>
        <w:snapToGrid w:val="0"/>
        <w:spacing w:line="360" w:lineRule="auto"/>
        <w:ind w:firstLine="480" w:firstLineChars="200"/>
        <w:rPr>
          <w:rFonts w:hint="eastAsia" w:ascii="仿宋" w:hAnsi="仿宋" w:eastAsia="仿宋" w:cs="仿宋"/>
          <w:b w:val="0"/>
          <w:bCs/>
          <w:color w:val="auto"/>
          <w:sz w:val="24"/>
          <w:szCs w:val="24"/>
        </w:rPr>
      </w:pPr>
      <w:bookmarkStart w:id="0" w:name="bookmark17"/>
      <w:r>
        <w:rPr>
          <w:rFonts w:hint="eastAsia" w:ascii="仿宋" w:hAnsi="仿宋" w:eastAsia="仿宋" w:cs="仿宋"/>
          <w:b w:val="0"/>
          <w:bCs/>
          <w:color w:val="auto"/>
          <w:sz w:val="24"/>
          <w:szCs w:val="24"/>
        </w:rPr>
        <w:t>（</w:t>
      </w:r>
      <w:bookmarkEnd w:id="0"/>
      <w:r>
        <w:rPr>
          <w:rFonts w:hint="eastAsia" w:ascii="仿宋" w:hAnsi="仿宋" w:eastAsia="仿宋" w:cs="仿宋"/>
          <w:b w:val="0"/>
          <w:bCs/>
          <w:color w:val="auto"/>
          <w:sz w:val="24"/>
          <w:szCs w:val="24"/>
        </w:rPr>
        <w:t>一）合同生效后，甲方要求终止或解除合同，乙方已开始设计工作的， 甲方应根据乙方已进行的实际工作量支付相应费用。无正当理由，乙方要求终止或解除合同，乙方应向甲方支付合同总价20%的违约金。若由此给甲方造成的损失（包括但不限于直接损失、间接损失、律师费、诉讼费、保全费等）, 乙方应及时、完整的赔偿。</w:t>
      </w:r>
    </w:p>
    <w:p w14:paraId="7E72F1FF">
      <w:pPr>
        <w:adjustRightInd w:val="0"/>
        <w:snapToGrid w:val="0"/>
        <w:spacing w:line="360" w:lineRule="auto"/>
        <w:ind w:firstLine="480" w:firstLineChars="200"/>
        <w:rPr>
          <w:rFonts w:hint="eastAsia" w:ascii="仿宋" w:hAnsi="仿宋" w:eastAsia="仿宋" w:cs="仿宋"/>
          <w:b w:val="0"/>
          <w:bCs/>
          <w:color w:val="auto"/>
          <w:sz w:val="24"/>
          <w:szCs w:val="24"/>
        </w:rPr>
      </w:pPr>
      <w:bookmarkStart w:id="1" w:name="bookmark18"/>
      <w:r>
        <w:rPr>
          <w:rFonts w:hint="eastAsia" w:ascii="仿宋" w:hAnsi="仿宋" w:eastAsia="仿宋" w:cs="仿宋"/>
          <w:b w:val="0"/>
          <w:bCs/>
          <w:color w:val="auto"/>
          <w:sz w:val="24"/>
          <w:szCs w:val="24"/>
        </w:rPr>
        <w:t>（</w:t>
      </w:r>
      <w:bookmarkEnd w:id="1"/>
      <w:r>
        <w:rPr>
          <w:rFonts w:hint="eastAsia" w:ascii="仿宋" w:hAnsi="仿宋" w:eastAsia="仿宋" w:cs="仿宋"/>
          <w:b w:val="0"/>
          <w:bCs/>
          <w:color w:val="auto"/>
          <w:sz w:val="24"/>
          <w:szCs w:val="24"/>
        </w:rPr>
        <w:t>二）合同履行过程中，乙方违反本协议约定或者不适当履行本协议的, 甲方有权单方面解除本合同，乙方应当按照本合同价款总额的20%支付违约金给甲方，由此给甲方造成的损失（包括但不限于直接损失、间接损失、律师费、诉讼费、保全费等），乙方还应及时、完整的赔偿。若甲方选择继续履行的，合同继续履行，乙方应当按照前述约定继续承担违约责任。</w:t>
      </w:r>
    </w:p>
    <w:p w14:paraId="487D21AF">
      <w:pPr>
        <w:adjustRightInd w:val="0"/>
        <w:snapToGrid w:val="0"/>
        <w:spacing w:line="360" w:lineRule="auto"/>
        <w:ind w:firstLine="480" w:firstLineChars="200"/>
        <w:rPr>
          <w:rFonts w:hint="eastAsia" w:ascii="仿宋" w:hAnsi="仿宋" w:eastAsia="仿宋" w:cs="仿宋"/>
          <w:b w:val="0"/>
          <w:bCs/>
          <w:color w:val="auto"/>
          <w:sz w:val="24"/>
          <w:szCs w:val="24"/>
        </w:rPr>
      </w:pPr>
      <w:bookmarkStart w:id="2" w:name="bookmark19"/>
      <w:r>
        <w:rPr>
          <w:rFonts w:hint="eastAsia" w:ascii="仿宋" w:hAnsi="仿宋" w:eastAsia="仿宋" w:cs="仿宋"/>
          <w:b w:val="0"/>
          <w:bCs/>
          <w:color w:val="auto"/>
          <w:sz w:val="24"/>
          <w:szCs w:val="24"/>
        </w:rPr>
        <w:t>（</w:t>
      </w:r>
      <w:bookmarkEnd w:id="2"/>
      <w:r>
        <w:rPr>
          <w:rFonts w:hint="eastAsia" w:ascii="仿宋" w:hAnsi="仿宋" w:eastAsia="仿宋" w:cs="仿宋"/>
          <w:b w:val="0"/>
          <w:bCs/>
          <w:color w:val="auto"/>
          <w:sz w:val="24"/>
          <w:szCs w:val="24"/>
        </w:rPr>
        <w:t>三）设计质量：乙方对由于乙方原因导致的设计文件出现遗漏或错误负责修改或补充，直至甲方审核并通过书面确认，若因此给甲方造成损失的，乙方还应当及时、足额地赔偿甲方的全部损失（包括但不限于直接损失、可 预期利益、律师费、诉讼费等）。</w:t>
      </w:r>
    </w:p>
    <w:p w14:paraId="6A34B28A">
      <w:pPr>
        <w:adjustRightInd w:val="0"/>
        <w:snapToGrid w:val="0"/>
        <w:spacing w:line="360" w:lineRule="auto"/>
        <w:ind w:firstLine="480" w:firstLineChars="200"/>
        <w:rPr>
          <w:rFonts w:hint="eastAsia" w:ascii="仿宋" w:hAnsi="仿宋" w:eastAsia="仿宋" w:cs="仿宋"/>
          <w:b w:val="0"/>
          <w:bCs/>
          <w:color w:val="auto"/>
          <w:sz w:val="24"/>
          <w:szCs w:val="24"/>
          <w:lang w:val="zh-TW" w:eastAsia="zh-TW"/>
        </w:rPr>
      </w:pPr>
      <w:bookmarkStart w:id="3" w:name="bookmark20"/>
      <w:r>
        <w:rPr>
          <w:rFonts w:hint="eastAsia" w:ascii="仿宋" w:hAnsi="仿宋" w:eastAsia="仿宋" w:cs="仿宋"/>
          <w:b w:val="0"/>
          <w:bCs/>
          <w:color w:val="auto"/>
          <w:sz w:val="24"/>
          <w:szCs w:val="24"/>
        </w:rPr>
        <w:t>（</w:t>
      </w:r>
      <w:bookmarkEnd w:id="3"/>
      <w:r>
        <w:rPr>
          <w:rFonts w:hint="eastAsia" w:ascii="仿宋" w:hAnsi="仿宋" w:eastAsia="仿宋" w:cs="仿宋"/>
          <w:b w:val="0"/>
          <w:bCs/>
          <w:color w:val="auto"/>
          <w:sz w:val="24"/>
          <w:szCs w:val="24"/>
        </w:rPr>
        <w:t>四）因乙方原因未在约定的服务期限内完成全部技术成果内容并通过甲方验收，每延期一日，甲方有权扣减本合同约定的合同总价款2%。作为违约金。延期超过15日，甲方有权单方解除协议，不再支付合同款项，乙方应当按照本合同价款总额的20%支付违约金给甲方。因此给甲方造成损失的，乙方还应当及时、足额地赔偿甲方的全部损失（包括但不限于直接损失、可预期 利益、律师费、诉讼费等）。</w:t>
      </w:r>
    </w:p>
    <w:p w14:paraId="6FC5745D">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第十条 争议的解决</w:t>
      </w:r>
    </w:p>
    <w:p w14:paraId="26A14306">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本合同履行过程中发生的一切争议，双方应通过友好协商方式解决，协商不成时，任何一方均可向合同签订地有管辖权的人民法院提起诉讼。</w:t>
      </w:r>
    </w:p>
    <w:p w14:paraId="528046B2">
      <w:pPr>
        <w:widowControl/>
        <w:autoSpaceDE w:val="0"/>
        <w:autoSpaceDN w:val="0"/>
        <w:snapToGrid w:val="0"/>
        <w:spacing w:line="360" w:lineRule="auto"/>
        <w:ind w:right="893"/>
        <w:textAlignment w:val="bottom"/>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第十一条 合同生效及其它</w:t>
      </w:r>
    </w:p>
    <w:p w14:paraId="4469730D">
      <w:pPr>
        <w:widowControl/>
        <w:autoSpaceDE w:val="0"/>
        <w:autoSpaceDN w:val="0"/>
        <w:snapToGrid w:val="0"/>
        <w:spacing w:line="360" w:lineRule="auto"/>
        <w:ind w:right="-110"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（一）合同未尽事宜、由甲、乙双方协商，作为合同补充，与原合同具有同等法律效力。</w:t>
      </w:r>
    </w:p>
    <w:p w14:paraId="352D5B57">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（二）合同期限内，若因政策原因需调整相关合同条款事宜，双方另行签订变更协议。</w:t>
      </w:r>
    </w:p>
    <w:p w14:paraId="52778C2D">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（三）本合同正本一式陆份，甲方、乙方双方分别执叁份。</w:t>
      </w:r>
    </w:p>
    <w:p w14:paraId="24CB8BA4">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（四）合同经甲乙双方盖章、签字或直接盖章后生效。</w:t>
      </w:r>
    </w:p>
    <w:p w14:paraId="29B65AE5">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（五）签订地点：</w:t>
      </w:r>
    </w:p>
    <w:p w14:paraId="7E9F8262">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（六）签订时间：</w:t>
      </w:r>
    </w:p>
    <w:p w14:paraId="231C91A8">
      <w:pPr>
        <w:autoSpaceDE w:val="0"/>
        <w:autoSpaceDN w:val="0"/>
        <w:adjustRightInd w:val="0"/>
        <w:spacing w:line="360" w:lineRule="auto"/>
        <w:ind w:firstLine="720" w:firstLineChars="300"/>
        <w:contextualSpacing/>
        <w:rPr>
          <w:rFonts w:hint="eastAsia" w:ascii="仿宋" w:hAnsi="仿宋" w:eastAsia="仿宋" w:cs="仿宋"/>
          <w:color w:val="auto"/>
          <w:sz w:val="24"/>
          <w:szCs w:val="24"/>
        </w:rPr>
      </w:pPr>
    </w:p>
    <w:p w14:paraId="3B830B76">
      <w:pPr>
        <w:autoSpaceDE w:val="0"/>
        <w:autoSpaceDN w:val="0"/>
        <w:adjustRightInd w:val="0"/>
        <w:spacing w:line="360" w:lineRule="auto"/>
        <w:ind w:firstLine="720" w:firstLineChars="300"/>
        <w:contextualSpacing/>
        <w:rPr>
          <w:rFonts w:hint="eastAsia" w:ascii="仿宋" w:hAnsi="仿宋" w:eastAsia="仿宋" w:cs="仿宋"/>
          <w:color w:val="auto"/>
          <w:sz w:val="24"/>
          <w:szCs w:val="24"/>
        </w:rPr>
      </w:pPr>
    </w:p>
    <w:p w14:paraId="29B7253E">
      <w:pPr>
        <w:autoSpaceDE w:val="0"/>
        <w:autoSpaceDN w:val="0"/>
        <w:adjustRightInd w:val="0"/>
        <w:spacing w:line="480" w:lineRule="auto"/>
        <w:ind w:firstLine="720" w:firstLineChars="3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甲方（盖章）                                乙方（盖章）</w:t>
      </w:r>
    </w:p>
    <w:p w14:paraId="1BB1AC31">
      <w:pPr>
        <w:autoSpaceDE w:val="0"/>
        <w:autoSpaceDN w:val="0"/>
        <w:adjustRightInd w:val="0"/>
        <w:spacing w:line="480" w:lineRule="auto"/>
        <w:ind w:firstLine="720" w:firstLineChars="3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代表人                                      代表人</w:t>
      </w:r>
    </w:p>
    <w:p w14:paraId="76679C7A">
      <w:pPr>
        <w:spacing w:line="480" w:lineRule="auto"/>
        <w:ind w:firstLine="720" w:firstLineChars="300"/>
        <w:rPr>
          <w:rFonts w:hint="eastAsia" w:ascii="仿宋" w:hAnsi="仿宋" w:eastAsia="仿宋" w:cs="仿宋"/>
          <w:color w:val="auto"/>
          <w:sz w:val="24"/>
          <w:szCs w:val="24"/>
        </w:rPr>
      </w:pPr>
      <w:r>
        <w:rPr>
          <w:rFonts w:hint="eastAsia" w:ascii="仿宋" w:hAnsi="仿宋" w:eastAsia="仿宋" w:cs="仿宋"/>
          <w:color w:val="auto"/>
          <w:sz w:val="24"/>
          <w:szCs w:val="24"/>
        </w:rPr>
        <w:t>或授权代表人（签字）                        或授权代表人（签字）</w:t>
      </w:r>
    </w:p>
    <w:p w14:paraId="3BF7143B">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合同附件：</w:t>
      </w:r>
    </w:p>
    <w:tbl>
      <w:tblPr>
        <w:tblStyle w:val="4"/>
        <w:tblpPr w:leftFromText="180" w:rightFromText="180" w:vertAnchor="text" w:horzAnchor="page" w:tblpX="1592" w:tblpY="543"/>
        <w:tblOverlap w:val="never"/>
        <w:tblW w:w="0" w:type="auto"/>
        <w:tblInd w:w="0" w:type="dxa"/>
        <w:tblLayout w:type="fixed"/>
        <w:tblCellMar>
          <w:top w:w="0" w:type="dxa"/>
          <w:left w:w="108" w:type="dxa"/>
          <w:bottom w:w="0" w:type="dxa"/>
          <w:right w:w="108" w:type="dxa"/>
        </w:tblCellMar>
      </w:tblPr>
      <w:tblGrid>
        <w:gridCol w:w="1712"/>
        <w:gridCol w:w="2505"/>
        <w:gridCol w:w="2751"/>
        <w:gridCol w:w="2318"/>
      </w:tblGrid>
      <w:tr w14:paraId="7049A97F">
        <w:tblPrEx>
          <w:tblCellMar>
            <w:top w:w="0" w:type="dxa"/>
            <w:left w:w="108" w:type="dxa"/>
            <w:bottom w:w="0" w:type="dxa"/>
            <w:right w:w="108" w:type="dxa"/>
          </w:tblCellMar>
        </w:tblPrEx>
        <w:trPr>
          <w:trHeight w:val="900" w:hRule="atLeast"/>
        </w:trPr>
        <w:tc>
          <w:tcPr>
            <w:tcW w:w="9286" w:type="dxa"/>
            <w:gridSpan w:val="4"/>
            <w:tcBorders>
              <w:top w:val="nil"/>
              <w:left w:val="nil"/>
              <w:bottom w:val="nil"/>
              <w:right w:val="nil"/>
            </w:tcBorders>
            <w:noWrap w:val="0"/>
            <w:vAlign w:val="center"/>
          </w:tcPr>
          <w:p w14:paraId="55AFB3EC">
            <w:pPr>
              <w:widowControl/>
              <w:jc w:val="center"/>
              <w:rPr>
                <w:rFonts w:hint="eastAsia" w:ascii="仿宋" w:hAnsi="仿宋" w:eastAsia="仿宋" w:cs="仿宋"/>
                <w:b/>
                <w:bCs/>
                <w:color w:val="auto"/>
                <w:kern w:val="0"/>
                <w:sz w:val="24"/>
                <w:szCs w:val="24"/>
              </w:rPr>
            </w:pPr>
            <w:r>
              <w:rPr>
                <w:rFonts w:hint="eastAsia" w:ascii="仿宋" w:hAnsi="仿宋" w:eastAsia="仿宋" w:cs="仿宋"/>
                <w:color w:val="auto"/>
                <w:kern w:val="0"/>
                <w:sz w:val="24"/>
                <w:szCs w:val="24"/>
              </w:rPr>
              <w:t xml:space="preserve">       政府采购项目货物（服务）验收报告单</w:t>
            </w:r>
          </w:p>
        </w:tc>
      </w:tr>
      <w:tr w14:paraId="2058BB13">
        <w:tblPrEx>
          <w:tblCellMar>
            <w:top w:w="0" w:type="dxa"/>
            <w:left w:w="108" w:type="dxa"/>
            <w:bottom w:w="0" w:type="dxa"/>
            <w:right w:w="108" w:type="dxa"/>
          </w:tblCellMar>
        </w:tblPrEx>
        <w:trPr>
          <w:trHeight w:val="540" w:hRule="atLeast"/>
        </w:trPr>
        <w:tc>
          <w:tcPr>
            <w:tcW w:w="1712" w:type="dxa"/>
            <w:tcBorders>
              <w:top w:val="single" w:color="auto" w:sz="8" w:space="0"/>
              <w:left w:val="single" w:color="auto" w:sz="8" w:space="0"/>
              <w:bottom w:val="single" w:color="auto" w:sz="4" w:space="0"/>
              <w:right w:val="single" w:color="auto" w:sz="4" w:space="0"/>
            </w:tcBorders>
            <w:noWrap w:val="0"/>
            <w:vAlign w:val="center"/>
          </w:tcPr>
          <w:p w14:paraId="27FE2A31">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采购单位</w:t>
            </w:r>
          </w:p>
        </w:tc>
        <w:tc>
          <w:tcPr>
            <w:tcW w:w="7574" w:type="dxa"/>
            <w:gridSpan w:val="3"/>
            <w:tcBorders>
              <w:top w:val="single" w:color="auto" w:sz="8" w:space="0"/>
              <w:left w:val="nil"/>
              <w:bottom w:val="single" w:color="auto" w:sz="4" w:space="0"/>
              <w:right w:val="single" w:color="000000" w:sz="8" w:space="0"/>
            </w:tcBorders>
            <w:noWrap w:val="0"/>
            <w:vAlign w:val="center"/>
          </w:tcPr>
          <w:p w14:paraId="585B01C9">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0E0B4C7B">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0"/>
            <w:vAlign w:val="center"/>
          </w:tcPr>
          <w:p w14:paraId="1B0BB622">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采购项目</w:t>
            </w:r>
          </w:p>
        </w:tc>
        <w:tc>
          <w:tcPr>
            <w:tcW w:w="7574" w:type="dxa"/>
            <w:gridSpan w:val="3"/>
            <w:tcBorders>
              <w:top w:val="single" w:color="auto" w:sz="4" w:space="0"/>
              <w:left w:val="nil"/>
              <w:bottom w:val="single" w:color="auto" w:sz="4" w:space="0"/>
              <w:right w:val="single" w:color="000000" w:sz="8" w:space="0"/>
            </w:tcBorders>
            <w:noWrap w:val="0"/>
            <w:vAlign w:val="center"/>
          </w:tcPr>
          <w:p w14:paraId="7F78E41B">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7E5E703D">
        <w:tblPrEx>
          <w:tblCellMar>
            <w:top w:w="0" w:type="dxa"/>
            <w:left w:w="108" w:type="dxa"/>
            <w:bottom w:w="0" w:type="dxa"/>
            <w:right w:w="108" w:type="dxa"/>
          </w:tblCellMar>
        </w:tblPrEx>
        <w:trPr>
          <w:trHeight w:val="540" w:hRule="atLeast"/>
        </w:trPr>
        <w:tc>
          <w:tcPr>
            <w:tcW w:w="1712" w:type="dxa"/>
            <w:vMerge w:val="restart"/>
            <w:tcBorders>
              <w:top w:val="nil"/>
              <w:left w:val="single" w:color="auto" w:sz="8" w:space="0"/>
              <w:bottom w:val="single" w:color="auto" w:sz="4" w:space="0"/>
              <w:right w:val="single" w:color="auto" w:sz="4" w:space="0"/>
            </w:tcBorders>
            <w:noWrap w:val="0"/>
            <w:vAlign w:val="center"/>
          </w:tcPr>
          <w:p w14:paraId="7B593ED1">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项目编号</w:t>
            </w:r>
          </w:p>
        </w:tc>
        <w:tc>
          <w:tcPr>
            <w:tcW w:w="2505" w:type="dxa"/>
            <w:vMerge w:val="restart"/>
            <w:tcBorders>
              <w:top w:val="nil"/>
              <w:left w:val="single" w:color="auto" w:sz="4" w:space="0"/>
              <w:bottom w:val="single" w:color="auto" w:sz="4" w:space="0"/>
              <w:right w:val="single" w:color="auto" w:sz="4" w:space="0"/>
            </w:tcBorders>
            <w:noWrap w:val="0"/>
            <w:vAlign w:val="center"/>
          </w:tcPr>
          <w:p w14:paraId="2658E053">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single" w:color="auto" w:sz="4" w:space="0"/>
              <w:right w:val="single" w:color="auto" w:sz="4" w:space="0"/>
            </w:tcBorders>
            <w:noWrap w:val="0"/>
            <w:vAlign w:val="center"/>
          </w:tcPr>
          <w:p w14:paraId="65CE0227">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合同金额</w:t>
            </w:r>
          </w:p>
        </w:tc>
        <w:tc>
          <w:tcPr>
            <w:tcW w:w="2318" w:type="dxa"/>
            <w:tcBorders>
              <w:top w:val="nil"/>
              <w:left w:val="nil"/>
              <w:bottom w:val="single" w:color="auto" w:sz="4" w:space="0"/>
              <w:right w:val="single" w:color="auto" w:sz="8" w:space="0"/>
            </w:tcBorders>
            <w:noWrap w:val="0"/>
            <w:vAlign w:val="center"/>
          </w:tcPr>
          <w:p w14:paraId="3E1BC2F6">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t>
            </w:r>
          </w:p>
        </w:tc>
      </w:tr>
      <w:tr w14:paraId="150B4B3B">
        <w:tblPrEx>
          <w:tblCellMar>
            <w:top w:w="0" w:type="dxa"/>
            <w:left w:w="108" w:type="dxa"/>
            <w:bottom w:w="0" w:type="dxa"/>
            <w:right w:w="108" w:type="dxa"/>
          </w:tblCellMar>
        </w:tblPrEx>
        <w:trPr>
          <w:trHeight w:val="540" w:hRule="atLeast"/>
        </w:trPr>
        <w:tc>
          <w:tcPr>
            <w:tcW w:w="1712" w:type="dxa"/>
            <w:vMerge w:val="continue"/>
            <w:tcBorders>
              <w:top w:val="nil"/>
              <w:left w:val="single" w:color="auto" w:sz="8" w:space="0"/>
              <w:bottom w:val="single" w:color="auto" w:sz="4" w:space="0"/>
              <w:right w:val="single" w:color="auto" w:sz="4" w:space="0"/>
            </w:tcBorders>
            <w:noWrap w:val="0"/>
            <w:vAlign w:val="center"/>
          </w:tcPr>
          <w:p w14:paraId="29AC9698">
            <w:pPr>
              <w:widowControl/>
              <w:jc w:val="left"/>
              <w:rPr>
                <w:rFonts w:hint="eastAsia" w:ascii="仿宋" w:hAnsi="仿宋" w:eastAsia="仿宋" w:cs="仿宋"/>
                <w:color w:val="auto"/>
                <w:kern w:val="0"/>
                <w:sz w:val="24"/>
                <w:szCs w:val="24"/>
              </w:rPr>
            </w:pPr>
          </w:p>
        </w:tc>
        <w:tc>
          <w:tcPr>
            <w:tcW w:w="2505" w:type="dxa"/>
            <w:vMerge w:val="continue"/>
            <w:tcBorders>
              <w:top w:val="nil"/>
              <w:left w:val="single" w:color="auto" w:sz="4" w:space="0"/>
              <w:bottom w:val="single" w:color="auto" w:sz="4" w:space="0"/>
              <w:right w:val="single" w:color="auto" w:sz="4" w:space="0"/>
            </w:tcBorders>
            <w:noWrap w:val="0"/>
            <w:vAlign w:val="center"/>
          </w:tcPr>
          <w:p w14:paraId="27816C6D">
            <w:pPr>
              <w:widowControl/>
              <w:jc w:val="left"/>
              <w:rPr>
                <w:rFonts w:hint="eastAsia" w:ascii="仿宋" w:hAnsi="仿宋" w:eastAsia="仿宋" w:cs="仿宋"/>
                <w:color w:val="auto"/>
                <w:kern w:val="0"/>
                <w:sz w:val="24"/>
                <w:szCs w:val="24"/>
              </w:rPr>
            </w:pPr>
          </w:p>
        </w:tc>
        <w:tc>
          <w:tcPr>
            <w:tcW w:w="2751" w:type="dxa"/>
            <w:tcBorders>
              <w:top w:val="nil"/>
              <w:left w:val="nil"/>
              <w:bottom w:val="single" w:color="auto" w:sz="4" w:space="0"/>
              <w:right w:val="single" w:color="auto" w:sz="4" w:space="0"/>
            </w:tcBorders>
            <w:noWrap w:val="0"/>
            <w:vAlign w:val="center"/>
          </w:tcPr>
          <w:p w14:paraId="58B90A3D">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验收时间/地点</w:t>
            </w:r>
          </w:p>
        </w:tc>
        <w:tc>
          <w:tcPr>
            <w:tcW w:w="2318" w:type="dxa"/>
            <w:tcBorders>
              <w:top w:val="nil"/>
              <w:left w:val="nil"/>
              <w:bottom w:val="single" w:color="auto" w:sz="4" w:space="0"/>
              <w:right w:val="single" w:color="auto" w:sz="8" w:space="0"/>
            </w:tcBorders>
            <w:noWrap w:val="0"/>
            <w:vAlign w:val="center"/>
          </w:tcPr>
          <w:p w14:paraId="179CF666">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1C6CDA64">
        <w:tblPrEx>
          <w:tblCellMar>
            <w:top w:w="0" w:type="dxa"/>
            <w:left w:w="108" w:type="dxa"/>
            <w:bottom w:w="0" w:type="dxa"/>
            <w:right w:w="108" w:type="dxa"/>
          </w:tblCellMar>
        </w:tblPrEx>
        <w:trPr>
          <w:trHeight w:val="471" w:hRule="atLeast"/>
        </w:trPr>
        <w:tc>
          <w:tcPr>
            <w:tcW w:w="1712" w:type="dxa"/>
            <w:tcBorders>
              <w:top w:val="nil"/>
              <w:left w:val="single" w:color="auto" w:sz="8" w:space="0"/>
              <w:bottom w:val="single" w:color="auto" w:sz="4" w:space="0"/>
              <w:right w:val="single" w:color="auto" w:sz="4" w:space="0"/>
            </w:tcBorders>
            <w:noWrap w:val="0"/>
            <w:vAlign w:val="center"/>
          </w:tcPr>
          <w:p w14:paraId="66FFFF27">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服务单位</w:t>
            </w:r>
          </w:p>
        </w:tc>
        <w:tc>
          <w:tcPr>
            <w:tcW w:w="7574" w:type="dxa"/>
            <w:gridSpan w:val="3"/>
            <w:tcBorders>
              <w:top w:val="single" w:color="auto" w:sz="4" w:space="0"/>
              <w:left w:val="nil"/>
              <w:bottom w:val="single" w:color="auto" w:sz="4" w:space="0"/>
              <w:right w:val="single" w:color="000000" w:sz="8" w:space="0"/>
            </w:tcBorders>
            <w:noWrap w:val="0"/>
            <w:vAlign w:val="center"/>
          </w:tcPr>
          <w:p w14:paraId="3C7F0B1A">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13148686">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0"/>
            <w:vAlign w:val="center"/>
          </w:tcPr>
          <w:p w14:paraId="4DBF42C8">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开户行</w:t>
            </w:r>
          </w:p>
        </w:tc>
        <w:tc>
          <w:tcPr>
            <w:tcW w:w="2505" w:type="dxa"/>
            <w:tcBorders>
              <w:top w:val="nil"/>
              <w:left w:val="nil"/>
              <w:bottom w:val="single" w:color="auto" w:sz="4" w:space="0"/>
              <w:right w:val="single" w:color="auto" w:sz="4" w:space="0"/>
            </w:tcBorders>
            <w:noWrap w:val="0"/>
            <w:vAlign w:val="center"/>
          </w:tcPr>
          <w:p w14:paraId="69EDC6DA">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single" w:color="auto" w:sz="4" w:space="0"/>
              <w:right w:val="single" w:color="auto" w:sz="4" w:space="0"/>
            </w:tcBorders>
            <w:noWrap w:val="0"/>
            <w:vAlign w:val="center"/>
          </w:tcPr>
          <w:p w14:paraId="3991F1AD">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账号</w:t>
            </w:r>
          </w:p>
        </w:tc>
        <w:tc>
          <w:tcPr>
            <w:tcW w:w="2318" w:type="dxa"/>
            <w:tcBorders>
              <w:top w:val="nil"/>
              <w:left w:val="nil"/>
              <w:bottom w:val="single" w:color="auto" w:sz="4" w:space="0"/>
              <w:right w:val="single" w:color="auto" w:sz="8" w:space="0"/>
            </w:tcBorders>
            <w:noWrap w:val="0"/>
            <w:vAlign w:val="center"/>
          </w:tcPr>
          <w:p w14:paraId="17C659A6">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089FA807">
        <w:tblPrEx>
          <w:tblCellMar>
            <w:top w:w="0" w:type="dxa"/>
            <w:left w:w="108" w:type="dxa"/>
            <w:bottom w:w="0" w:type="dxa"/>
            <w:right w:w="108" w:type="dxa"/>
          </w:tblCellMar>
        </w:tblPrEx>
        <w:trPr>
          <w:trHeight w:val="540" w:hRule="atLeast"/>
        </w:trPr>
        <w:tc>
          <w:tcPr>
            <w:tcW w:w="1712" w:type="dxa"/>
            <w:tcBorders>
              <w:top w:val="nil"/>
              <w:left w:val="single" w:color="auto" w:sz="8" w:space="0"/>
              <w:bottom w:val="nil"/>
              <w:right w:val="single" w:color="auto" w:sz="4" w:space="0"/>
            </w:tcBorders>
            <w:noWrap w:val="0"/>
            <w:vAlign w:val="center"/>
          </w:tcPr>
          <w:p w14:paraId="37A09BB0">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联系人</w:t>
            </w:r>
          </w:p>
        </w:tc>
        <w:tc>
          <w:tcPr>
            <w:tcW w:w="2505" w:type="dxa"/>
            <w:tcBorders>
              <w:top w:val="nil"/>
              <w:left w:val="nil"/>
              <w:bottom w:val="nil"/>
              <w:right w:val="single" w:color="auto" w:sz="4" w:space="0"/>
            </w:tcBorders>
            <w:noWrap w:val="0"/>
            <w:vAlign w:val="center"/>
          </w:tcPr>
          <w:p w14:paraId="5F2E08A5">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nil"/>
              <w:right w:val="single" w:color="auto" w:sz="4" w:space="0"/>
            </w:tcBorders>
            <w:noWrap w:val="0"/>
            <w:vAlign w:val="center"/>
          </w:tcPr>
          <w:p w14:paraId="2BB92C24">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电话</w:t>
            </w:r>
          </w:p>
        </w:tc>
        <w:tc>
          <w:tcPr>
            <w:tcW w:w="2318" w:type="dxa"/>
            <w:tcBorders>
              <w:top w:val="nil"/>
              <w:left w:val="nil"/>
              <w:bottom w:val="nil"/>
              <w:right w:val="single" w:color="auto" w:sz="8" w:space="0"/>
            </w:tcBorders>
            <w:noWrap w:val="0"/>
            <w:vAlign w:val="center"/>
          </w:tcPr>
          <w:p w14:paraId="312A9BA7">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572E6067">
        <w:tblPrEx>
          <w:tblCellMar>
            <w:top w:w="0" w:type="dxa"/>
            <w:left w:w="108" w:type="dxa"/>
            <w:bottom w:w="0" w:type="dxa"/>
            <w:right w:w="108" w:type="dxa"/>
          </w:tblCellMar>
        </w:tblPrEx>
        <w:trPr>
          <w:trHeight w:val="880" w:hRule="atLeast"/>
        </w:trPr>
        <w:tc>
          <w:tcPr>
            <w:tcW w:w="4217" w:type="dxa"/>
            <w:gridSpan w:val="2"/>
            <w:tcBorders>
              <w:top w:val="single" w:color="auto" w:sz="4" w:space="0"/>
              <w:left w:val="single" w:color="auto" w:sz="8" w:space="0"/>
              <w:bottom w:val="nil"/>
              <w:right w:val="nil"/>
            </w:tcBorders>
            <w:noWrap w:val="0"/>
            <w:vAlign w:val="top"/>
          </w:tcPr>
          <w:p w14:paraId="0A1BB484">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供货（服务）单位：（盖章）</w:t>
            </w:r>
          </w:p>
        </w:tc>
        <w:tc>
          <w:tcPr>
            <w:tcW w:w="5069" w:type="dxa"/>
            <w:gridSpan w:val="2"/>
            <w:tcBorders>
              <w:top w:val="single" w:color="auto" w:sz="4" w:space="0"/>
              <w:left w:val="single" w:color="auto" w:sz="4" w:space="0"/>
              <w:bottom w:val="nil"/>
              <w:right w:val="single" w:color="000000" w:sz="8" w:space="0"/>
            </w:tcBorders>
            <w:noWrap w:val="0"/>
            <w:vAlign w:val="top"/>
          </w:tcPr>
          <w:p w14:paraId="58D51B32">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使用单位验收意见：（盖章）</w:t>
            </w:r>
          </w:p>
          <w:p w14:paraId="20979287">
            <w:pPr>
              <w:rPr>
                <w:rFonts w:hint="eastAsia" w:ascii="仿宋" w:hAnsi="仿宋" w:eastAsia="仿宋" w:cs="仿宋"/>
                <w:color w:val="auto"/>
                <w:sz w:val="24"/>
                <w:szCs w:val="24"/>
              </w:rPr>
            </w:pPr>
          </w:p>
        </w:tc>
      </w:tr>
      <w:tr w14:paraId="724887AA">
        <w:tblPrEx>
          <w:tblCellMar>
            <w:top w:w="0" w:type="dxa"/>
            <w:left w:w="108" w:type="dxa"/>
            <w:bottom w:w="0" w:type="dxa"/>
            <w:right w:w="108" w:type="dxa"/>
          </w:tblCellMar>
        </w:tblPrEx>
        <w:trPr>
          <w:trHeight w:val="480" w:hRule="atLeast"/>
        </w:trPr>
        <w:tc>
          <w:tcPr>
            <w:tcW w:w="1712" w:type="dxa"/>
            <w:tcBorders>
              <w:top w:val="nil"/>
              <w:left w:val="single" w:color="auto" w:sz="8" w:space="0"/>
              <w:bottom w:val="nil"/>
              <w:right w:val="nil"/>
            </w:tcBorders>
            <w:noWrap w:val="0"/>
            <w:vAlign w:val="center"/>
          </w:tcPr>
          <w:p w14:paraId="6F75C184">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签字：</w:t>
            </w:r>
          </w:p>
        </w:tc>
        <w:tc>
          <w:tcPr>
            <w:tcW w:w="2505" w:type="dxa"/>
            <w:tcBorders>
              <w:top w:val="nil"/>
              <w:left w:val="nil"/>
              <w:bottom w:val="nil"/>
              <w:right w:val="nil"/>
            </w:tcBorders>
            <w:noWrap w:val="0"/>
            <w:vAlign w:val="center"/>
          </w:tcPr>
          <w:p w14:paraId="7FEFD7B3">
            <w:pPr>
              <w:widowControl/>
              <w:jc w:val="center"/>
              <w:rPr>
                <w:rFonts w:hint="eastAsia" w:ascii="仿宋" w:hAnsi="仿宋" w:eastAsia="仿宋" w:cs="仿宋"/>
                <w:color w:val="auto"/>
                <w:kern w:val="0"/>
                <w:sz w:val="24"/>
                <w:szCs w:val="24"/>
              </w:rPr>
            </w:pPr>
          </w:p>
        </w:tc>
        <w:tc>
          <w:tcPr>
            <w:tcW w:w="2751" w:type="dxa"/>
            <w:tcBorders>
              <w:top w:val="nil"/>
              <w:left w:val="single" w:color="auto" w:sz="4" w:space="0"/>
              <w:bottom w:val="nil"/>
              <w:right w:val="nil"/>
            </w:tcBorders>
            <w:noWrap w:val="0"/>
            <w:vAlign w:val="center"/>
          </w:tcPr>
          <w:p w14:paraId="409D66C6">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签字：</w:t>
            </w:r>
          </w:p>
        </w:tc>
        <w:tc>
          <w:tcPr>
            <w:tcW w:w="2318" w:type="dxa"/>
            <w:tcBorders>
              <w:top w:val="nil"/>
              <w:left w:val="nil"/>
              <w:bottom w:val="nil"/>
              <w:right w:val="single" w:color="auto" w:sz="8" w:space="0"/>
            </w:tcBorders>
            <w:noWrap w:val="0"/>
            <w:vAlign w:val="top"/>
          </w:tcPr>
          <w:p w14:paraId="785AFFE4">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2E7D24DE">
        <w:tblPrEx>
          <w:tblCellMar>
            <w:top w:w="0" w:type="dxa"/>
            <w:left w:w="108" w:type="dxa"/>
            <w:bottom w:w="0" w:type="dxa"/>
            <w:right w:w="108" w:type="dxa"/>
          </w:tblCellMar>
        </w:tblPrEx>
        <w:trPr>
          <w:trHeight w:val="78" w:hRule="atLeast"/>
        </w:trPr>
        <w:tc>
          <w:tcPr>
            <w:tcW w:w="1712" w:type="dxa"/>
            <w:tcBorders>
              <w:top w:val="nil"/>
              <w:left w:val="single" w:color="auto" w:sz="8" w:space="0"/>
              <w:bottom w:val="single" w:color="auto" w:sz="4" w:space="0"/>
              <w:right w:val="nil"/>
            </w:tcBorders>
            <w:noWrap w:val="0"/>
            <w:vAlign w:val="center"/>
          </w:tcPr>
          <w:p w14:paraId="401F15EE">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505" w:type="dxa"/>
            <w:tcBorders>
              <w:top w:val="nil"/>
              <w:left w:val="nil"/>
              <w:bottom w:val="single" w:color="auto" w:sz="4" w:space="0"/>
              <w:right w:val="nil"/>
            </w:tcBorders>
            <w:noWrap w:val="0"/>
            <w:vAlign w:val="bottom"/>
          </w:tcPr>
          <w:p w14:paraId="69E9907A">
            <w:pPr>
              <w:widowControl/>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年     月   日</w:t>
            </w:r>
          </w:p>
        </w:tc>
        <w:tc>
          <w:tcPr>
            <w:tcW w:w="2751" w:type="dxa"/>
            <w:tcBorders>
              <w:top w:val="nil"/>
              <w:left w:val="single" w:color="auto" w:sz="4" w:space="0"/>
              <w:bottom w:val="single" w:color="auto" w:sz="4" w:space="0"/>
              <w:right w:val="nil"/>
            </w:tcBorders>
            <w:noWrap w:val="0"/>
            <w:vAlign w:val="center"/>
          </w:tcPr>
          <w:p w14:paraId="14F8D1F7">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318" w:type="dxa"/>
            <w:tcBorders>
              <w:top w:val="nil"/>
              <w:left w:val="nil"/>
              <w:bottom w:val="single" w:color="auto" w:sz="4" w:space="0"/>
              <w:right w:val="single" w:color="auto" w:sz="8" w:space="0"/>
            </w:tcBorders>
            <w:noWrap w:val="0"/>
            <w:vAlign w:val="bottom"/>
          </w:tcPr>
          <w:p w14:paraId="507076B3">
            <w:pPr>
              <w:widowControl/>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年   月   日</w:t>
            </w:r>
          </w:p>
        </w:tc>
      </w:tr>
      <w:tr w14:paraId="3581D3AA">
        <w:tblPrEx>
          <w:tblCellMar>
            <w:top w:w="0" w:type="dxa"/>
            <w:left w:w="108" w:type="dxa"/>
            <w:bottom w:w="0" w:type="dxa"/>
            <w:right w:w="108" w:type="dxa"/>
          </w:tblCellMar>
        </w:tblPrEx>
        <w:trPr>
          <w:trHeight w:val="603" w:hRule="atLeast"/>
        </w:trPr>
        <w:tc>
          <w:tcPr>
            <w:tcW w:w="9286" w:type="dxa"/>
            <w:gridSpan w:val="4"/>
            <w:tcBorders>
              <w:top w:val="single" w:color="auto" w:sz="4" w:space="0"/>
              <w:left w:val="single" w:color="auto" w:sz="8" w:space="0"/>
              <w:bottom w:val="single" w:color="auto" w:sz="4" w:space="0"/>
              <w:right w:val="single" w:color="000000" w:sz="8" w:space="0"/>
            </w:tcBorders>
            <w:noWrap w:val="0"/>
            <w:vAlign w:val="center"/>
          </w:tcPr>
          <w:p w14:paraId="003A3BC5">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采购内容</w:t>
            </w:r>
          </w:p>
        </w:tc>
      </w:tr>
      <w:tr w14:paraId="4D6DDF60">
        <w:tblPrEx>
          <w:tblCellMar>
            <w:top w:w="0" w:type="dxa"/>
            <w:left w:w="108" w:type="dxa"/>
            <w:bottom w:w="0" w:type="dxa"/>
            <w:right w:w="108" w:type="dxa"/>
          </w:tblCellMar>
        </w:tblPrEx>
        <w:trPr>
          <w:trHeight w:val="1975" w:hRule="atLeast"/>
        </w:trPr>
        <w:tc>
          <w:tcPr>
            <w:tcW w:w="9286" w:type="dxa"/>
            <w:gridSpan w:val="4"/>
            <w:tcBorders>
              <w:top w:val="single" w:color="auto" w:sz="4" w:space="0"/>
              <w:left w:val="single" w:color="auto" w:sz="8" w:space="0"/>
              <w:bottom w:val="single" w:color="auto" w:sz="8" w:space="0"/>
              <w:right w:val="single" w:color="000000" w:sz="8" w:space="0"/>
            </w:tcBorders>
            <w:noWrap w:val="0"/>
            <w:vAlign w:val="top"/>
          </w:tcPr>
          <w:p w14:paraId="620388BC">
            <w:pPr>
              <w:widowControl/>
              <w:rPr>
                <w:rFonts w:hint="eastAsia" w:ascii="仿宋" w:hAnsi="仿宋" w:eastAsia="仿宋" w:cs="仿宋"/>
                <w:color w:val="auto"/>
                <w:kern w:val="0"/>
                <w:sz w:val="24"/>
                <w:szCs w:val="24"/>
              </w:rPr>
            </w:pPr>
          </w:p>
        </w:tc>
      </w:tr>
    </w:tbl>
    <w:p w14:paraId="56CE05C5">
      <w:pPr>
        <w:pStyle w:val="6"/>
        <w:rPr>
          <w:rFonts w:hint="eastAsia" w:ascii="仿宋" w:hAnsi="仿宋" w:eastAsia="仿宋" w:cs="仿宋"/>
          <w:color w:val="auto"/>
          <w:sz w:val="24"/>
          <w:szCs w:val="24"/>
          <w:lang w:val="en-US" w:eastAsia="zh-Hans"/>
        </w:rPr>
      </w:pPr>
    </w:p>
    <w:p w14:paraId="6C4985F7">
      <w:pPr>
        <w:pStyle w:val="2"/>
        <w:rPr>
          <w:rFonts w:hint="eastAsia" w:ascii="仿宋" w:hAnsi="仿宋" w:eastAsia="仿宋" w:cs="仿宋"/>
          <w:b w:val="0"/>
          <w:bCs w:val="0"/>
          <w:snapToGrid w:val="0"/>
          <w:color w:val="auto"/>
          <w:spacing w:val="2"/>
          <w:kern w:val="0"/>
          <w:sz w:val="24"/>
          <w:szCs w:val="24"/>
          <w:lang w:val="en-US" w:eastAsia="zh-CN" w:bidi="ar-SA"/>
        </w:rPr>
      </w:pPr>
    </w:p>
    <w:p w14:paraId="0D5CA072">
      <w:pPr>
        <w:pStyle w:val="2"/>
        <w:rPr>
          <w:rFonts w:hint="eastAsia" w:ascii="仿宋" w:hAnsi="仿宋" w:eastAsia="仿宋" w:cs="仿宋"/>
          <w:b w:val="0"/>
          <w:bCs w:val="0"/>
          <w:snapToGrid w:val="0"/>
          <w:color w:val="auto"/>
          <w:spacing w:val="2"/>
          <w:kern w:val="0"/>
          <w:sz w:val="24"/>
          <w:szCs w:val="24"/>
          <w:lang w:val="en-US" w:eastAsia="zh-CN" w:bidi="ar-SA"/>
        </w:rPr>
      </w:pPr>
    </w:p>
    <w:p w14:paraId="7CBDEBDC"/>
    <w:p w14:paraId="37A27393">
      <w:pPr>
        <w:pStyle w:val="6"/>
        <w:rPr>
          <w:rFonts w:ascii="仿宋_GB2312" w:hAnsi="仿宋_GB2312" w:eastAsia="仿宋_GB2312" w:cs="仿宋_GB2312"/>
        </w:rPr>
      </w:pPr>
    </w:p>
    <w:p w14:paraId="55DFCCAC"/>
    <w:sectPr>
      <w:pgSz w:w="11905" w:h="16838"/>
      <w:pgMar w:top="1276" w:right="1049" w:bottom="1157" w:left="998" w:header="1077" w:footer="992" w:gutter="0"/>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C56FA3"/>
    <w:rsid w:val="08C56FA3"/>
    <w:rsid w:val="0E6F5972"/>
    <w:rsid w:val="1B2800A7"/>
    <w:rsid w:val="630E4191"/>
    <w:rsid w:val="6BC75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3">
    <w:name w:val="Normal (Web)"/>
    <w:basedOn w:val="1"/>
    <w:next w:val="2"/>
    <w:unhideWhenUsed/>
    <w:qFormat/>
    <w:uiPriority w:val="0"/>
    <w:pPr>
      <w:spacing w:beforeAutospacing="1" w:afterAutospacing="1"/>
      <w:jc w:val="left"/>
    </w:pPr>
    <w:rPr>
      <w:kern w:val="0"/>
      <w:sz w:val="24"/>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 w:type="paragraph" w:customStyle="1" w:styleId="7">
    <w:name w:val="Heading #3|1"/>
    <w:basedOn w:val="1"/>
    <w:qFormat/>
    <w:uiPriority w:val="0"/>
    <w:pPr>
      <w:spacing w:after="320"/>
      <w:ind w:firstLine="260"/>
      <w:outlineLvl w:val="2"/>
    </w:pPr>
    <w:rPr>
      <w:rFonts w:ascii="宋体" w:hAnsi="宋体" w:eastAsia="宋体" w:cs="宋体"/>
      <w:sz w:val="32"/>
      <w:szCs w:val="32"/>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2889</Words>
  <Characters>2934</Characters>
  <Lines>0</Lines>
  <Paragraphs>0</Paragraphs>
  <TotalTime>0</TotalTime>
  <ScaleCrop>false</ScaleCrop>
  <LinksUpToDate>false</LinksUpToDate>
  <CharactersWithSpaces>3164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2025-06-18T03:24:00Z</dcterms:created>
  <dc:creator>BOOM！</dc:creator>
  <cp:lastModifiedBy>望仔</cp:lastModifiedBy>
  <dcterms:modified xsi:type="dcterms:W3CDTF">2026-06-08T04:09:52Z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37179AA3185945D6A283E521A83A186D_13</vt:lpwstr>
  </property>
  <property fmtid="{D5CDD505-2E9C-101B-9397-08002B2CF9AE}" pid="4" name="KSOTemplateDocerSaveRecord">
    <vt:lpwstr>eyJoZGlkIjoiMDQ0NDI3NTg4NGQ3ZGE4NDM0OWQ3YzkzMjdmM2UxMTQiLCJ1c2VySWQiOiI1NTUyODEwNDQifQ==</vt:lpwstr>
  </property>
</Properties>
</file>