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EF6D4">
      <w:pPr>
        <w:pStyle w:val="2"/>
        <w:keepNext w:val="0"/>
        <w:keepLines w:val="0"/>
        <w:widowControl/>
        <w:suppressLineNumbers w:val="0"/>
        <w:jc w:val="center"/>
        <w:rPr>
          <w:rStyle w:val="5"/>
          <w:rFonts w:hint="eastAsia" w:ascii="宋体" w:hAnsi="宋体" w:eastAsia="宋体" w:cs="宋体"/>
          <w:b/>
          <w:kern w:val="0"/>
          <w:sz w:val="24"/>
          <w:szCs w:val="24"/>
          <w:lang w:val="en-US" w:eastAsia="zh-CN" w:bidi="ar"/>
        </w:rPr>
      </w:pPr>
      <w:r>
        <w:rPr>
          <w:rFonts w:hint="eastAsia"/>
          <w:lang w:eastAsia="zh-CN"/>
        </w:rPr>
        <w:t>磋商响应</w:t>
      </w:r>
      <w:r>
        <w:t>报价一览表及分项</w:t>
      </w:r>
      <w:r>
        <w:rPr>
          <w:rFonts w:hint="eastAsia"/>
          <w:lang w:eastAsia="zh-CN"/>
        </w:rPr>
        <w:t>明细</w:t>
      </w:r>
      <w:r>
        <w:t>报价</w:t>
      </w:r>
      <w:r>
        <w:rPr>
          <w:rFonts w:hint="eastAsia"/>
          <w:lang w:eastAsia="zh-CN"/>
        </w:rPr>
        <w:t>表</w:t>
      </w:r>
      <w:bookmarkStart w:id="0" w:name="_GoBack"/>
      <w:bookmarkEnd w:id="0"/>
    </w:p>
    <w:p w14:paraId="485CE6E4">
      <w:pPr>
        <w:keepNext w:val="0"/>
        <w:keepLines w:val="0"/>
        <w:widowControl/>
        <w:suppressLineNumbers w:val="0"/>
        <w:jc w:val="center"/>
      </w:pPr>
      <w:r>
        <w:rPr>
          <w:rStyle w:val="5"/>
          <w:rFonts w:hint="eastAsia" w:ascii="宋体" w:hAnsi="宋体" w:cs="宋体"/>
          <w:b w:val="0"/>
          <w:bCs/>
          <w:kern w:val="0"/>
          <w:sz w:val="36"/>
          <w:szCs w:val="36"/>
          <w:lang w:val="en-US" w:eastAsia="zh-CN" w:bidi="ar"/>
        </w:rPr>
        <w:t>响应首次</w:t>
      </w:r>
      <w:r>
        <w:rPr>
          <w:rStyle w:val="5"/>
          <w:rFonts w:ascii="宋体" w:hAnsi="宋体" w:eastAsia="宋体" w:cs="宋体"/>
          <w:b w:val="0"/>
          <w:bCs/>
          <w:kern w:val="0"/>
          <w:sz w:val="36"/>
          <w:szCs w:val="36"/>
          <w:lang w:val="en-US" w:eastAsia="zh-CN" w:bidi="ar"/>
        </w:rPr>
        <w:t>报价总表</w:t>
      </w:r>
    </w:p>
    <w:tbl>
      <w:tblPr>
        <w:tblStyle w:val="3"/>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727"/>
        <w:gridCol w:w="7839"/>
      </w:tblGrid>
      <w:tr w14:paraId="00F8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06" w:hRule="atLeast"/>
          <w:tblHeader/>
        </w:trPr>
        <w:tc>
          <w:tcPr>
            <w:tcW w:w="0" w:type="auto"/>
            <w:shd w:val="clear" w:color="auto" w:fill="auto"/>
            <w:noWrap w:val="0"/>
            <w:tcMar>
              <w:top w:w="120" w:type="dxa"/>
              <w:left w:w="120" w:type="dxa"/>
              <w:bottom w:w="120" w:type="dxa"/>
              <w:right w:w="120" w:type="dxa"/>
            </w:tcMar>
            <w:vAlign w:val="center"/>
          </w:tcPr>
          <w:p w14:paraId="000253F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项目</w:t>
            </w:r>
          </w:p>
        </w:tc>
        <w:tc>
          <w:tcPr>
            <w:tcW w:w="7839" w:type="dxa"/>
            <w:shd w:val="clear" w:color="auto" w:fill="auto"/>
            <w:noWrap w:val="0"/>
            <w:tcMar>
              <w:top w:w="120" w:type="dxa"/>
              <w:left w:w="120" w:type="dxa"/>
              <w:bottom w:w="120" w:type="dxa"/>
              <w:right w:w="120" w:type="dxa"/>
            </w:tcMar>
            <w:vAlign w:val="center"/>
          </w:tcPr>
          <w:p w14:paraId="1743BD2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内容说明</w:t>
            </w:r>
          </w:p>
        </w:tc>
      </w:tr>
      <w:tr w14:paraId="0F0DC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center"/>
          </w:tcPr>
          <w:p w14:paraId="292E37D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Style w:val="5"/>
                <w:rFonts w:ascii="宋体" w:hAnsi="宋体" w:eastAsia="宋体" w:cs="宋体"/>
                <w:kern w:val="0"/>
                <w:sz w:val="20"/>
                <w:szCs w:val="20"/>
                <w:lang w:val="en-US" w:eastAsia="zh-CN" w:bidi="ar"/>
              </w:rPr>
              <w:t>年度总报价</w:t>
            </w:r>
          </w:p>
        </w:tc>
        <w:tc>
          <w:tcPr>
            <w:tcW w:w="7839" w:type="dxa"/>
            <w:shd w:val="clear" w:color="auto" w:fill="auto"/>
            <w:noWrap w:val="0"/>
            <w:tcMar>
              <w:top w:w="120" w:type="dxa"/>
              <w:left w:w="120" w:type="dxa"/>
              <w:bottom w:w="120" w:type="dxa"/>
              <w:right w:w="120" w:type="dxa"/>
            </w:tcMar>
            <w:vAlign w:val="center"/>
          </w:tcPr>
          <w:p w14:paraId="59A39AC6">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Fonts w:ascii="宋体" w:hAnsi="宋体" w:eastAsia="宋体" w:cs="宋体"/>
                <w:kern w:val="0"/>
                <w:sz w:val="20"/>
                <w:szCs w:val="20"/>
                <w:lang w:val="en-US" w:eastAsia="zh-CN" w:bidi="ar"/>
              </w:rPr>
              <w:t>人民币__________元（大写____________________），为项目含税全包固定总价。</w:t>
            </w:r>
          </w:p>
        </w:tc>
      </w:tr>
      <w:tr w14:paraId="728E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top"/>
          </w:tcPr>
          <w:p w14:paraId="54C9311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Style w:val="5"/>
                <w:rFonts w:ascii="宋体" w:hAnsi="宋体" w:eastAsia="宋体" w:cs="宋体"/>
                <w:kern w:val="0"/>
                <w:sz w:val="20"/>
                <w:szCs w:val="20"/>
                <w:lang w:val="en-US" w:eastAsia="zh-CN" w:bidi="ar"/>
              </w:rPr>
              <w:t>报价范围说明</w:t>
            </w:r>
          </w:p>
        </w:tc>
        <w:tc>
          <w:tcPr>
            <w:tcW w:w="7839" w:type="dxa"/>
            <w:shd w:val="clear" w:color="auto" w:fill="auto"/>
            <w:noWrap w:val="0"/>
            <w:tcMar>
              <w:top w:w="120" w:type="dxa"/>
              <w:left w:w="120" w:type="dxa"/>
              <w:bottom w:w="120" w:type="dxa"/>
              <w:right w:w="120" w:type="dxa"/>
            </w:tcMar>
            <w:vAlign w:val="center"/>
          </w:tcPr>
          <w:p w14:paraId="03BF1D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firstLine="400" w:firstLineChars="200"/>
              <w:jc w:val="left"/>
              <w:textAlignment w:val="top"/>
              <w:rPr>
                <w:sz w:val="20"/>
                <w:szCs w:val="20"/>
              </w:rPr>
            </w:pPr>
            <w:r>
              <w:rPr>
                <w:rFonts w:ascii="宋体" w:hAnsi="宋体" w:eastAsia="宋体" w:cs="宋体"/>
                <w:kern w:val="0"/>
                <w:sz w:val="20"/>
                <w:szCs w:val="20"/>
                <w:lang w:val="en-US" w:eastAsia="zh-CN" w:bidi="ar"/>
              </w:rPr>
              <w:t>本报价包含本项目</w:t>
            </w:r>
            <w:r>
              <w:rPr>
                <w:rFonts w:hint="eastAsia" w:ascii="宋体" w:hAnsi="宋体" w:eastAsia="宋体" w:cs="宋体"/>
                <w:kern w:val="0"/>
                <w:sz w:val="20"/>
                <w:szCs w:val="20"/>
                <w:lang w:val="en-US" w:eastAsia="zh-CN" w:bidi="ar"/>
              </w:rPr>
              <w:t>14</w:t>
            </w:r>
            <w:r>
              <w:rPr>
                <w:rFonts w:ascii="宋体" w:hAnsi="宋体" w:eastAsia="宋体" w:cs="宋体"/>
                <w:kern w:val="0"/>
                <w:sz w:val="20"/>
                <w:szCs w:val="20"/>
                <w:lang w:val="en-US" w:eastAsia="zh-CN" w:bidi="ar"/>
              </w:rPr>
              <w:t>名岗位人员薪酬、社保、公积金、福利、加班补贴、工装装备、耗材物资、月度培训演练、应急保障、现场管理、台账运维、税费、风险备用金等履约全部成本，无遗漏、无隐形费用、无后续增项费用。</w:t>
            </w:r>
          </w:p>
        </w:tc>
      </w:tr>
      <w:tr w14:paraId="7EFE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top"/>
          </w:tcPr>
          <w:p w14:paraId="7EDD4B90">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Style w:val="5"/>
                <w:rFonts w:ascii="宋体" w:hAnsi="宋体" w:eastAsia="宋体" w:cs="宋体"/>
                <w:kern w:val="0"/>
                <w:sz w:val="20"/>
                <w:szCs w:val="20"/>
                <w:lang w:val="en-US" w:eastAsia="zh-CN" w:bidi="ar"/>
              </w:rPr>
              <w:t>首次与二次报价规则说明</w:t>
            </w:r>
          </w:p>
        </w:tc>
        <w:tc>
          <w:tcPr>
            <w:tcW w:w="7839" w:type="dxa"/>
            <w:shd w:val="clear" w:color="auto" w:fill="auto"/>
            <w:noWrap w:val="0"/>
            <w:tcMar>
              <w:top w:w="120" w:type="dxa"/>
              <w:left w:w="120" w:type="dxa"/>
              <w:bottom w:w="120" w:type="dxa"/>
              <w:right w:w="120" w:type="dxa"/>
            </w:tcMar>
            <w:vAlign w:val="center"/>
          </w:tcPr>
          <w:p w14:paraId="3B3981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firstLine="400" w:firstLineChars="200"/>
              <w:jc w:val="left"/>
              <w:textAlignment w:val="top"/>
              <w:rPr>
                <w:sz w:val="20"/>
                <w:szCs w:val="20"/>
              </w:rPr>
            </w:pPr>
            <w:r>
              <w:rPr>
                <w:rFonts w:ascii="宋体" w:hAnsi="宋体" w:eastAsia="宋体" w:cs="宋体"/>
                <w:kern w:val="0"/>
                <w:sz w:val="20"/>
                <w:szCs w:val="20"/>
                <w:lang w:val="en-US" w:eastAsia="zh-CN" w:bidi="ar"/>
              </w:rPr>
              <w:t>1. 本次首次报价为响应文件初始报价，分项报价与总报价保持唯一对应关系，总价、分项价格真实匹配。2. 本项目磋商</w:t>
            </w:r>
            <w:r>
              <w:rPr>
                <w:rFonts w:hint="eastAsia" w:ascii="宋体" w:hAnsi="宋体" w:cs="宋体"/>
                <w:kern w:val="0"/>
                <w:sz w:val="20"/>
                <w:szCs w:val="20"/>
                <w:lang w:val="en-US" w:eastAsia="zh-CN" w:bidi="ar"/>
              </w:rPr>
              <w:t>设置</w:t>
            </w:r>
            <w:r>
              <w:rPr>
                <w:rFonts w:ascii="宋体" w:hAnsi="宋体" w:eastAsia="宋体" w:cs="宋体"/>
                <w:kern w:val="0"/>
                <w:sz w:val="20"/>
                <w:szCs w:val="20"/>
                <w:lang w:val="en-US" w:eastAsia="zh-CN" w:bidi="ar"/>
              </w:rPr>
              <w:t>二次</w:t>
            </w:r>
            <w:r>
              <w:rPr>
                <w:rFonts w:hint="eastAsia" w:ascii="宋体" w:hAnsi="宋体" w:cs="宋体"/>
                <w:kern w:val="0"/>
                <w:sz w:val="20"/>
                <w:szCs w:val="20"/>
                <w:lang w:val="en-US" w:eastAsia="zh-CN" w:bidi="ar"/>
              </w:rPr>
              <w:t>（</w:t>
            </w:r>
            <w:r>
              <w:rPr>
                <w:rFonts w:ascii="宋体" w:hAnsi="宋体" w:eastAsia="宋体" w:cs="宋体"/>
                <w:kern w:val="0"/>
                <w:sz w:val="20"/>
                <w:szCs w:val="20"/>
                <w:lang w:val="en-US" w:eastAsia="zh-CN" w:bidi="ar"/>
              </w:rPr>
              <w:t>最终</w:t>
            </w:r>
            <w:r>
              <w:rPr>
                <w:rFonts w:hint="eastAsia" w:ascii="宋体" w:hAnsi="宋体" w:cs="宋体"/>
                <w:kern w:val="0"/>
                <w:sz w:val="20"/>
                <w:szCs w:val="20"/>
                <w:lang w:val="en-US" w:eastAsia="zh-CN" w:bidi="ar"/>
              </w:rPr>
              <w:t>）</w:t>
            </w:r>
            <w:r>
              <w:rPr>
                <w:rFonts w:ascii="宋体" w:hAnsi="宋体" w:eastAsia="宋体" w:cs="宋体"/>
                <w:kern w:val="0"/>
                <w:sz w:val="20"/>
                <w:szCs w:val="20"/>
                <w:lang w:val="en-US" w:eastAsia="zh-CN" w:bidi="ar"/>
              </w:rPr>
              <w:t>报价</w:t>
            </w:r>
            <w:r>
              <w:rPr>
                <w:rFonts w:hint="eastAsia" w:ascii="宋体" w:hAnsi="宋体" w:cs="宋体"/>
                <w:kern w:val="0"/>
                <w:sz w:val="20"/>
                <w:szCs w:val="20"/>
                <w:lang w:val="en-US" w:eastAsia="zh-CN" w:bidi="ar"/>
              </w:rPr>
              <w:t>机制</w:t>
            </w:r>
            <w:r>
              <w:rPr>
                <w:rFonts w:ascii="宋体" w:hAnsi="宋体" w:eastAsia="宋体" w:cs="宋体"/>
                <w:kern w:val="0"/>
                <w:sz w:val="20"/>
                <w:szCs w:val="20"/>
                <w:lang w:val="en-US" w:eastAsia="zh-CN" w:bidi="ar"/>
              </w:rPr>
              <w:t>，供应商成交后，须按照二次最终报价与首次报价的</w:t>
            </w:r>
            <w:r>
              <w:rPr>
                <w:rStyle w:val="5"/>
                <w:rFonts w:ascii="宋体" w:hAnsi="宋体" w:eastAsia="宋体" w:cs="宋体"/>
                <w:kern w:val="0"/>
                <w:sz w:val="20"/>
                <w:szCs w:val="20"/>
                <w:lang w:val="en-US" w:eastAsia="zh-CN" w:bidi="ar"/>
              </w:rPr>
              <w:t>整体下浮比例</w:t>
            </w:r>
            <w:r>
              <w:rPr>
                <w:rFonts w:ascii="宋体" w:hAnsi="宋体" w:eastAsia="宋体" w:cs="宋体"/>
                <w:kern w:val="0"/>
                <w:sz w:val="20"/>
                <w:szCs w:val="20"/>
                <w:lang w:val="en-US" w:eastAsia="zh-CN" w:bidi="ar"/>
              </w:rPr>
              <w:t>，对岗位分项报价进行同步、同比例整体下调。3. 二次报价调整仅允许整体比例下浮，</w:t>
            </w:r>
            <w:r>
              <w:rPr>
                <w:rStyle w:val="5"/>
                <w:rFonts w:ascii="宋体" w:hAnsi="宋体" w:eastAsia="宋体" w:cs="宋体"/>
                <w:kern w:val="0"/>
                <w:sz w:val="20"/>
                <w:szCs w:val="20"/>
                <w:lang w:val="en-US" w:eastAsia="zh-CN" w:bidi="ar"/>
              </w:rPr>
              <w:t>严禁调整分项报价结构、严禁单独增减任意岗位价格</w:t>
            </w:r>
            <w:r>
              <w:rPr>
                <w:rFonts w:ascii="宋体" w:hAnsi="宋体" w:eastAsia="宋体" w:cs="宋体"/>
                <w:kern w:val="0"/>
                <w:sz w:val="20"/>
                <w:szCs w:val="20"/>
                <w:lang w:val="en-US" w:eastAsia="zh-CN" w:bidi="ar"/>
              </w:rPr>
              <w:t>，不得以结构性调价方式变相改变报价体系，否则视为无效响应及违约。</w:t>
            </w:r>
          </w:p>
        </w:tc>
      </w:tr>
      <w:tr w14:paraId="35C4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top"/>
          </w:tcPr>
          <w:p w14:paraId="013F09DE">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Style w:val="5"/>
                <w:rFonts w:ascii="宋体" w:hAnsi="宋体" w:eastAsia="宋体" w:cs="宋体"/>
                <w:kern w:val="0"/>
                <w:sz w:val="20"/>
                <w:szCs w:val="20"/>
                <w:lang w:val="en-US" w:eastAsia="zh-CN" w:bidi="ar"/>
              </w:rPr>
              <w:t>报价合规</w:t>
            </w:r>
            <w:r>
              <w:rPr>
                <w:rStyle w:val="5"/>
                <w:rFonts w:hint="eastAsia" w:ascii="宋体" w:hAnsi="宋体" w:cs="宋体"/>
                <w:kern w:val="0"/>
                <w:sz w:val="20"/>
                <w:szCs w:val="20"/>
                <w:lang w:val="en-US" w:eastAsia="zh-CN" w:bidi="ar"/>
              </w:rPr>
              <w:t>约束</w:t>
            </w:r>
          </w:p>
        </w:tc>
        <w:tc>
          <w:tcPr>
            <w:tcW w:w="7839" w:type="dxa"/>
            <w:shd w:val="clear" w:color="auto" w:fill="auto"/>
            <w:noWrap w:val="0"/>
            <w:tcMar>
              <w:top w:w="120" w:type="dxa"/>
              <w:left w:w="120" w:type="dxa"/>
              <w:bottom w:w="120" w:type="dxa"/>
              <w:right w:w="120" w:type="dxa"/>
            </w:tcMar>
            <w:vAlign w:val="center"/>
          </w:tcPr>
          <w:p w14:paraId="2EA789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firstLine="400" w:firstLineChars="200"/>
              <w:jc w:val="left"/>
              <w:textAlignment w:val="top"/>
              <w:rPr>
                <w:sz w:val="20"/>
                <w:szCs w:val="20"/>
              </w:rPr>
            </w:pPr>
            <w:r>
              <w:rPr>
                <w:rFonts w:ascii="宋体" w:hAnsi="宋体" w:eastAsia="宋体" w:cs="宋体"/>
                <w:kern w:val="0"/>
                <w:sz w:val="20"/>
                <w:szCs w:val="20"/>
                <w:lang w:val="en-US" w:eastAsia="zh-CN" w:bidi="ar"/>
              </w:rPr>
              <w:t>本次报价</w:t>
            </w:r>
            <w:r>
              <w:rPr>
                <w:rFonts w:hint="eastAsia" w:ascii="宋体" w:hAnsi="宋体" w:cs="宋体"/>
                <w:kern w:val="0"/>
                <w:sz w:val="20"/>
                <w:szCs w:val="20"/>
                <w:lang w:val="en-US" w:eastAsia="zh-CN" w:bidi="ar"/>
              </w:rPr>
              <w:t>须</w:t>
            </w:r>
            <w:r>
              <w:rPr>
                <w:rFonts w:ascii="宋体" w:hAnsi="宋体" w:eastAsia="宋体" w:cs="宋体"/>
                <w:kern w:val="0"/>
                <w:sz w:val="20"/>
                <w:szCs w:val="20"/>
                <w:lang w:val="en-US" w:eastAsia="zh-CN" w:bidi="ar"/>
              </w:rPr>
              <w:t>真实、合理、合规，不低于企业成本价，无恶意低价、异常低价、围标串标报价情形，自愿接受评审小组核查、认定及相关合规约束。</w:t>
            </w:r>
          </w:p>
        </w:tc>
      </w:tr>
    </w:tbl>
    <w:p w14:paraId="2CAA2765">
      <w:pPr>
        <w:keepNext w:val="0"/>
        <w:keepLines w:val="0"/>
        <w:widowControl/>
        <w:suppressLineNumbers w:val="0"/>
        <w:jc w:val="left"/>
        <w:rPr>
          <w:rFonts w:hint="eastAsia" w:ascii="国标宋体" w:hAnsi="国标宋体" w:eastAsia="国标宋体" w:cs="国标宋体"/>
          <w:sz w:val="21"/>
          <w:szCs w:val="21"/>
        </w:rPr>
      </w:pPr>
      <w:r>
        <w:rPr>
          <w:rFonts w:hint="eastAsia" w:ascii="国标宋体" w:hAnsi="国标宋体" w:eastAsia="国标宋体" w:cs="国标宋体"/>
          <w:i w:val="0"/>
          <w:iCs w:val="0"/>
          <w:caps w:val="0"/>
          <w:spacing w:val="0"/>
          <w:kern w:val="0"/>
          <w:sz w:val="21"/>
          <w:szCs w:val="21"/>
          <w:lang w:val="en-US" w:eastAsia="zh-CN" w:bidi="ar"/>
        </w:rPr>
        <w:t>最终报价评审约定：本项目二次报价为供应商最终有效报价，项目评审、得分计算及最终合同履约定价均以二次报价为准，首次报价仅作为磋商比价参考，不作为最终评审依据。</w:t>
      </w:r>
    </w:p>
    <w:p w14:paraId="1F89965A">
      <w:pPr>
        <w:keepNext w:val="0"/>
        <w:keepLines w:val="0"/>
        <w:widowControl/>
        <w:suppressLineNumbers w:val="0"/>
        <w:jc w:val="left"/>
      </w:pPr>
    </w:p>
    <w:p w14:paraId="6231B8DE">
      <w:pPr>
        <w:keepNext w:val="0"/>
        <w:keepLines w:val="0"/>
        <w:widowControl/>
        <w:suppressLineNumbers w:val="0"/>
        <w:jc w:val="left"/>
        <w:rPr>
          <w:rStyle w:val="5"/>
          <w:rFonts w:ascii="宋体" w:hAnsi="宋体" w:eastAsia="宋体" w:cs="宋体"/>
          <w:kern w:val="0"/>
          <w:sz w:val="24"/>
          <w:szCs w:val="24"/>
          <w:lang w:val="en-US" w:eastAsia="zh-CN" w:bidi="ar"/>
        </w:rPr>
      </w:pPr>
    </w:p>
    <w:p w14:paraId="115E02C2">
      <w:pPr>
        <w:keepNext w:val="0"/>
        <w:keepLines w:val="0"/>
        <w:widowControl/>
        <w:suppressLineNumbers w:val="0"/>
        <w:jc w:val="left"/>
        <w:rPr>
          <w:rStyle w:val="5"/>
          <w:rFonts w:ascii="宋体" w:hAnsi="宋体" w:eastAsia="宋体" w:cs="宋体"/>
          <w:kern w:val="0"/>
          <w:sz w:val="24"/>
          <w:szCs w:val="24"/>
          <w:lang w:val="en-US" w:eastAsia="zh-CN" w:bidi="ar"/>
        </w:rPr>
      </w:pPr>
    </w:p>
    <w:p w14:paraId="4CAC6B64">
      <w:pPr>
        <w:keepNext w:val="0"/>
        <w:keepLines w:val="0"/>
        <w:widowControl/>
        <w:suppressLineNumbers w:val="0"/>
        <w:jc w:val="left"/>
        <w:rPr>
          <w:rStyle w:val="5"/>
          <w:rFonts w:ascii="宋体" w:hAnsi="宋体" w:eastAsia="宋体" w:cs="宋体"/>
          <w:kern w:val="0"/>
          <w:sz w:val="24"/>
          <w:szCs w:val="24"/>
          <w:lang w:val="en-US" w:eastAsia="zh-CN" w:bidi="ar"/>
        </w:rPr>
      </w:pPr>
    </w:p>
    <w:p w14:paraId="3707FF64">
      <w:pPr>
        <w:keepNext w:val="0"/>
        <w:keepLines w:val="0"/>
        <w:widowControl/>
        <w:suppressLineNumbers w:val="0"/>
        <w:jc w:val="left"/>
        <w:rPr>
          <w:rStyle w:val="5"/>
          <w:rFonts w:ascii="宋体" w:hAnsi="宋体" w:eastAsia="宋体" w:cs="宋体"/>
          <w:kern w:val="0"/>
          <w:sz w:val="24"/>
          <w:szCs w:val="24"/>
          <w:lang w:val="en-US" w:eastAsia="zh-CN" w:bidi="ar"/>
        </w:rPr>
      </w:pPr>
    </w:p>
    <w:p w14:paraId="2FD06223">
      <w:pPr>
        <w:keepNext w:val="0"/>
        <w:keepLines w:val="0"/>
        <w:widowControl/>
        <w:suppressLineNumbers w:val="0"/>
        <w:jc w:val="left"/>
        <w:rPr>
          <w:rStyle w:val="5"/>
          <w:rFonts w:ascii="宋体" w:hAnsi="宋体" w:eastAsia="宋体" w:cs="宋体"/>
          <w:kern w:val="0"/>
          <w:sz w:val="24"/>
          <w:szCs w:val="24"/>
          <w:lang w:val="en-US" w:eastAsia="zh-CN" w:bidi="ar"/>
        </w:rPr>
      </w:pPr>
    </w:p>
    <w:p w14:paraId="0C475C52">
      <w:pPr>
        <w:keepNext w:val="0"/>
        <w:keepLines w:val="0"/>
        <w:widowControl/>
        <w:suppressLineNumbers w:val="0"/>
        <w:jc w:val="left"/>
        <w:rPr>
          <w:rStyle w:val="5"/>
          <w:rFonts w:ascii="宋体" w:hAnsi="宋体" w:eastAsia="宋体" w:cs="宋体"/>
          <w:kern w:val="0"/>
          <w:sz w:val="24"/>
          <w:szCs w:val="24"/>
          <w:lang w:val="en-US" w:eastAsia="zh-CN" w:bidi="ar"/>
        </w:rPr>
      </w:pPr>
    </w:p>
    <w:p w14:paraId="2C40ADEB">
      <w:pPr>
        <w:keepNext w:val="0"/>
        <w:keepLines w:val="0"/>
        <w:widowControl/>
        <w:suppressLineNumbers w:val="0"/>
        <w:jc w:val="left"/>
        <w:rPr>
          <w:rStyle w:val="5"/>
          <w:rFonts w:ascii="宋体" w:hAnsi="宋体" w:eastAsia="宋体" w:cs="宋体"/>
          <w:kern w:val="0"/>
          <w:sz w:val="24"/>
          <w:szCs w:val="24"/>
          <w:lang w:val="en-US" w:eastAsia="zh-CN" w:bidi="ar"/>
        </w:rPr>
      </w:pPr>
    </w:p>
    <w:p w14:paraId="476DB4A1">
      <w:pPr>
        <w:keepNext w:val="0"/>
        <w:keepLines w:val="0"/>
        <w:widowControl/>
        <w:suppressLineNumbers w:val="0"/>
        <w:jc w:val="left"/>
        <w:rPr>
          <w:rStyle w:val="5"/>
          <w:rFonts w:ascii="宋体" w:hAnsi="宋体" w:eastAsia="宋体" w:cs="宋体"/>
          <w:kern w:val="0"/>
          <w:sz w:val="24"/>
          <w:szCs w:val="24"/>
          <w:lang w:val="en-US" w:eastAsia="zh-CN" w:bidi="ar"/>
        </w:rPr>
      </w:pPr>
    </w:p>
    <w:p w14:paraId="1AF56E7A">
      <w:pPr>
        <w:keepNext w:val="0"/>
        <w:keepLines w:val="0"/>
        <w:widowControl/>
        <w:suppressLineNumbers w:val="0"/>
        <w:jc w:val="center"/>
        <w:rPr>
          <w:rStyle w:val="5"/>
          <w:rFonts w:ascii="宋体" w:hAnsi="宋体" w:eastAsia="宋体" w:cs="宋体"/>
          <w:b/>
          <w:bCs w:val="0"/>
          <w:kern w:val="0"/>
          <w:sz w:val="36"/>
          <w:szCs w:val="36"/>
          <w:lang w:val="en-US" w:eastAsia="zh-CN" w:bidi="ar"/>
        </w:rPr>
      </w:pPr>
      <w:r>
        <w:rPr>
          <w:rStyle w:val="5"/>
          <w:rFonts w:hint="eastAsia" w:ascii="宋体" w:hAnsi="宋体" w:cs="宋体"/>
          <w:b/>
          <w:bCs w:val="0"/>
          <w:kern w:val="0"/>
          <w:sz w:val="36"/>
          <w:szCs w:val="36"/>
          <w:lang w:val="en-US" w:eastAsia="zh-CN" w:bidi="ar"/>
        </w:rPr>
        <w:t>磋商响应首次</w:t>
      </w:r>
      <w:r>
        <w:rPr>
          <w:rStyle w:val="5"/>
          <w:rFonts w:ascii="宋体" w:hAnsi="宋体" w:eastAsia="宋体" w:cs="宋体"/>
          <w:b/>
          <w:bCs w:val="0"/>
          <w:kern w:val="0"/>
          <w:sz w:val="36"/>
          <w:szCs w:val="36"/>
          <w:lang w:val="en-US" w:eastAsia="zh-CN" w:bidi="ar"/>
        </w:rPr>
        <w:t>分项明细报价表</w:t>
      </w:r>
    </w:p>
    <w:p w14:paraId="4C6E8D97">
      <w:pPr>
        <w:keepNext w:val="0"/>
        <w:keepLines w:val="0"/>
        <w:widowControl/>
        <w:suppressLineNumbers w:val="0"/>
        <w:jc w:val="center"/>
        <w:rPr>
          <w:rStyle w:val="5"/>
          <w:rFonts w:ascii="宋体" w:hAnsi="宋体" w:eastAsia="宋体" w:cs="宋体"/>
          <w:b w:val="0"/>
          <w:bCs/>
          <w:kern w:val="0"/>
          <w:sz w:val="36"/>
          <w:szCs w:val="36"/>
          <w:lang w:val="en-US" w:eastAsia="zh-CN" w:bidi="ar"/>
        </w:rPr>
      </w:pPr>
    </w:p>
    <w:tbl>
      <w:tblPr>
        <w:tblStyle w:val="3"/>
        <w:tblW w:w="8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454"/>
        <w:gridCol w:w="687"/>
        <w:gridCol w:w="657"/>
        <w:gridCol w:w="657"/>
        <w:gridCol w:w="196"/>
        <w:gridCol w:w="956"/>
        <w:gridCol w:w="1256"/>
        <w:gridCol w:w="3694"/>
      </w:tblGrid>
      <w:tr w14:paraId="15B10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blHeader/>
        </w:trPr>
        <w:tc>
          <w:tcPr>
            <w:tcW w:w="0" w:type="auto"/>
            <w:shd w:val="clear" w:color="auto" w:fill="auto"/>
            <w:noWrap w:val="0"/>
            <w:tcMar>
              <w:top w:w="120" w:type="dxa"/>
              <w:left w:w="120" w:type="dxa"/>
              <w:bottom w:w="120" w:type="dxa"/>
              <w:right w:w="120" w:type="dxa"/>
            </w:tcMar>
            <w:vAlign w:val="center"/>
          </w:tcPr>
          <w:p w14:paraId="4FACC30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序号</w:t>
            </w:r>
          </w:p>
        </w:tc>
        <w:tc>
          <w:tcPr>
            <w:tcW w:w="687" w:type="dxa"/>
            <w:shd w:val="clear" w:color="auto" w:fill="auto"/>
            <w:noWrap w:val="0"/>
            <w:tcMar>
              <w:top w:w="120" w:type="dxa"/>
              <w:left w:w="120" w:type="dxa"/>
              <w:bottom w:w="120" w:type="dxa"/>
              <w:right w:w="120" w:type="dxa"/>
            </w:tcMar>
            <w:vAlign w:val="center"/>
          </w:tcPr>
          <w:p w14:paraId="1376721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岗位名称</w:t>
            </w:r>
          </w:p>
        </w:tc>
        <w:tc>
          <w:tcPr>
            <w:tcW w:w="657" w:type="dxa"/>
            <w:shd w:val="clear" w:color="auto" w:fill="auto"/>
            <w:noWrap w:val="0"/>
            <w:tcMar>
              <w:top w:w="120" w:type="dxa"/>
              <w:left w:w="120" w:type="dxa"/>
              <w:bottom w:w="120" w:type="dxa"/>
              <w:right w:w="120" w:type="dxa"/>
            </w:tcMar>
            <w:vAlign w:val="center"/>
          </w:tcPr>
          <w:p w14:paraId="3DCF965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配置人数</w:t>
            </w:r>
          </w:p>
        </w:tc>
        <w:tc>
          <w:tcPr>
            <w:tcW w:w="853" w:type="dxa"/>
            <w:gridSpan w:val="2"/>
            <w:shd w:val="clear" w:color="auto" w:fill="auto"/>
            <w:noWrap w:val="0"/>
            <w:tcMar>
              <w:top w:w="120" w:type="dxa"/>
              <w:left w:w="120" w:type="dxa"/>
              <w:bottom w:w="120" w:type="dxa"/>
              <w:right w:w="120" w:type="dxa"/>
            </w:tcMar>
            <w:vAlign w:val="center"/>
          </w:tcPr>
          <w:p w14:paraId="1BD1C0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单人</w:t>
            </w:r>
            <w:r>
              <w:rPr>
                <w:rFonts w:hint="eastAsia" w:ascii="宋体" w:hAnsi="宋体" w:cs="宋体"/>
                <w:kern w:val="0"/>
                <w:sz w:val="20"/>
                <w:szCs w:val="20"/>
                <w:lang w:val="en-US" w:eastAsia="zh-CN" w:bidi="ar"/>
              </w:rPr>
              <w:t>每月</w:t>
            </w:r>
            <w:r>
              <w:rPr>
                <w:rFonts w:ascii="宋体" w:hAnsi="宋体" w:eastAsia="宋体" w:cs="宋体"/>
                <w:kern w:val="0"/>
                <w:sz w:val="20"/>
                <w:szCs w:val="20"/>
                <w:lang w:val="en-US" w:eastAsia="zh-CN" w:bidi="ar"/>
              </w:rPr>
              <w:t>费用（元）</w:t>
            </w:r>
          </w:p>
        </w:tc>
        <w:tc>
          <w:tcPr>
            <w:tcW w:w="956" w:type="dxa"/>
            <w:shd w:val="clear" w:color="auto" w:fill="auto"/>
            <w:noWrap w:val="0"/>
            <w:tcMar>
              <w:top w:w="120" w:type="dxa"/>
              <w:left w:w="120" w:type="dxa"/>
              <w:bottom w:w="120" w:type="dxa"/>
              <w:right w:w="120" w:type="dxa"/>
            </w:tcMar>
            <w:vAlign w:val="center"/>
          </w:tcPr>
          <w:p w14:paraId="3760AF8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单人年度费用（元）</w:t>
            </w:r>
          </w:p>
        </w:tc>
        <w:tc>
          <w:tcPr>
            <w:tcW w:w="1256" w:type="dxa"/>
            <w:shd w:val="clear" w:color="auto" w:fill="auto"/>
            <w:noWrap w:val="0"/>
            <w:tcMar>
              <w:top w:w="120" w:type="dxa"/>
              <w:left w:w="120" w:type="dxa"/>
              <w:bottom w:w="120" w:type="dxa"/>
              <w:right w:w="120" w:type="dxa"/>
            </w:tcMar>
            <w:vAlign w:val="center"/>
          </w:tcPr>
          <w:p w14:paraId="4F28F7E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岗位年度合计费用（元）</w:t>
            </w:r>
          </w:p>
        </w:tc>
        <w:tc>
          <w:tcPr>
            <w:tcW w:w="3694" w:type="dxa"/>
            <w:shd w:val="clear" w:color="auto" w:fill="auto"/>
            <w:noWrap w:val="0"/>
            <w:tcMar>
              <w:top w:w="120" w:type="dxa"/>
              <w:left w:w="120" w:type="dxa"/>
              <w:bottom w:w="120" w:type="dxa"/>
              <w:right w:w="120" w:type="dxa"/>
            </w:tcMar>
            <w:vAlign w:val="center"/>
          </w:tcPr>
          <w:p w14:paraId="5B223A6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费用说明（含薪酬、社保、工装耗材、培训管理、应急运维、税费等全部全包费用）</w:t>
            </w:r>
          </w:p>
        </w:tc>
      </w:tr>
      <w:tr w14:paraId="30D4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center"/>
          </w:tcPr>
          <w:p w14:paraId="0429CC7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1</w:t>
            </w:r>
          </w:p>
        </w:tc>
        <w:tc>
          <w:tcPr>
            <w:tcW w:w="687" w:type="dxa"/>
            <w:shd w:val="clear" w:color="auto" w:fill="auto"/>
            <w:noWrap w:val="0"/>
            <w:tcMar>
              <w:top w:w="120" w:type="dxa"/>
              <w:left w:w="120" w:type="dxa"/>
              <w:bottom w:w="120" w:type="dxa"/>
              <w:right w:w="120" w:type="dxa"/>
            </w:tcMar>
            <w:vAlign w:val="center"/>
          </w:tcPr>
          <w:p w14:paraId="7941116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安保队长</w:t>
            </w:r>
          </w:p>
        </w:tc>
        <w:tc>
          <w:tcPr>
            <w:tcW w:w="657" w:type="dxa"/>
            <w:shd w:val="clear" w:color="auto" w:fill="auto"/>
            <w:noWrap w:val="0"/>
            <w:tcMar>
              <w:top w:w="120" w:type="dxa"/>
              <w:left w:w="120" w:type="dxa"/>
              <w:bottom w:w="120" w:type="dxa"/>
              <w:right w:w="120" w:type="dxa"/>
            </w:tcMar>
            <w:vAlign w:val="center"/>
          </w:tcPr>
          <w:p w14:paraId="596F860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1</w:t>
            </w:r>
          </w:p>
        </w:tc>
        <w:tc>
          <w:tcPr>
            <w:tcW w:w="657" w:type="dxa"/>
            <w:shd w:val="clear" w:color="auto" w:fill="auto"/>
            <w:noWrap w:val="0"/>
            <w:tcMar>
              <w:top w:w="120" w:type="dxa"/>
              <w:left w:w="120" w:type="dxa"/>
              <w:bottom w:w="120" w:type="dxa"/>
              <w:right w:w="120" w:type="dxa"/>
            </w:tcMar>
            <w:vAlign w:val="center"/>
          </w:tcPr>
          <w:p w14:paraId="6198AA5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152" w:type="dxa"/>
            <w:gridSpan w:val="2"/>
            <w:shd w:val="clear" w:color="auto" w:fill="auto"/>
            <w:noWrap w:val="0"/>
            <w:tcMar>
              <w:top w:w="120" w:type="dxa"/>
              <w:left w:w="120" w:type="dxa"/>
              <w:bottom w:w="120" w:type="dxa"/>
              <w:right w:w="120" w:type="dxa"/>
            </w:tcMar>
            <w:vAlign w:val="center"/>
          </w:tcPr>
          <w:p w14:paraId="2E51A75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256" w:type="dxa"/>
            <w:shd w:val="clear" w:color="auto" w:fill="auto"/>
            <w:noWrap w:val="0"/>
            <w:tcMar>
              <w:top w:w="120" w:type="dxa"/>
              <w:left w:w="120" w:type="dxa"/>
              <w:bottom w:w="120" w:type="dxa"/>
              <w:right w:w="120" w:type="dxa"/>
            </w:tcMar>
            <w:vAlign w:val="center"/>
          </w:tcPr>
          <w:p w14:paraId="6A8CC82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3694" w:type="dxa"/>
            <w:shd w:val="clear" w:color="auto" w:fill="auto"/>
            <w:noWrap w:val="0"/>
            <w:tcMar>
              <w:top w:w="120" w:type="dxa"/>
              <w:left w:w="120" w:type="dxa"/>
              <w:bottom w:w="120" w:type="dxa"/>
              <w:right w:w="120" w:type="dxa"/>
            </w:tcMar>
            <w:vAlign w:val="top"/>
          </w:tcPr>
          <w:p w14:paraId="229FAAA8">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Fonts w:ascii="宋体" w:hAnsi="宋体" w:eastAsia="宋体" w:cs="宋体"/>
                <w:kern w:val="0"/>
                <w:sz w:val="20"/>
                <w:szCs w:val="20"/>
                <w:lang w:val="en-US" w:eastAsia="zh-CN" w:bidi="ar"/>
              </w:rPr>
              <w:t>包含岗位工资、绩效、社保、福利、项目管理、应急处置、培训考核、工装耗材、税费等全部履约费用</w:t>
            </w:r>
          </w:p>
        </w:tc>
      </w:tr>
      <w:tr w14:paraId="5ADA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center"/>
          </w:tcPr>
          <w:p w14:paraId="43AFD2E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2</w:t>
            </w:r>
          </w:p>
        </w:tc>
        <w:tc>
          <w:tcPr>
            <w:tcW w:w="687" w:type="dxa"/>
            <w:shd w:val="clear" w:color="auto" w:fill="auto"/>
            <w:noWrap w:val="0"/>
            <w:tcMar>
              <w:top w:w="120" w:type="dxa"/>
              <w:left w:w="120" w:type="dxa"/>
              <w:bottom w:w="120" w:type="dxa"/>
              <w:right w:w="120" w:type="dxa"/>
            </w:tcMar>
            <w:vAlign w:val="center"/>
          </w:tcPr>
          <w:p w14:paraId="57FB9DD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新院区门卫巡逻岗</w:t>
            </w:r>
          </w:p>
        </w:tc>
        <w:tc>
          <w:tcPr>
            <w:tcW w:w="657" w:type="dxa"/>
            <w:shd w:val="clear" w:color="auto" w:fill="auto"/>
            <w:noWrap w:val="0"/>
            <w:tcMar>
              <w:top w:w="120" w:type="dxa"/>
              <w:left w:w="120" w:type="dxa"/>
              <w:bottom w:w="120" w:type="dxa"/>
              <w:right w:w="120" w:type="dxa"/>
            </w:tcMar>
            <w:vAlign w:val="center"/>
          </w:tcPr>
          <w:p w14:paraId="06DCD60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6</w:t>
            </w:r>
          </w:p>
        </w:tc>
        <w:tc>
          <w:tcPr>
            <w:tcW w:w="657" w:type="dxa"/>
            <w:shd w:val="clear" w:color="auto" w:fill="auto"/>
            <w:noWrap w:val="0"/>
            <w:tcMar>
              <w:top w:w="120" w:type="dxa"/>
              <w:left w:w="120" w:type="dxa"/>
              <w:bottom w:w="120" w:type="dxa"/>
              <w:right w:w="120" w:type="dxa"/>
            </w:tcMar>
            <w:vAlign w:val="center"/>
          </w:tcPr>
          <w:p w14:paraId="670C689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152" w:type="dxa"/>
            <w:gridSpan w:val="2"/>
            <w:shd w:val="clear" w:color="auto" w:fill="auto"/>
            <w:noWrap w:val="0"/>
            <w:tcMar>
              <w:top w:w="120" w:type="dxa"/>
              <w:left w:w="120" w:type="dxa"/>
              <w:bottom w:w="120" w:type="dxa"/>
              <w:right w:w="120" w:type="dxa"/>
            </w:tcMar>
            <w:vAlign w:val="center"/>
          </w:tcPr>
          <w:p w14:paraId="3004C4D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256" w:type="dxa"/>
            <w:shd w:val="clear" w:color="auto" w:fill="auto"/>
            <w:noWrap w:val="0"/>
            <w:tcMar>
              <w:top w:w="120" w:type="dxa"/>
              <w:left w:w="120" w:type="dxa"/>
              <w:bottom w:w="120" w:type="dxa"/>
              <w:right w:w="120" w:type="dxa"/>
            </w:tcMar>
            <w:vAlign w:val="center"/>
          </w:tcPr>
          <w:p w14:paraId="381DF8E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3694" w:type="dxa"/>
            <w:shd w:val="clear" w:color="auto" w:fill="auto"/>
            <w:noWrap w:val="0"/>
            <w:tcMar>
              <w:top w:w="120" w:type="dxa"/>
              <w:left w:w="120" w:type="dxa"/>
              <w:bottom w:w="120" w:type="dxa"/>
              <w:right w:w="120" w:type="dxa"/>
            </w:tcMar>
            <w:vAlign w:val="top"/>
          </w:tcPr>
          <w:p w14:paraId="0BEF52F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Fonts w:ascii="宋体" w:hAnsi="宋体" w:eastAsia="宋体" w:cs="宋体"/>
                <w:kern w:val="0"/>
                <w:sz w:val="20"/>
                <w:szCs w:val="20"/>
                <w:lang w:val="en-US" w:eastAsia="zh-CN" w:bidi="ar"/>
              </w:rPr>
              <w:t>包含人员工资、加班补贴、社保劳保、巡查耗材、日常值守、岗位培训、税费等全部履约费用</w:t>
            </w:r>
          </w:p>
        </w:tc>
      </w:tr>
      <w:tr w14:paraId="45F7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center"/>
          </w:tcPr>
          <w:p w14:paraId="2335DBA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3</w:t>
            </w:r>
          </w:p>
        </w:tc>
        <w:tc>
          <w:tcPr>
            <w:tcW w:w="687" w:type="dxa"/>
            <w:shd w:val="clear" w:color="auto" w:fill="auto"/>
            <w:noWrap w:val="0"/>
            <w:tcMar>
              <w:top w:w="120" w:type="dxa"/>
              <w:left w:w="120" w:type="dxa"/>
              <w:bottom w:w="120" w:type="dxa"/>
              <w:right w:w="120" w:type="dxa"/>
            </w:tcMar>
            <w:vAlign w:val="center"/>
          </w:tcPr>
          <w:p w14:paraId="3BF0A18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新院区消防监控岗</w:t>
            </w:r>
          </w:p>
        </w:tc>
        <w:tc>
          <w:tcPr>
            <w:tcW w:w="657" w:type="dxa"/>
            <w:shd w:val="clear" w:color="auto" w:fill="auto"/>
            <w:noWrap w:val="0"/>
            <w:tcMar>
              <w:top w:w="120" w:type="dxa"/>
              <w:left w:w="120" w:type="dxa"/>
              <w:bottom w:w="120" w:type="dxa"/>
              <w:right w:w="120" w:type="dxa"/>
            </w:tcMar>
            <w:vAlign w:val="center"/>
          </w:tcPr>
          <w:p w14:paraId="04085C0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4</w:t>
            </w:r>
          </w:p>
        </w:tc>
        <w:tc>
          <w:tcPr>
            <w:tcW w:w="657" w:type="dxa"/>
            <w:shd w:val="clear" w:color="auto" w:fill="auto"/>
            <w:noWrap w:val="0"/>
            <w:tcMar>
              <w:top w:w="120" w:type="dxa"/>
              <w:left w:w="120" w:type="dxa"/>
              <w:bottom w:w="120" w:type="dxa"/>
              <w:right w:w="120" w:type="dxa"/>
            </w:tcMar>
            <w:vAlign w:val="center"/>
          </w:tcPr>
          <w:p w14:paraId="2A821DD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152" w:type="dxa"/>
            <w:gridSpan w:val="2"/>
            <w:shd w:val="clear" w:color="auto" w:fill="auto"/>
            <w:noWrap w:val="0"/>
            <w:tcMar>
              <w:top w:w="120" w:type="dxa"/>
              <w:left w:w="120" w:type="dxa"/>
              <w:bottom w:w="120" w:type="dxa"/>
              <w:right w:w="120" w:type="dxa"/>
            </w:tcMar>
            <w:vAlign w:val="center"/>
          </w:tcPr>
          <w:p w14:paraId="6D59774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256" w:type="dxa"/>
            <w:shd w:val="clear" w:color="auto" w:fill="auto"/>
            <w:noWrap w:val="0"/>
            <w:tcMar>
              <w:top w:w="120" w:type="dxa"/>
              <w:left w:w="120" w:type="dxa"/>
              <w:bottom w:w="120" w:type="dxa"/>
              <w:right w:w="120" w:type="dxa"/>
            </w:tcMar>
            <w:vAlign w:val="center"/>
          </w:tcPr>
          <w:p w14:paraId="3DEDDD6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3694" w:type="dxa"/>
            <w:shd w:val="clear" w:color="auto" w:fill="auto"/>
            <w:noWrap w:val="0"/>
            <w:tcMar>
              <w:top w:w="120" w:type="dxa"/>
              <w:left w:w="120" w:type="dxa"/>
              <w:bottom w:w="120" w:type="dxa"/>
              <w:right w:w="120" w:type="dxa"/>
            </w:tcMar>
            <w:vAlign w:val="top"/>
          </w:tcPr>
          <w:p w14:paraId="2FB6619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Fonts w:ascii="宋体" w:hAnsi="宋体" w:eastAsia="宋体" w:cs="宋体"/>
                <w:kern w:val="0"/>
                <w:sz w:val="20"/>
                <w:szCs w:val="20"/>
                <w:lang w:val="en-US" w:eastAsia="zh-CN" w:bidi="ar"/>
              </w:rPr>
              <w:t>包含持证上岗薪酬、社保、消防实操培训、证书年审、监控设备运维、耗材、税费等全部履约费用</w:t>
            </w:r>
          </w:p>
        </w:tc>
      </w:tr>
      <w:tr w14:paraId="6667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center"/>
          </w:tcPr>
          <w:p w14:paraId="23373BC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4</w:t>
            </w:r>
          </w:p>
        </w:tc>
        <w:tc>
          <w:tcPr>
            <w:tcW w:w="687" w:type="dxa"/>
            <w:shd w:val="clear" w:color="auto" w:fill="auto"/>
            <w:noWrap w:val="0"/>
            <w:tcMar>
              <w:top w:w="120" w:type="dxa"/>
              <w:left w:w="120" w:type="dxa"/>
              <w:bottom w:w="120" w:type="dxa"/>
              <w:right w:w="120" w:type="dxa"/>
            </w:tcMar>
            <w:vAlign w:val="center"/>
          </w:tcPr>
          <w:p w14:paraId="732AC89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老院区门卫岗</w:t>
            </w:r>
          </w:p>
        </w:tc>
        <w:tc>
          <w:tcPr>
            <w:tcW w:w="657" w:type="dxa"/>
            <w:shd w:val="clear" w:color="auto" w:fill="auto"/>
            <w:noWrap w:val="0"/>
            <w:tcMar>
              <w:top w:w="120" w:type="dxa"/>
              <w:left w:w="120" w:type="dxa"/>
              <w:bottom w:w="120" w:type="dxa"/>
              <w:right w:w="120" w:type="dxa"/>
            </w:tcMar>
            <w:vAlign w:val="center"/>
          </w:tcPr>
          <w:p w14:paraId="6696379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1</w:t>
            </w:r>
          </w:p>
        </w:tc>
        <w:tc>
          <w:tcPr>
            <w:tcW w:w="657" w:type="dxa"/>
            <w:shd w:val="clear" w:color="auto" w:fill="auto"/>
            <w:noWrap w:val="0"/>
            <w:tcMar>
              <w:top w:w="120" w:type="dxa"/>
              <w:left w:w="120" w:type="dxa"/>
              <w:bottom w:w="120" w:type="dxa"/>
              <w:right w:w="120" w:type="dxa"/>
            </w:tcMar>
            <w:vAlign w:val="center"/>
          </w:tcPr>
          <w:p w14:paraId="662FE2D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152" w:type="dxa"/>
            <w:gridSpan w:val="2"/>
            <w:shd w:val="clear" w:color="auto" w:fill="auto"/>
            <w:noWrap w:val="0"/>
            <w:tcMar>
              <w:top w:w="120" w:type="dxa"/>
              <w:left w:w="120" w:type="dxa"/>
              <w:bottom w:w="120" w:type="dxa"/>
              <w:right w:w="120" w:type="dxa"/>
            </w:tcMar>
            <w:vAlign w:val="center"/>
          </w:tcPr>
          <w:p w14:paraId="61E248B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256" w:type="dxa"/>
            <w:shd w:val="clear" w:color="auto" w:fill="auto"/>
            <w:noWrap w:val="0"/>
            <w:tcMar>
              <w:top w:w="120" w:type="dxa"/>
              <w:left w:w="120" w:type="dxa"/>
              <w:bottom w:w="120" w:type="dxa"/>
              <w:right w:w="120" w:type="dxa"/>
            </w:tcMar>
            <w:vAlign w:val="center"/>
          </w:tcPr>
          <w:p w14:paraId="501F7B1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3694" w:type="dxa"/>
            <w:shd w:val="clear" w:color="auto" w:fill="auto"/>
            <w:noWrap w:val="0"/>
            <w:tcMar>
              <w:top w:w="120" w:type="dxa"/>
              <w:left w:w="120" w:type="dxa"/>
              <w:bottom w:w="120" w:type="dxa"/>
              <w:right w:w="120" w:type="dxa"/>
            </w:tcMar>
            <w:vAlign w:val="top"/>
          </w:tcPr>
          <w:p w14:paraId="02FFD9D7">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Fonts w:ascii="宋体" w:hAnsi="宋体" w:eastAsia="宋体" w:cs="宋体"/>
                <w:kern w:val="0"/>
                <w:sz w:val="20"/>
                <w:szCs w:val="20"/>
                <w:lang w:val="en-US" w:eastAsia="zh-CN" w:bidi="ar"/>
              </w:rPr>
              <w:t>包含人员工资、社保、值守耗材、院区日常管控、岗位培训、税费等全部履约费用</w:t>
            </w:r>
          </w:p>
        </w:tc>
      </w:tr>
      <w:tr w14:paraId="62C5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center"/>
          </w:tcPr>
          <w:p w14:paraId="4F77FFC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5</w:t>
            </w:r>
          </w:p>
        </w:tc>
        <w:tc>
          <w:tcPr>
            <w:tcW w:w="687" w:type="dxa"/>
            <w:shd w:val="clear" w:color="auto" w:fill="auto"/>
            <w:noWrap w:val="0"/>
            <w:tcMar>
              <w:top w:w="120" w:type="dxa"/>
              <w:left w:w="120" w:type="dxa"/>
              <w:bottom w:w="120" w:type="dxa"/>
              <w:right w:w="120" w:type="dxa"/>
            </w:tcMar>
            <w:vAlign w:val="center"/>
          </w:tcPr>
          <w:p w14:paraId="15611D0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家属院门卫岗</w:t>
            </w:r>
          </w:p>
        </w:tc>
        <w:tc>
          <w:tcPr>
            <w:tcW w:w="657" w:type="dxa"/>
            <w:shd w:val="clear" w:color="auto" w:fill="auto"/>
            <w:noWrap w:val="0"/>
            <w:tcMar>
              <w:top w:w="120" w:type="dxa"/>
              <w:left w:w="120" w:type="dxa"/>
              <w:bottom w:w="120" w:type="dxa"/>
              <w:right w:w="120" w:type="dxa"/>
            </w:tcMar>
            <w:vAlign w:val="center"/>
          </w:tcPr>
          <w:p w14:paraId="061EB87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2</w:t>
            </w:r>
          </w:p>
        </w:tc>
        <w:tc>
          <w:tcPr>
            <w:tcW w:w="657" w:type="dxa"/>
            <w:shd w:val="clear" w:color="auto" w:fill="auto"/>
            <w:noWrap w:val="0"/>
            <w:tcMar>
              <w:top w:w="120" w:type="dxa"/>
              <w:left w:w="120" w:type="dxa"/>
              <w:bottom w:w="120" w:type="dxa"/>
              <w:right w:w="120" w:type="dxa"/>
            </w:tcMar>
            <w:vAlign w:val="center"/>
          </w:tcPr>
          <w:p w14:paraId="07BFE4D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152" w:type="dxa"/>
            <w:gridSpan w:val="2"/>
            <w:shd w:val="clear" w:color="auto" w:fill="auto"/>
            <w:noWrap w:val="0"/>
            <w:tcMar>
              <w:top w:w="120" w:type="dxa"/>
              <w:left w:w="120" w:type="dxa"/>
              <w:bottom w:w="120" w:type="dxa"/>
              <w:right w:w="120" w:type="dxa"/>
            </w:tcMar>
            <w:vAlign w:val="center"/>
          </w:tcPr>
          <w:p w14:paraId="090D68B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256" w:type="dxa"/>
            <w:shd w:val="clear" w:color="auto" w:fill="auto"/>
            <w:noWrap w:val="0"/>
            <w:tcMar>
              <w:top w:w="120" w:type="dxa"/>
              <w:left w:w="120" w:type="dxa"/>
              <w:bottom w:w="120" w:type="dxa"/>
              <w:right w:w="120" w:type="dxa"/>
            </w:tcMar>
            <w:vAlign w:val="center"/>
          </w:tcPr>
          <w:p w14:paraId="785BF60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3694" w:type="dxa"/>
            <w:shd w:val="clear" w:color="auto" w:fill="auto"/>
            <w:noWrap w:val="0"/>
            <w:tcMar>
              <w:top w:w="120" w:type="dxa"/>
              <w:left w:w="120" w:type="dxa"/>
              <w:bottom w:w="120" w:type="dxa"/>
              <w:right w:w="120" w:type="dxa"/>
            </w:tcMar>
            <w:vAlign w:val="top"/>
          </w:tcPr>
          <w:p w14:paraId="44276909">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Fonts w:ascii="宋体" w:hAnsi="宋体" w:eastAsia="宋体" w:cs="宋体"/>
                <w:kern w:val="0"/>
                <w:sz w:val="20"/>
                <w:szCs w:val="20"/>
                <w:lang w:val="en-US" w:eastAsia="zh-CN" w:bidi="ar"/>
              </w:rPr>
              <w:t>包含人员工资、社保、值守耗材、秩序环境管控、岗位培训、税费等全部履约费用</w:t>
            </w:r>
          </w:p>
        </w:tc>
      </w:tr>
      <w:tr w14:paraId="2C02D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0" w:type="auto"/>
            <w:shd w:val="clear" w:color="auto" w:fill="auto"/>
            <w:noWrap w:val="0"/>
            <w:tcMar>
              <w:top w:w="120" w:type="dxa"/>
              <w:left w:w="120" w:type="dxa"/>
              <w:bottom w:w="120" w:type="dxa"/>
              <w:right w:w="120" w:type="dxa"/>
            </w:tcMar>
            <w:vAlign w:val="center"/>
          </w:tcPr>
          <w:p w14:paraId="6D24C53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Style w:val="5"/>
                <w:rFonts w:ascii="宋体" w:hAnsi="宋体" w:eastAsia="宋体" w:cs="宋体"/>
                <w:kern w:val="0"/>
                <w:sz w:val="20"/>
                <w:szCs w:val="20"/>
                <w:lang w:val="en-US" w:eastAsia="zh-CN" w:bidi="ar"/>
              </w:rPr>
              <w:t>合计</w:t>
            </w:r>
          </w:p>
        </w:tc>
        <w:tc>
          <w:tcPr>
            <w:tcW w:w="687" w:type="dxa"/>
            <w:shd w:val="clear" w:color="auto" w:fill="auto"/>
            <w:noWrap w:val="0"/>
            <w:tcMar>
              <w:top w:w="120" w:type="dxa"/>
              <w:left w:w="120" w:type="dxa"/>
              <w:bottom w:w="120" w:type="dxa"/>
              <w:right w:w="120" w:type="dxa"/>
            </w:tcMar>
            <w:vAlign w:val="center"/>
          </w:tcPr>
          <w:p w14:paraId="631AFF4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Style w:val="5"/>
                <w:rFonts w:ascii="宋体" w:hAnsi="宋体" w:eastAsia="宋体" w:cs="宋体"/>
                <w:kern w:val="0"/>
                <w:sz w:val="20"/>
                <w:szCs w:val="20"/>
                <w:lang w:val="en-US" w:eastAsia="zh-CN" w:bidi="ar"/>
              </w:rPr>
              <w:t>项目年度总报价</w:t>
            </w:r>
          </w:p>
        </w:tc>
        <w:tc>
          <w:tcPr>
            <w:tcW w:w="657" w:type="dxa"/>
            <w:shd w:val="clear" w:color="auto" w:fill="auto"/>
            <w:noWrap w:val="0"/>
            <w:tcMar>
              <w:top w:w="120" w:type="dxa"/>
              <w:left w:w="120" w:type="dxa"/>
              <w:bottom w:w="120" w:type="dxa"/>
              <w:right w:w="120" w:type="dxa"/>
            </w:tcMar>
            <w:vAlign w:val="center"/>
          </w:tcPr>
          <w:p w14:paraId="005192E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sz w:val="20"/>
                <w:szCs w:val="20"/>
                <w:lang w:val="en-US"/>
              </w:rPr>
            </w:pPr>
            <w:r>
              <w:rPr>
                <w:rStyle w:val="5"/>
                <w:rFonts w:hint="eastAsia" w:ascii="宋体" w:hAnsi="宋体" w:eastAsia="宋体" w:cs="宋体"/>
                <w:kern w:val="0"/>
                <w:sz w:val="20"/>
                <w:szCs w:val="20"/>
                <w:lang w:val="en-US" w:eastAsia="zh-CN" w:bidi="ar"/>
              </w:rPr>
              <w:t>14</w:t>
            </w:r>
          </w:p>
        </w:tc>
        <w:tc>
          <w:tcPr>
            <w:tcW w:w="657" w:type="dxa"/>
            <w:shd w:val="clear" w:color="auto" w:fill="auto"/>
            <w:noWrap w:val="0"/>
            <w:tcMar>
              <w:top w:w="120" w:type="dxa"/>
              <w:left w:w="120" w:type="dxa"/>
              <w:bottom w:w="120" w:type="dxa"/>
              <w:right w:w="120" w:type="dxa"/>
            </w:tcMar>
            <w:vAlign w:val="center"/>
          </w:tcPr>
          <w:p w14:paraId="16B9303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152" w:type="dxa"/>
            <w:gridSpan w:val="2"/>
            <w:shd w:val="clear" w:color="auto" w:fill="auto"/>
            <w:noWrap w:val="0"/>
            <w:tcMar>
              <w:top w:w="120" w:type="dxa"/>
              <w:left w:w="120" w:type="dxa"/>
              <w:bottom w:w="120" w:type="dxa"/>
              <w:right w:w="120" w:type="dxa"/>
            </w:tcMar>
            <w:vAlign w:val="center"/>
          </w:tcPr>
          <w:p w14:paraId="5AC4606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1256" w:type="dxa"/>
            <w:shd w:val="clear" w:color="auto" w:fill="auto"/>
            <w:noWrap w:val="0"/>
            <w:tcMar>
              <w:top w:w="120" w:type="dxa"/>
              <w:left w:w="120" w:type="dxa"/>
              <w:bottom w:w="120" w:type="dxa"/>
              <w:right w:w="120" w:type="dxa"/>
            </w:tcMar>
            <w:vAlign w:val="center"/>
          </w:tcPr>
          <w:p w14:paraId="74F81D9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p>
        </w:tc>
        <w:tc>
          <w:tcPr>
            <w:tcW w:w="3694" w:type="dxa"/>
            <w:shd w:val="clear" w:color="auto" w:fill="auto"/>
            <w:noWrap w:val="0"/>
            <w:tcMar>
              <w:top w:w="120" w:type="dxa"/>
              <w:left w:w="120" w:type="dxa"/>
              <w:bottom w:w="120" w:type="dxa"/>
              <w:right w:w="120" w:type="dxa"/>
            </w:tcMar>
            <w:vAlign w:val="top"/>
          </w:tcPr>
          <w:p w14:paraId="424297B2">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sz w:val="20"/>
                <w:szCs w:val="20"/>
              </w:rPr>
            </w:pPr>
            <w:r>
              <w:rPr>
                <w:rStyle w:val="5"/>
                <w:rFonts w:ascii="宋体" w:hAnsi="宋体" w:eastAsia="宋体" w:cs="宋体"/>
                <w:kern w:val="0"/>
                <w:sz w:val="20"/>
                <w:szCs w:val="20"/>
                <w:lang w:val="en-US" w:eastAsia="zh-CN" w:bidi="ar"/>
              </w:rPr>
              <w:t>为本项目全包固定总价，包含履约期内所有成本及税费，无任何隐形、新增费用</w:t>
            </w:r>
          </w:p>
        </w:tc>
      </w:tr>
    </w:tbl>
    <w:p w14:paraId="008D6BF5">
      <w:pPr>
        <w:keepNext w:val="0"/>
        <w:keepLines w:val="0"/>
        <w:widowControl/>
        <w:suppressLineNumbers w:val="0"/>
        <w:jc w:val="left"/>
        <w:rPr>
          <w:sz w:val="21"/>
          <w:szCs w:val="21"/>
        </w:rPr>
      </w:pPr>
      <w:r>
        <w:rPr>
          <w:rStyle w:val="5"/>
          <w:rFonts w:ascii="宋体" w:hAnsi="宋体" w:eastAsia="宋体" w:cs="宋体"/>
          <w:kern w:val="0"/>
          <w:sz w:val="21"/>
          <w:szCs w:val="21"/>
          <w:lang w:val="en-US" w:eastAsia="zh-CN" w:bidi="ar"/>
        </w:rPr>
        <w:t>报价明细说明及特别约定</w:t>
      </w:r>
      <w:r>
        <w:rPr>
          <w:rFonts w:ascii="宋体" w:hAnsi="宋体" w:eastAsia="宋体" w:cs="宋体"/>
          <w:kern w:val="0"/>
          <w:sz w:val="21"/>
          <w:szCs w:val="21"/>
          <w:lang w:val="en-US" w:eastAsia="zh-CN" w:bidi="ar"/>
        </w:rPr>
        <w:t>：1. 本表严格按照本项目采购要求</w:t>
      </w:r>
      <w:r>
        <w:rPr>
          <w:rFonts w:hint="eastAsia" w:ascii="宋体" w:hAnsi="宋体" w:eastAsia="宋体" w:cs="宋体"/>
          <w:kern w:val="0"/>
          <w:sz w:val="21"/>
          <w:szCs w:val="21"/>
          <w:lang w:val="en-US" w:eastAsia="zh-CN" w:bidi="ar"/>
        </w:rPr>
        <w:t>14</w:t>
      </w:r>
      <w:r>
        <w:rPr>
          <w:rFonts w:ascii="宋体" w:hAnsi="宋体" w:eastAsia="宋体" w:cs="宋体"/>
          <w:kern w:val="0"/>
          <w:sz w:val="21"/>
          <w:szCs w:val="21"/>
          <w:lang w:val="en-US" w:eastAsia="zh-CN" w:bidi="ar"/>
        </w:rPr>
        <w:t xml:space="preserve">名定岗人员岗位配置编制，报价涵盖各岗位人员薪酬、社保、工装装备、耗材物资、月度培训演练、应急保障、现场管理、税费、风险备用金等项目履约全部成本，费用无遗漏、无隐形支出。2. 本报价为年度固定全包总价，服务期内不因市场物价波动、人员值守调整、日常工作内容增加等任何因素调整总价。3. </w:t>
      </w:r>
      <w:r>
        <w:rPr>
          <w:rFonts w:hint="eastAsia" w:ascii="宋体" w:hAnsi="宋体" w:cs="宋体"/>
          <w:kern w:val="0"/>
          <w:sz w:val="21"/>
          <w:szCs w:val="21"/>
          <w:lang w:val="en-US" w:eastAsia="zh-CN" w:bidi="ar"/>
        </w:rPr>
        <w:t>供应商</w:t>
      </w:r>
      <w:r>
        <w:rPr>
          <w:rFonts w:ascii="宋体" w:hAnsi="宋体" w:eastAsia="宋体" w:cs="宋体"/>
          <w:kern w:val="0"/>
          <w:sz w:val="21"/>
          <w:szCs w:val="21"/>
          <w:lang w:val="en-US" w:eastAsia="zh-CN" w:bidi="ar"/>
        </w:rPr>
        <w:t>报价</w:t>
      </w:r>
      <w:r>
        <w:rPr>
          <w:rFonts w:hint="eastAsia" w:ascii="宋体" w:hAnsi="宋体" w:cs="宋体"/>
          <w:kern w:val="0"/>
          <w:sz w:val="21"/>
          <w:szCs w:val="21"/>
          <w:lang w:val="en-US" w:eastAsia="zh-CN" w:bidi="ar"/>
        </w:rPr>
        <w:t>须</w:t>
      </w:r>
      <w:r>
        <w:rPr>
          <w:rFonts w:ascii="宋体" w:hAnsi="宋体" w:eastAsia="宋体" w:cs="宋体"/>
          <w:kern w:val="0"/>
          <w:sz w:val="21"/>
          <w:szCs w:val="21"/>
          <w:lang w:val="en-US" w:eastAsia="zh-CN" w:bidi="ar"/>
        </w:rPr>
        <w:t xml:space="preserve">真实合规，不低于企业成本价，不存在恶意低价、异常低价情形，自愿接受评审小组核查及认定。4. </w:t>
      </w:r>
      <w:r>
        <w:rPr>
          <w:rStyle w:val="5"/>
          <w:rFonts w:ascii="宋体" w:hAnsi="宋体" w:eastAsia="宋体" w:cs="宋体"/>
          <w:kern w:val="0"/>
          <w:sz w:val="21"/>
          <w:szCs w:val="21"/>
          <w:lang w:val="en-US" w:eastAsia="zh-CN" w:bidi="ar"/>
        </w:rPr>
        <w:t>价格一致性约定</w:t>
      </w:r>
      <w:r>
        <w:rPr>
          <w:rFonts w:ascii="宋体" w:hAnsi="宋体" w:eastAsia="宋体" w:cs="宋体"/>
          <w:kern w:val="0"/>
          <w:sz w:val="21"/>
          <w:szCs w:val="21"/>
          <w:lang w:val="en-US" w:eastAsia="zh-CN" w:bidi="ar"/>
        </w:rPr>
        <w:t xml:space="preserve">：本分项明细报价表合计总价须与本项目报价总表年度总报价完全一致，前后报价统一、无偏差。5. </w:t>
      </w:r>
      <w:r>
        <w:rPr>
          <w:rStyle w:val="5"/>
          <w:rFonts w:ascii="宋体" w:hAnsi="宋体" w:eastAsia="宋体" w:cs="宋体"/>
          <w:kern w:val="0"/>
          <w:sz w:val="21"/>
          <w:szCs w:val="21"/>
          <w:lang w:val="en-US" w:eastAsia="zh-CN" w:bidi="ar"/>
        </w:rPr>
        <w:t>二次报价下浮约束</w:t>
      </w:r>
      <w:r>
        <w:rPr>
          <w:rFonts w:ascii="宋体" w:hAnsi="宋体" w:eastAsia="宋体" w:cs="宋体"/>
          <w:kern w:val="0"/>
          <w:sz w:val="21"/>
          <w:szCs w:val="21"/>
          <w:lang w:val="en-US" w:eastAsia="zh-CN" w:bidi="ar"/>
        </w:rPr>
        <w:t>：供应商成交后，须按照最终二次报价与首次报价的整体下浮比例，对本表所有岗位分项报价进行同比例、同步整体下浮调整；不得单独调高、调低任意岗位分项价格，不得对分项报价进行结构性调整，不得变相改变原有报价结构及总价构成，否则视为无效响应及违约。</w:t>
      </w:r>
    </w:p>
    <w:p w14:paraId="79B87361"/>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7B1A02"/>
    <w:rsid w:val="CAFF47E2"/>
    <w:rsid w:val="ED7B1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13</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2026-06-09T19:01:00Z</dcterms:created>
  <dc:creator>uos</dc:creator>
  <cp:lastModifiedBy>uos</cp:lastModifiedBy>
  <dcterms:modified xsi:type="dcterms:W3CDTF">2026-06-09T15:42:18Z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B6E401299372F4731E82276AECF5F5F9_41</vt:lpwstr>
  </property>
</Properties>
</file>