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版本号：YDZXZC202600420260806001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田径场（足球场）提升改造采购项目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YDZXZC2026004</w:t>
      </w:r>
      <w:r>
        <w:br/>
      </w:r>
      <w:r>
        <w:br/>
      </w:r>
      <w:r>
        <w:br/>
      </w:r>
    </w:p>
    <w:p>
      <w:pPr>
        <w:pStyle w:val="null3"/>
        <w:jc w:val="center"/>
        <w:outlineLvl w:val="2"/>
      </w:pPr>
      <w:r>
        <w:rPr>
          <w:rFonts w:ascii="仿宋_GB2312" w:hAnsi="仿宋_GB2312" w:cs="仿宋_GB2312" w:eastAsia="仿宋_GB2312"/>
          <w:sz w:val="28"/>
          <w:b/>
        </w:rPr>
        <w:t>西安市青少年体育学校</w:t>
      </w:r>
    </w:p>
    <w:p>
      <w:pPr>
        <w:pStyle w:val="null3"/>
        <w:jc w:val="center"/>
        <w:outlineLvl w:val="2"/>
      </w:pPr>
      <w:r>
        <w:rPr>
          <w:rFonts w:ascii="仿宋_GB2312" w:hAnsi="仿宋_GB2312" w:cs="仿宋_GB2312" w:eastAsia="仿宋_GB2312"/>
          <w:sz w:val="28"/>
          <w:b/>
        </w:rPr>
        <w:t>元鼎咨询有限公司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元鼎咨询有限公司</w:t>
      </w:r>
      <w:r>
        <w:rPr>
          <w:rFonts w:ascii="仿宋_GB2312" w:hAnsi="仿宋_GB2312" w:cs="仿宋_GB2312" w:eastAsia="仿宋_GB2312"/>
        </w:rPr>
        <w:t>（以下简称“代理机构”）受</w:t>
      </w:r>
      <w:r>
        <w:rPr>
          <w:rFonts w:ascii="仿宋_GB2312" w:hAnsi="仿宋_GB2312" w:cs="仿宋_GB2312" w:eastAsia="仿宋_GB2312"/>
        </w:rPr>
        <w:t>西安市青少年体育学校</w:t>
      </w:r>
      <w:r>
        <w:rPr>
          <w:rFonts w:ascii="仿宋_GB2312" w:hAnsi="仿宋_GB2312" w:cs="仿宋_GB2312" w:eastAsia="仿宋_GB2312"/>
        </w:rPr>
        <w:t>委托，拟对</w:t>
      </w:r>
      <w:r>
        <w:rPr>
          <w:rFonts w:ascii="仿宋_GB2312" w:hAnsi="仿宋_GB2312" w:cs="仿宋_GB2312" w:eastAsia="仿宋_GB2312"/>
        </w:rPr>
        <w:t>田径场（足球场）提升改造采购项目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YDZXZC2026004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田径场（足球场）提升改造采购项目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本项目为田径场（足球场）提升改造项目。根据学校田径场（足球场）的实况，本项目拟采购田径场（足球场）人造草坪、球场围网、照明灯具等相关配套设施，提升改造田径场（足球场）环境，支撑学生运动学习的环境, 使学生在在高质高效的环境中学习及运动。供应商负责所有货物的供应，以及所有安装、调试等工作，确保项目验收合格后即可投入正常使用。</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采购包1（田径场（足球场）提升改造采购项目）：属于专门面向中小企业采购。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根据“资格证明文件”中提供的要求和说明，提供符合自身条件且合法有效的主体资格证明材料；具有独立承担民事责任能力的法人、其他组织或自然人，并出具合法有效的统一社会信用代码的营业执照或事业单位法人证书等国家规定的相关证明，自然人参与的提供其身份证明；</w:t>
      </w:r>
    </w:p>
    <w:p>
      <w:pPr>
        <w:pStyle w:val="null3"/>
      </w:pPr>
      <w:r>
        <w:rPr>
          <w:rFonts w:ascii="仿宋_GB2312" w:hAnsi="仿宋_GB2312" w:cs="仿宋_GB2312" w:eastAsia="仿宋_GB2312"/>
        </w:rPr>
        <w:t>2、法定代表人（单位负责人）身份证明/法定代表人（单位负责人）委托授权书：根据“资格证明文件”中提供的格式和说明，提供符合自身条件的证明材料：法定代表人授权书（附法定代表人身份证复印件）及被授权人身份证复印件（法定代表人直接参加投标只需提供法定代表人身份证复印件加盖公章）； (说明：按照电子化全流程要求，投标（响应）文件递交时，签到的人员信息应为法定代表人或授权委托人，否则，按无效响应（投标）文件处理)</w:t>
      </w:r>
    </w:p>
    <w:p>
      <w:pPr>
        <w:pStyle w:val="null3"/>
      </w:pPr>
      <w:r>
        <w:rPr>
          <w:rFonts w:ascii="仿宋_GB2312" w:hAnsi="仿宋_GB2312" w:cs="仿宋_GB2312" w:eastAsia="仿宋_GB2312"/>
        </w:rPr>
        <w:t>3、税收缴纳证明：根据“资格证明文件”中提供的要求和说明，提供符合自身条件且合法有效的税收缴纳证明材料：提供供应商自响应文件提交截止时间前1年内已缴纳任意1个月完税（任意税种，个人所得税除外）凭证或税务机关开具的完税证明</w:t>
      </w:r>
    </w:p>
    <w:p>
      <w:pPr>
        <w:pStyle w:val="null3"/>
      </w:pPr>
      <w:r>
        <w:rPr>
          <w:rFonts w:ascii="仿宋_GB2312" w:hAnsi="仿宋_GB2312" w:cs="仿宋_GB2312" w:eastAsia="仿宋_GB2312"/>
        </w:rPr>
        <w:t>4、社会保障资金缴纳证明：根据“资格证明文件”中提供的要求和说明，提供符合自身条件且合法有效的社会保障资金缴纳证明材料：提供供应商自响应文件提交截止时间前1年内已缴存的任意1个月的社会保障资金缴存单据或社保机构开具的社会保险参保缴费情况证明</w:t>
      </w:r>
    </w:p>
    <w:p>
      <w:pPr>
        <w:pStyle w:val="null3"/>
      </w:pPr>
      <w:r>
        <w:rPr>
          <w:rFonts w:ascii="仿宋_GB2312" w:hAnsi="仿宋_GB2312" w:cs="仿宋_GB2312" w:eastAsia="仿宋_GB2312"/>
        </w:rPr>
        <w:t>5、具备履行合同所必需的设备和专业技术能力的证明：根据“资格证明文件”中提供的要求和说明，提供符合条件的证明材料：提供具有履行本合同所必需的设备和专业技术能力的说明及承诺书；并进行电子签章。</w:t>
      </w:r>
    </w:p>
    <w:p>
      <w:pPr>
        <w:pStyle w:val="null3"/>
      </w:pPr>
      <w:r>
        <w:rPr>
          <w:rFonts w:ascii="仿宋_GB2312" w:hAnsi="仿宋_GB2312" w:cs="仿宋_GB2312" w:eastAsia="仿宋_GB2312"/>
        </w:rPr>
        <w:t>6、参加本次采购活动3年内，在经营活动中没有重大违法记录的书面声明：在项目电子化交易系统中按要求填写《响应函》完成承诺并进行电子签章</w:t>
      </w:r>
    </w:p>
    <w:p>
      <w:pPr>
        <w:pStyle w:val="null3"/>
      </w:pPr>
      <w:r>
        <w:rPr>
          <w:rFonts w:ascii="仿宋_GB2312" w:hAnsi="仿宋_GB2312" w:cs="仿宋_GB2312" w:eastAsia="仿宋_GB2312"/>
        </w:rPr>
        <w:t>7、信用查询：供应商未被“信用中国”网站（www.creditchina.gov.cn）列入失信被执行人和重大税收违法失信主体，未被中国政府采购网（www.ccgp.gov.cn）列入政府采购严重违法失信行为记录名单；（以现场信用记录查询结果为准）</w:t>
      </w:r>
    </w:p>
    <w:p>
      <w:pPr>
        <w:pStyle w:val="null3"/>
      </w:pPr>
      <w:r>
        <w:rPr>
          <w:rFonts w:ascii="仿宋_GB2312" w:hAnsi="仿宋_GB2312" w:cs="仿宋_GB2312" w:eastAsia="仿宋_GB2312"/>
        </w:rPr>
        <w:t>8、联合体投标：本项目不接受联合体投标，提供声明函。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西安市青少年体育学校</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西安市碑林区伞塔路89号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710032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西安市青少年体育学校经办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029-82282523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元鼎咨询有限公司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陕西省西安市未央区陕西省西安市经济技术开发区凤城二路27号天心大厦17层1703室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710018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余雪儿</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029-89609255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采购包1：1,700,000.00元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依据《国家计委关于印发招标代理服务收费管理暂行办法的通知》（计价格〔2002〕1980号）和《关于招标代理服务收费有关问题的通知》（发改办价格〔2003〕857号）文件规定的标准收取；具体收费金额将在成交公告中公布。 请将采购代理服务费汇至下列指定账户：开户名称：元鼎咨询有限公司 开户行：中国建设银行股份有限公司西安长安区富力城支行 账号：6105 0170 5262 0000 0644（备注：项目名称+代理服务费）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西安市青少年体育学校</w:t>
      </w:r>
      <w:r>
        <w:rPr>
          <w:rFonts w:ascii="仿宋_GB2312" w:hAnsi="仿宋_GB2312" w:cs="仿宋_GB2312" w:eastAsia="仿宋_GB2312"/>
        </w:rPr>
        <w:t>和</w:t>
      </w:r>
      <w:r>
        <w:rPr>
          <w:rFonts w:ascii="仿宋_GB2312" w:hAnsi="仿宋_GB2312" w:cs="仿宋_GB2312" w:eastAsia="仿宋_GB2312"/>
        </w:rPr>
        <w:t>元鼎咨询有限公司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西安市青少年体育学校</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元鼎咨询有限公司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西安市青少年体育学校</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元鼎咨询有限公司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严格按照竞争性谈判文件、响应文件和合同项下所述的标准和要求进行验收，如竞争性谈判文件、响应文件与合同的标准和要求有冲突的，以竞争性谈判文件、响应文件为准。</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元鼎咨询有限公司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元鼎咨询有限公司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元鼎咨询有限公司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联系人：余雪儿</w:t>
      </w:r>
    </w:p>
    <w:p>
      <w:pPr>
        <w:pStyle w:val="null3"/>
      </w:pPr>
      <w:r>
        <w:rPr>
          <w:rFonts w:ascii="仿宋_GB2312" w:hAnsi="仿宋_GB2312" w:cs="仿宋_GB2312" w:eastAsia="仿宋_GB2312"/>
        </w:rPr>
        <w:t>联系电话：029-89609255</w:t>
      </w:r>
    </w:p>
    <w:p>
      <w:pPr>
        <w:pStyle w:val="null3"/>
      </w:pPr>
      <w:r>
        <w:rPr>
          <w:rFonts w:ascii="仿宋_GB2312" w:hAnsi="仿宋_GB2312" w:cs="仿宋_GB2312" w:eastAsia="仿宋_GB2312"/>
        </w:rPr>
        <w:t>地址：陕西省西安市经济技术开发区凤城二路27号天心大厦17层1703室</w:t>
      </w:r>
    </w:p>
    <w:p>
      <w:pPr>
        <w:pStyle w:val="null3"/>
      </w:pPr>
      <w:r>
        <w:rPr>
          <w:rFonts w:ascii="仿宋_GB2312" w:hAnsi="仿宋_GB2312" w:cs="仿宋_GB2312" w:eastAsia="仿宋_GB2312"/>
        </w:rPr>
        <w:t>邮编：710018</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田径场（足球场）提升改造项目。根据学校田径场（足球场）的实况，本项目拟采购田径场（足球场）人造草坪、球场围网、照明灯具等相关配套设施，提升改造田径场（足球场）环境，支撑学生运动学习的环境, 使学生在在高质高效的环境中学习及运动。供应商负责所有货物的供应，以及所有安装、调试等工作，确保项目验收合格后即可投入正常使用。</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1,700,000.00</w:t>
      </w:r>
    </w:p>
    <w:p>
      <w:pPr>
        <w:pStyle w:val="null3"/>
      </w:pPr>
      <w:r>
        <w:rPr>
          <w:rFonts w:ascii="仿宋_GB2312" w:hAnsi="仿宋_GB2312" w:cs="仿宋_GB2312" w:eastAsia="仿宋_GB2312"/>
        </w:rPr>
        <w:t>采购包最高限价（元）: 1,700,000.00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购置人造草坪、球场围网、照明灯具等设备设施</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1,700,000.00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标的名称：购置人造草坪、球场围网、照明灯具等设备设施</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color w:val="000000"/>
              </w:rPr>
              <w:t>一、项目概况</w:t>
            </w:r>
          </w:p>
          <w:p>
            <w:pPr>
              <w:pStyle w:val="null3"/>
              <w:ind w:firstLine="420"/>
            </w:pPr>
            <w:r>
              <w:rPr>
                <w:rFonts w:ascii="仿宋_GB2312" w:hAnsi="仿宋_GB2312" w:cs="仿宋_GB2312" w:eastAsia="仿宋_GB2312"/>
                <w:sz w:val="21"/>
                <w:color w:val="000000"/>
              </w:rPr>
              <w:t>本项目为</w:t>
            </w:r>
            <w:r>
              <w:rPr>
                <w:rFonts w:ascii="仿宋_GB2312" w:hAnsi="仿宋_GB2312" w:cs="仿宋_GB2312" w:eastAsia="仿宋_GB2312"/>
                <w:sz w:val="21"/>
                <w:color w:val="000000"/>
              </w:rPr>
              <w:t>田径场（足球场）提升改造项目</w:t>
            </w:r>
            <w:r>
              <w:rPr>
                <w:rFonts w:ascii="仿宋_GB2312" w:hAnsi="仿宋_GB2312" w:cs="仿宋_GB2312" w:eastAsia="仿宋_GB2312"/>
                <w:sz w:val="21"/>
                <w:color w:val="000000"/>
              </w:rPr>
              <w:t>。根据</w:t>
            </w:r>
            <w:r>
              <w:rPr>
                <w:rFonts w:ascii="仿宋_GB2312" w:hAnsi="仿宋_GB2312" w:cs="仿宋_GB2312" w:eastAsia="仿宋_GB2312"/>
                <w:sz w:val="21"/>
                <w:color w:val="000000"/>
              </w:rPr>
              <w:t>学校田径场（足球场）的实况，本项目拟采购田径场（足球场）人造草坪、球场围网、照明灯具等相关配套设施，提升改造田径场（足球场）环境，支撑学生运动学习的环境</w:t>
            </w:r>
            <w:r>
              <w:rPr>
                <w:rFonts w:ascii="仿宋_GB2312" w:hAnsi="仿宋_GB2312" w:cs="仿宋_GB2312" w:eastAsia="仿宋_GB2312"/>
                <w:sz w:val="21"/>
                <w:color w:val="000000"/>
              </w:rPr>
              <w:t>, 使学生在在高质高效的环境中学习及运动。</w:t>
            </w:r>
            <w:r>
              <w:rPr>
                <w:rFonts w:ascii="仿宋_GB2312" w:hAnsi="仿宋_GB2312" w:cs="仿宋_GB2312" w:eastAsia="仿宋_GB2312"/>
                <w:sz w:val="20"/>
              </w:rPr>
              <w:t>供应商</w:t>
            </w:r>
            <w:r>
              <w:rPr>
                <w:rFonts w:ascii="仿宋_GB2312" w:hAnsi="仿宋_GB2312" w:cs="仿宋_GB2312" w:eastAsia="仿宋_GB2312"/>
                <w:sz w:val="20"/>
              </w:rPr>
              <w:t>负责所有</w:t>
            </w:r>
            <w:r>
              <w:rPr>
                <w:rFonts w:ascii="仿宋_GB2312" w:hAnsi="仿宋_GB2312" w:cs="仿宋_GB2312" w:eastAsia="仿宋_GB2312"/>
                <w:sz w:val="20"/>
              </w:rPr>
              <w:t>货物</w:t>
            </w:r>
            <w:r>
              <w:rPr>
                <w:rFonts w:ascii="仿宋_GB2312" w:hAnsi="仿宋_GB2312" w:cs="仿宋_GB2312" w:eastAsia="仿宋_GB2312"/>
                <w:sz w:val="20"/>
              </w:rPr>
              <w:t>的供应，以及所有安装、调试</w:t>
            </w:r>
            <w:r>
              <w:rPr>
                <w:rFonts w:ascii="仿宋_GB2312" w:hAnsi="仿宋_GB2312" w:cs="仿宋_GB2312" w:eastAsia="仿宋_GB2312"/>
                <w:sz w:val="20"/>
              </w:rPr>
              <w:t>等</w:t>
            </w:r>
            <w:r>
              <w:rPr>
                <w:rFonts w:ascii="仿宋_GB2312" w:hAnsi="仿宋_GB2312" w:cs="仿宋_GB2312" w:eastAsia="仿宋_GB2312"/>
                <w:sz w:val="20"/>
              </w:rPr>
              <w:t>工作，确保项目验收合格后即可投入正常使用。</w:t>
            </w:r>
          </w:p>
          <w:p>
            <w:pPr>
              <w:pStyle w:val="null3"/>
            </w:pPr>
            <w:r>
              <w:rPr>
                <w:rFonts w:ascii="仿宋_GB2312" w:hAnsi="仿宋_GB2312" w:cs="仿宋_GB2312" w:eastAsia="仿宋_GB2312"/>
                <w:sz w:val="21"/>
              </w:rPr>
              <w:t>1.</w:t>
            </w:r>
            <w:r>
              <w:rPr>
                <w:rFonts w:ascii="仿宋_GB2312" w:hAnsi="仿宋_GB2312" w:cs="仿宋_GB2312" w:eastAsia="仿宋_GB2312"/>
                <w:sz w:val="21"/>
                <w:b/>
              </w:rPr>
              <w:t>本项目所属行业为</w:t>
            </w:r>
            <w:r>
              <w:rPr>
                <w:rFonts w:ascii="仿宋_GB2312" w:hAnsi="仿宋_GB2312" w:cs="仿宋_GB2312" w:eastAsia="仿宋_GB2312"/>
                <w:sz w:val="21"/>
                <w:b/>
              </w:rPr>
              <w:t>:</w:t>
            </w:r>
            <w:r>
              <w:rPr>
                <w:rFonts w:ascii="仿宋_GB2312" w:hAnsi="仿宋_GB2312" w:cs="仿宋_GB2312" w:eastAsia="仿宋_GB2312"/>
                <w:sz w:val="21"/>
                <w:u w:val="single"/>
              </w:rPr>
              <w:t xml:space="preserve"> </w:t>
            </w:r>
            <w:r>
              <w:rPr>
                <w:rFonts w:ascii="仿宋_GB2312" w:hAnsi="仿宋_GB2312" w:cs="仿宋_GB2312" w:eastAsia="仿宋_GB2312"/>
                <w:sz w:val="21"/>
                <w:u w:val="single"/>
              </w:rPr>
              <w:t>工业</w:t>
            </w:r>
            <w:r>
              <w:rPr>
                <w:rFonts w:ascii="仿宋_GB2312" w:hAnsi="仿宋_GB2312" w:cs="仿宋_GB2312" w:eastAsia="仿宋_GB2312"/>
                <w:sz w:val="21"/>
              </w:rPr>
              <w:t>。（从业人员</w:t>
            </w:r>
            <w:r>
              <w:rPr>
                <w:rFonts w:ascii="仿宋_GB2312" w:hAnsi="仿宋_GB2312" w:cs="仿宋_GB2312" w:eastAsia="仿宋_GB2312"/>
                <w:sz w:val="21"/>
              </w:rPr>
              <w:t>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b/>
                <w:color w:val="000000"/>
              </w:rPr>
              <w:t>二、技术要求</w:t>
            </w:r>
          </w:p>
          <w:p>
            <w:pPr>
              <w:pStyle w:val="null3"/>
              <w:spacing w:after="150"/>
              <w:ind w:firstLine="420"/>
              <w:jc w:val="both"/>
            </w:pPr>
            <w:r>
              <w:rPr>
                <w:rFonts w:ascii="仿宋_GB2312" w:hAnsi="仿宋_GB2312" w:cs="仿宋_GB2312" w:eastAsia="仿宋_GB2312"/>
                <w:sz w:val="21"/>
                <w:b/>
              </w:rPr>
              <w:t>1、</w:t>
            </w:r>
            <w:r>
              <w:rPr>
                <w:rFonts w:ascii="仿宋_GB2312" w:hAnsi="仿宋_GB2312" w:cs="仿宋_GB2312" w:eastAsia="仿宋_GB2312"/>
                <w:sz w:val="24"/>
                <w:b/>
                <w:color w:val="000000"/>
              </w:rPr>
              <w:t>采购需求清单：</w:t>
            </w:r>
          </w:p>
          <w:tbl>
            <w:tblPr>
              <w:tblInd w:type="dxa" w:w="240"/>
              <w:tblBorders>
                <w:top w:val="none" w:color="000000" w:sz="4"/>
                <w:left w:val="none" w:color="000000" w:sz="4"/>
                <w:bottom w:val="none" w:color="000000" w:sz="4"/>
                <w:right w:val="none" w:color="000000" w:sz="4"/>
                <w:insideH w:val="none"/>
                <w:insideV w:val="none"/>
              </w:tblBorders>
            </w:tblPr>
            <w:tblGrid>
              <w:gridCol w:w="151"/>
              <w:gridCol w:w="238"/>
              <w:gridCol w:w="217"/>
              <w:gridCol w:w="349"/>
              <w:gridCol w:w="1580"/>
            </w:tblGrid>
            <w:tr>
              <w:tc>
                <w:tcPr>
                  <w:tcW w:type="dxa" w:w="1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序号</w:t>
                  </w:r>
                </w:p>
              </w:tc>
              <w:tc>
                <w:tcPr>
                  <w:tcW w:type="dxa" w:w="2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类别</w:t>
                  </w:r>
                </w:p>
              </w:tc>
              <w:tc>
                <w:tcPr>
                  <w:tcW w:type="dxa" w:w="2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单位</w:t>
                  </w:r>
                </w:p>
              </w:tc>
              <w:tc>
                <w:tcPr>
                  <w:tcW w:type="dxa" w:w="3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数量</w:t>
                  </w:r>
                </w:p>
              </w:tc>
              <w:tc>
                <w:tcPr>
                  <w:tcW w:type="dxa" w:w="15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参数</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人造草坪</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7774.5</w:t>
                  </w:r>
                </w:p>
              </w:tc>
              <w:tc>
                <w:tcPr>
                  <w:tcW w:type="dxa" w:w="1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w:t>
                  </w:r>
                  <w:r>
                    <w:rPr>
                      <w:rFonts w:ascii="仿宋_GB2312" w:hAnsi="仿宋_GB2312" w:cs="仿宋_GB2312" w:eastAsia="仿宋_GB2312"/>
                      <w:sz w:val="19"/>
                    </w:rPr>
                    <w:t>草丝类型必须是抗老化</w:t>
                  </w:r>
                  <w:r>
                    <w:rPr>
                      <w:rFonts w:ascii="仿宋_GB2312" w:hAnsi="仿宋_GB2312" w:cs="仿宋_GB2312" w:eastAsia="仿宋_GB2312"/>
                      <w:sz w:val="19"/>
                    </w:rPr>
                    <w:t>PE原生料；</w:t>
                  </w:r>
                </w:p>
                <w:p>
                  <w:pPr>
                    <w:pStyle w:val="null3"/>
                    <w:jc w:val="left"/>
                  </w:pPr>
                  <w:r>
                    <w:rPr>
                      <w:rFonts w:ascii="仿宋_GB2312" w:hAnsi="仿宋_GB2312" w:cs="仿宋_GB2312" w:eastAsia="仿宋_GB2312"/>
                      <w:sz w:val="19"/>
                    </w:rPr>
                    <w:t>2.</w:t>
                  </w:r>
                  <w:r>
                    <w:rPr>
                      <w:rFonts w:ascii="仿宋_GB2312" w:hAnsi="仿宋_GB2312" w:cs="仿宋_GB2312" w:eastAsia="仿宋_GB2312"/>
                      <w:sz w:val="19"/>
                    </w:rPr>
                    <w:t>草丝氧化诱导时间</w:t>
                  </w:r>
                  <w:r>
                    <w:rPr>
                      <w:rFonts w:ascii="仿宋_GB2312" w:hAnsi="仿宋_GB2312" w:cs="仿宋_GB2312" w:eastAsia="仿宋_GB2312"/>
                      <w:sz w:val="19"/>
                    </w:rPr>
                    <w:t>≥120min</w:t>
                  </w:r>
                  <w:r>
                    <w:rPr>
                      <w:rFonts w:ascii="仿宋_GB2312" w:hAnsi="仿宋_GB2312" w:cs="仿宋_GB2312" w:eastAsia="仿宋_GB2312"/>
                      <w:sz w:val="19"/>
                    </w:rPr>
                    <w:t>；</w:t>
                  </w:r>
                </w:p>
                <w:p>
                  <w:pPr>
                    <w:pStyle w:val="null3"/>
                    <w:jc w:val="left"/>
                  </w:pPr>
                  <w:r>
                    <w:rPr>
                      <w:rFonts w:ascii="仿宋_GB2312" w:hAnsi="仿宋_GB2312" w:cs="仿宋_GB2312" w:eastAsia="仿宋_GB2312"/>
                      <w:sz w:val="19"/>
                    </w:rPr>
                    <w:t>3.</w:t>
                  </w:r>
                  <w:r>
                    <w:rPr>
                      <w:rFonts w:ascii="仿宋_GB2312" w:hAnsi="仿宋_GB2312" w:cs="仿宋_GB2312" w:eastAsia="仿宋_GB2312"/>
                      <w:sz w:val="19"/>
                    </w:rPr>
                    <w:t>磅重设置</w:t>
                  </w:r>
                  <w:r>
                    <w:rPr>
                      <w:rFonts w:ascii="仿宋_GB2312" w:hAnsi="仿宋_GB2312" w:cs="仿宋_GB2312" w:eastAsia="仿宋_GB2312"/>
                      <w:sz w:val="19"/>
                    </w:rPr>
                    <w:t>≥12000Dtex</w:t>
                  </w:r>
                  <w:r>
                    <w:rPr>
                      <w:rFonts w:ascii="仿宋_GB2312" w:hAnsi="仿宋_GB2312" w:cs="仿宋_GB2312" w:eastAsia="仿宋_GB2312"/>
                      <w:sz w:val="19"/>
                    </w:rPr>
                    <w:t>；</w:t>
                  </w:r>
                </w:p>
                <w:p>
                  <w:pPr>
                    <w:pStyle w:val="null3"/>
                    <w:jc w:val="left"/>
                  </w:pPr>
                  <w:r>
                    <w:rPr>
                      <w:rFonts w:ascii="仿宋_GB2312" w:hAnsi="仿宋_GB2312" w:cs="仿宋_GB2312" w:eastAsia="仿宋_GB2312"/>
                      <w:sz w:val="19"/>
                    </w:rPr>
                    <w:t>4.</w:t>
                  </w:r>
                  <w:r>
                    <w:rPr>
                      <w:rFonts w:ascii="仿宋_GB2312" w:hAnsi="仿宋_GB2312" w:cs="仿宋_GB2312" w:eastAsia="仿宋_GB2312"/>
                      <w:sz w:val="19"/>
                    </w:rPr>
                    <w:t>满足</w:t>
                  </w:r>
                  <w:r>
                    <w:rPr>
                      <w:rFonts w:ascii="仿宋_GB2312" w:hAnsi="仿宋_GB2312" w:cs="仿宋_GB2312" w:eastAsia="仿宋_GB2312"/>
                      <w:sz w:val="19"/>
                    </w:rPr>
                    <w:t>GB36246-2018《中小学合成材料面层运动场地》标准</w:t>
                  </w:r>
                  <w:r>
                    <w:rPr>
                      <w:rFonts w:ascii="仿宋_GB2312" w:hAnsi="仿宋_GB2312" w:cs="仿宋_GB2312" w:eastAsia="仿宋_GB2312"/>
                      <w:sz w:val="19"/>
                    </w:rPr>
                    <w:t>；</w:t>
                  </w:r>
                  <w:r>
                    <w:rPr>
                      <w:rFonts w:ascii="仿宋_GB2312" w:hAnsi="仿宋_GB2312" w:cs="仿宋_GB2312" w:eastAsia="仿宋_GB2312"/>
                      <w:sz w:val="19"/>
                      <w:i/>
                    </w:rPr>
                    <w:t>（需提供第三方检测机构出具的检测报告作为佐证，否则视为无效标</w:t>
                  </w:r>
                  <w:r>
                    <w:rPr>
                      <w:rFonts w:ascii="仿宋_GB2312" w:hAnsi="仿宋_GB2312" w:cs="仿宋_GB2312" w:eastAsia="仿宋_GB2312"/>
                      <w:sz w:val="19"/>
                      <w:i/>
                    </w:rPr>
                    <w:t>(复印件加盖公章)）</w:t>
                  </w:r>
                </w:p>
                <w:p>
                  <w:pPr>
                    <w:pStyle w:val="null3"/>
                    <w:jc w:val="left"/>
                  </w:pPr>
                  <w:r>
                    <w:rPr>
                      <w:rFonts w:ascii="仿宋_GB2312" w:hAnsi="仿宋_GB2312" w:cs="仿宋_GB2312" w:eastAsia="仿宋_GB2312"/>
                      <w:sz w:val="19"/>
                    </w:rPr>
                    <w:t>5.</w:t>
                  </w:r>
                  <w:r>
                    <w:rPr>
                      <w:rFonts w:ascii="仿宋_GB2312" w:hAnsi="仿宋_GB2312" w:cs="仿宋_GB2312" w:eastAsia="仿宋_GB2312"/>
                      <w:sz w:val="19"/>
                    </w:rPr>
                    <w:t>满足</w:t>
                  </w:r>
                  <w:r>
                    <w:rPr>
                      <w:rFonts w:ascii="仿宋_GB2312" w:hAnsi="仿宋_GB2312" w:cs="仿宋_GB2312" w:eastAsia="仿宋_GB2312"/>
                      <w:sz w:val="19"/>
                    </w:rPr>
                    <w:t>GB/T20394-2019《体育用人造草》标准</w:t>
                  </w:r>
                  <w:r>
                    <w:rPr>
                      <w:rFonts w:ascii="仿宋_GB2312" w:hAnsi="仿宋_GB2312" w:cs="仿宋_GB2312" w:eastAsia="仿宋_GB2312"/>
                      <w:sz w:val="19"/>
                    </w:rPr>
                    <w:t>；</w:t>
                  </w:r>
                  <w:r>
                    <w:rPr>
                      <w:rFonts w:ascii="仿宋_GB2312" w:hAnsi="仿宋_GB2312" w:cs="仿宋_GB2312" w:eastAsia="仿宋_GB2312"/>
                      <w:sz w:val="19"/>
                      <w:i/>
                    </w:rPr>
                    <w:t>（需提供第三方检测机构出具的检测报告作为佐证，否则视为无效标</w:t>
                  </w:r>
                  <w:r>
                    <w:rPr>
                      <w:rFonts w:ascii="仿宋_GB2312" w:hAnsi="仿宋_GB2312" w:cs="仿宋_GB2312" w:eastAsia="仿宋_GB2312"/>
                      <w:sz w:val="19"/>
                      <w:i/>
                    </w:rPr>
                    <w:t>(复印件加盖公章)）</w:t>
                  </w:r>
                </w:p>
                <w:p>
                  <w:pPr>
                    <w:pStyle w:val="null3"/>
                    <w:jc w:val="left"/>
                  </w:pPr>
                  <w:r>
                    <w:rPr>
                      <w:rFonts w:ascii="仿宋_GB2312" w:hAnsi="仿宋_GB2312" w:cs="仿宋_GB2312" w:eastAsia="仿宋_GB2312"/>
                      <w:sz w:val="19"/>
                    </w:rPr>
                    <w:t>6.</w:t>
                  </w:r>
                  <w:r>
                    <w:rPr>
                      <w:rFonts w:ascii="仿宋_GB2312" w:hAnsi="仿宋_GB2312" w:cs="仿宋_GB2312" w:eastAsia="仿宋_GB2312"/>
                      <w:sz w:val="19"/>
                    </w:rPr>
                    <w:t>满足</w:t>
                  </w:r>
                  <w:r>
                    <w:rPr>
                      <w:rFonts w:ascii="仿宋_GB2312" w:hAnsi="仿宋_GB2312" w:cs="仿宋_GB2312" w:eastAsia="仿宋_GB2312"/>
                      <w:sz w:val="19"/>
                    </w:rPr>
                    <w:t>GB/T43566-2023《中小学人造草面层足球场地》标准</w:t>
                  </w:r>
                  <w:r>
                    <w:rPr>
                      <w:rFonts w:ascii="仿宋_GB2312" w:hAnsi="仿宋_GB2312" w:cs="仿宋_GB2312" w:eastAsia="仿宋_GB2312"/>
                      <w:sz w:val="19"/>
                    </w:rPr>
                    <w:t>；</w:t>
                  </w:r>
                  <w:r>
                    <w:rPr>
                      <w:rFonts w:ascii="仿宋_GB2312" w:hAnsi="仿宋_GB2312" w:cs="仿宋_GB2312" w:eastAsia="仿宋_GB2312"/>
                      <w:sz w:val="19"/>
                      <w:i/>
                    </w:rPr>
                    <w:t>（需提供第三方检测机构出具的检测报告作为佐证，否则视为无效标</w:t>
                  </w:r>
                  <w:r>
                    <w:rPr>
                      <w:rFonts w:ascii="仿宋_GB2312" w:hAnsi="仿宋_GB2312" w:cs="仿宋_GB2312" w:eastAsia="仿宋_GB2312"/>
                      <w:sz w:val="19"/>
                      <w:i/>
                    </w:rPr>
                    <w:t>(复印件加盖公章)）</w:t>
                  </w:r>
                </w:p>
                <w:p>
                  <w:pPr>
                    <w:pStyle w:val="null3"/>
                    <w:jc w:val="left"/>
                  </w:pPr>
                  <w:r>
                    <w:rPr>
                      <w:rFonts w:ascii="仿宋_GB2312" w:hAnsi="仿宋_GB2312" w:cs="仿宋_GB2312" w:eastAsia="仿宋_GB2312"/>
                      <w:sz w:val="19"/>
                    </w:rPr>
                    <w:t>7.</w:t>
                  </w:r>
                  <w:r>
                    <w:rPr>
                      <w:rFonts w:ascii="仿宋_GB2312" w:hAnsi="仿宋_GB2312" w:cs="仿宋_GB2312" w:eastAsia="仿宋_GB2312"/>
                      <w:sz w:val="19"/>
                    </w:rPr>
                    <w:t>安全性能</w:t>
                  </w:r>
                  <w:r>
                    <w:rPr>
                      <w:rFonts w:ascii="仿宋_GB2312" w:hAnsi="仿宋_GB2312" w:cs="仿宋_GB2312" w:eastAsia="仿宋_GB2312"/>
                      <w:sz w:val="19"/>
                    </w:rPr>
                    <w:t>通过</w:t>
                  </w:r>
                  <w:r>
                    <w:rPr>
                      <w:rFonts w:ascii="仿宋_GB2312" w:hAnsi="仿宋_GB2312" w:cs="仿宋_GB2312" w:eastAsia="仿宋_GB2312"/>
                      <w:sz w:val="19"/>
                    </w:rPr>
                    <w:t>GB/36246-2018新国标气味等级数值≤2专项检测报告。</w:t>
                  </w:r>
                  <w:r>
                    <w:rPr>
                      <w:rFonts w:ascii="仿宋_GB2312" w:hAnsi="仿宋_GB2312" w:cs="仿宋_GB2312" w:eastAsia="仿宋_GB2312"/>
                      <w:sz w:val="19"/>
                      <w:i/>
                    </w:rPr>
                    <w:t>（需提供第三方检测机构出具的检测报告作为佐证，否则视为无效标</w:t>
                  </w:r>
                  <w:r>
                    <w:rPr>
                      <w:rFonts w:ascii="仿宋_GB2312" w:hAnsi="仿宋_GB2312" w:cs="仿宋_GB2312" w:eastAsia="仿宋_GB2312"/>
                      <w:sz w:val="19"/>
                      <w:i/>
                    </w:rPr>
                    <w:t>(复印件加盖公章)）</w:t>
                  </w:r>
                </w:p>
                <w:p>
                  <w:pPr>
                    <w:pStyle w:val="null3"/>
                    <w:jc w:val="left"/>
                  </w:pPr>
                  <w:r>
                    <w:rPr>
                      <w:rFonts w:ascii="仿宋_GB2312" w:hAnsi="仿宋_GB2312" w:cs="仿宋_GB2312" w:eastAsia="仿宋_GB2312"/>
                      <w:sz w:val="19"/>
                    </w:rPr>
                    <w:t>8.</w:t>
                  </w:r>
                  <w:r>
                    <w:rPr>
                      <w:rFonts w:ascii="仿宋_GB2312" w:hAnsi="仿宋_GB2312" w:cs="仿宋_GB2312" w:eastAsia="仿宋_GB2312"/>
                      <w:sz w:val="19"/>
                    </w:rPr>
                    <w:t>阻燃性能</w:t>
                  </w:r>
                  <w:r>
                    <w:rPr>
                      <w:rFonts w:ascii="仿宋_GB2312" w:hAnsi="仿宋_GB2312" w:cs="仿宋_GB2312" w:eastAsia="仿宋_GB2312"/>
                      <w:sz w:val="19"/>
                    </w:rPr>
                    <w:t>为保证人造草坪剥离强度和阻燃性，人造草坪通过</w:t>
                  </w:r>
                  <w:r>
                    <w:rPr>
                      <w:rFonts w:ascii="仿宋_GB2312" w:hAnsi="仿宋_GB2312" w:cs="仿宋_GB2312" w:eastAsia="仿宋_GB2312"/>
                      <w:sz w:val="19"/>
                    </w:rPr>
                    <w:t>GB/T43566-2023剥离强度和阻燃性能的检测，剥离强度≥103N/100㎜。阻燃性（中心到损毁边沿最大距离）≤27㎜</w:t>
                  </w:r>
                  <w:r>
                    <w:rPr>
                      <w:rFonts w:ascii="仿宋_GB2312" w:hAnsi="仿宋_GB2312" w:cs="仿宋_GB2312" w:eastAsia="仿宋_GB2312"/>
                      <w:sz w:val="19"/>
                    </w:rPr>
                    <w:t>；</w:t>
                  </w:r>
                  <w:r>
                    <w:rPr>
                      <w:rFonts w:ascii="仿宋_GB2312" w:hAnsi="仿宋_GB2312" w:cs="仿宋_GB2312" w:eastAsia="仿宋_GB2312"/>
                      <w:sz w:val="19"/>
                      <w:i/>
                    </w:rPr>
                    <w:t>（需提供第三方检测机构出具的检测报告作为佐证，否则视为无效标</w:t>
                  </w:r>
                  <w:r>
                    <w:rPr>
                      <w:rFonts w:ascii="仿宋_GB2312" w:hAnsi="仿宋_GB2312" w:cs="仿宋_GB2312" w:eastAsia="仿宋_GB2312"/>
                      <w:sz w:val="19"/>
                      <w:i/>
                    </w:rPr>
                    <w:t>(复印件加盖公章)）</w:t>
                  </w:r>
                </w:p>
                <w:p>
                  <w:pPr>
                    <w:pStyle w:val="null3"/>
                    <w:jc w:val="left"/>
                  </w:pPr>
                  <w:r>
                    <w:rPr>
                      <w:rFonts w:ascii="仿宋_GB2312" w:hAnsi="仿宋_GB2312" w:cs="仿宋_GB2312" w:eastAsia="仿宋_GB2312"/>
                      <w:sz w:val="19"/>
                    </w:rPr>
                    <w:t>9.</w:t>
                  </w:r>
                  <w:r>
                    <w:rPr>
                      <w:rFonts w:ascii="仿宋_GB2312" w:hAnsi="仿宋_GB2312" w:cs="仿宋_GB2312" w:eastAsia="仿宋_GB2312"/>
                      <w:sz w:val="19"/>
                    </w:rPr>
                    <w:t>耐久性能</w:t>
                  </w:r>
                  <w:r>
                    <w:rPr>
                      <w:rFonts w:ascii="仿宋_GB2312" w:hAnsi="仿宋_GB2312" w:cs="仿宋_GB2312" w:eastAsia="仿宋_GB2312"/>
                      <w:sz w:val="19"/>
                    </w:rPr>
                    <w:t>人造草坪进行人工气候加速老化</w:t>
                  </w:r>
                  <w:r>
                    <w:rPr>
                      <w:rFonts w:ascii="仿宋_GB2312" w:hAnsi="仿宋_GB2312" w:cs="仿宋_GB2312" w:eastAsia="仿宋_GB2312"/>
                      <w:sz w:val="19"/>
                    </w:rPr>
                    <w:t>1500小时，草丝拉断力不低于加速老化前测定值的80%</w:t>
                  </w:r>
                  <w:r>
                    <w:rPr>
                      <w:rFonts w:ascii="仿宋_GB2312" w:hAnsi="仿宋_GB2312" w:cs="仿宋_GB2312" w:eastAsia="仿宋_GB2312"/>
                      <w:sz w:val="19"/>
                    </w:rPr>
                    <w:t>；</w:t>
                  </w:r>
                </w:p>
                <w:p>
                  <w:pPr>
                    <w:pStyle w:val="null3"/>
                    <w:jc w:val="left"/>
                  </w:pPr>
                  <w:r>
                    <w:rPr>
                      <w:rFonts w:ascii="仿宋_GB2312" w:hAnsi="仿宋_GB2312" w:cs="仿宋_GB2312" w:eastAsia="仿宋_GB2312"/>
                      <w:sz w:val="19"/>
                    </w:rPr>
                    <w:t>10.</w:t>
                  </w:r>
                  <w:r>
                    <w:rPr>
                      <w:rFonts w:ascii="仿宋_GB2312" w:hAnsi="仿宋_GB2312" w:cs="仿宋_GB2312" w:eastAsia="仿宋_GB2312"/>
                      <w:sz w:val="19"/>
                    </w:rPr>
                    <w:t>①人造草坪原材料聚乙烯PE通过依据GB4806.7-2023标准，在50%乙醇，4%乙酸 ≥60℃环境下总迁移量，重金属铅含量符合国家限值要求</w:t>
                  </w:r>
                  <w:r>
                    <w:rPr>
                      <w:rFonts w:ascii="仿宋_GB2312" w:hAnsi="仿宋_GB2312" w:cs="仿宋_GB2312" w:eastAsia="仿宋_GB2312"/>
                      <w:sz w:val="19"/>
                      <w:i/>
                    </w:rPr>
                    <w:t>（需提供第三方检测机构出具的检测报告作为佐证，否则视为无效标</w:t>
                  </w:r>
                  <w:r>
                    <w:rPr>
                      <w:rFonts w:ascii="仿宋_GB2312" w:hAnsi="仿宋_GB2312" w:cs="仿宋_GB2312" w:eastAsia="仿宋_GB2312"/>
                      <w:sz w:val="19"/>
                      <w:i/>
                    </w:rPr>
                    <w:t>(复印件加盖公章)）</w:t>
                  </w:r>
                </w:p>
                <w:p>
                  <w:pPr>
                    <w:pStyle w:val="null3"/>
                    <w:jc w:val="left"/>
                  </w:pPr>
                  <w:r>
                    <w:rPr>
                      <w:rFonts w:ascii="仿宋_GB2312" w:hAnsi="仿宋_GB2312" w:cs="仿宋_GB2312" w:eastAsia="仿宋_GB2312"/>
                      <w:sz w:val="19"/>
                    </w:rPr>
                    <w:t>11.</w:t>
                  </w:r>
                  <w:r>
                    <w:rPr>
                      <w:rFonts w:ascii="仿宋_GB2312" w:hAnsi="仿宋_GB2312" w:cs="仿宋_GB2312" w:eastAsia="仿宋_GB2312"/>
                      <w:sz w:val="19"/>
                    </w:rPr>
                    <w:t>②人造草坪产品需通过在高温96℃、低温-55℃环境下 3000小时后，草丝拉断力，底布拉断力，单簇草丝拔出力等检测结果均符合GB36246-2018《中小学合成材料面层运动场地》及GB/T20394-2019《体育用人造草》标准要求，</w:t>
                  </w:r>
                  <w:r>
                    <w:rPr>
                      <w:rFonts w:ascii="仿宋_GB2312" w:hAnsi="仿宋_GB2312" w:cs="仿宋_GB2312" w:eastAsia="仿宋_GB2312"/>
                      <w:sz w:val="19"/>
                      <w:i/>
                    </w:rPr>
                    <w:t>（需提供第三方检测机构出具的检测报告作为佐证，否则视为无效标</w:t>
                  </w:r>
                  <w:r>
                    <w:rPr>
                      <w:rFonts w:ascii="仿宋_GB2312" w:hAnsi="仿宋_GB2312" w:cs="仿宋_GB2312" w:eastAsia="仿宋_GB2312"/>
                      <w:sz w:val="19"/>
                      <w:i/>
                    </w:rPr>
                    <w:t>(复印件加盖公章)）</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围网</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2300</w:t>
                  </w:r>
                </w:p>
              </w:tc>
              <w:tc>
                <w:tcPr>
                  <w:tcW w:type="dxa" w:w="1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w:t>
                  </w:r>
                  <w:r>
                    <w:rPr>
                      <w:rFonts w:ascii="仿宋_GB2312" w:hAnsi="仿宋_GB2312" w:cs="仿宋_GB2312" w:eastAsia="仿宋_GB2312"/>
                      <w:sz w:val="19"/>
                    </w:rPr>
                    <w:t>6米日字型</w:t>
                  </w:r>
                  <w:r>
                    <w:rPr>
                      <w:rFonts w:ascii="仿宋_GB2312" w:hAnsi="仿宋_GB2312" w:cs="仿宋_GB2312" w:eastAsia="仿宋_GB2312"/>
                      <w:sz w:val="19"/>
                    </w:rPr>
                    <w:t>；</w:t>
                  </w:r>
                </w:p>
                <w:p>
                  <w:pPr>
                    <w:pStyle w:val="null3"/>
                    <w:jc w:val="left"/>
                  </w:pPr>
                  <w:r>
                    <w:rPr>
                      <w:rFonts w:ascii="仿宋_GB2312" w:hAnsi="仿宋_GB2312" w:cs="仿宋_GB2312" w:eastAsia="仿宋_GB2312"/>
                      <w:sz w:val="19"/>
                    </w:rPr>
                    <w:t>2.</w:t>
                  </w:r>
                  <w:r>
                    <w:rPr>
                      <w:rFonts w:ascii="仿宋_GB2312" w:hAnsi="仿宋_GB2312" w:cs="仿宋_GB2312" w:eastAsia="仿宋_GB2312"/>
                      <w:sz w:val="19"/>
                    </w:rPr>
                    <w:t>立柱</w:t>
                  </w:r>
                  <w:r>
                    <w:rPr>
                      <w:rFonts w:ascii="仿宋_GB2312" w:hAnsi="仿宋_GB2312" w:cs="仿宋_GB2312" w:eastAsia="仿宋_GB2312"/>
                      <w:sz w:val="19"/>
                    </w:rPr>
                    <w:t>76*3.0mm热镀锌管+喷塑</w:t>
                  </w:r>
                  <w:r>
                    <w:rPr>
                      <w:rFonts w:ascii="仿宋_GB2312" w:hAnsi="仿宋_GB2312" w:cs="仿宋_GB2312" w:eastAsia="仿宋_GB2312"/>
                      <w:sz w:val="19"/>
                    </w:rPr>
                    <w:t>；</w:t>
                  </w:r>
                </w:p>
                <w:p>
                  <w:pPr>
                    <w:pStyle w:val="null3"/>
                    <w:jc w:val="left"/>
                  </w:pPr>
                  <w:r>
                    <w:rPr>
                      <w:rFonts w:ascii="仿宋_GB2312" w:hAnsi="仿宋_GB2312" w:cs="仿宋_GB2312" w:eastAsia="仿宋_GB2312"/>
                      <w:sz w:val="19"/>
                    </w:rPr>
                    <w:t>3.</w:t>
                  </w:r>
                  <w:r>
                    <w:rPr>
                      <w:rFonts w:ascii="仿宋_GB2312" w:hAnsi="仿宋_GB2312" w:cs="仿宋_GB2312" w:eastAsia="仿宋_GB2312"/>
                      <w:sz w:val="19"/>
                    </w:rPr>
                    <w:t>横杆</w:t>
                  </w:r>
                  <w:r>
                    <w:rPr>
                      <w:rFonts w:ascii="仿宋_GB2312" w:hAnsi="仿宋_GB2312" w:cs="仿宋_GB2312" w:eastAsia="仿宋_GB2312"/>
                      <w:sz w:val="19"/>
                    </w:rPr>
                    <w:t>60*2.0mm镀锌管+喷塑</w:t>
                  </w:r>
                  <w:r>
                    <w:rPr>
                      <w:rFonts w:ascii="仿宋_GB2312" w:hAnsi="仿宋_GB2312" w:cs="仿宋_GB2312" w:eastAsia="仿宋_GB2312"/>
                      <w:sz w:val="19"/>
                    </w:rPr>
                    <w:t>；</w:t>
                  </w:r>
                </w:p>
                <w:p>
                  <w:pPr>
                    <w:pStyle w:val="null3"/>
                    <w:jc w:val="left"/>
                  </w:pPr>
                  <w:r>
                    <w:rPr>
                      <w:rFonts w:ascii="仿宋_GB2312" w:hAnsi="仿宋_GB2312" w:cs="仿宋_GB2312" w:eastAsia="仿宋_GB2312"/>
                      <w:sz w:val="19"/>
                    </w:rPr>
                    <w:t>4.</w:t>
                  </w:r>
                  <w:r>
                    <w:rPr>
                      <w:rFonts w:ascii="仿宋_GB2312" w:hAnsi="仿宋_GB2312" w:cs="仿宋_GB2312" w:eastAsia="仿宋_GB2312"/>
                      <w:sz w:val="19"/>
                    </w:rPr>
                    <w:t>PVC改拔丝勾花网50*50*2.3/3.8mm</w:t>
                  </w:r>
                  <w:r>
                    <w:rPr>
                      <w:rFonts w:ascii="仿宋_GB2312" w:hAnsi="仿宋_GB2312" w:cs="仿宋_GB2312" w:eastAsia="仿宋_GB2312"/>
                      <w:sz w:val="19"/>
                    </w:rPr>
                    <w:t>；</w:t>
                  </w:r>
                </w:p>
                <w:p>
                  <w:pPr>
                    <w:pStyle w:val="null3"/>
                    <w:jc w:val="left"/>
                  </w:pPr>
                  <w:r>
                    <w:rPr>
                      <w:rFonts w:ascii="仿宋_GB2312" w:hAnsi="仿宋_GB2312" w:cs="仿宋_GB2312" w:eastAsia="仿宋_GB2312"/>
                      <w:sz w:val="19"/>
                    </w:rPr>
                    <w:t>5.</w:t>
                  </w:r>
                  <w:r>
                    <w:rPr>
                      <w:rFonts w:ascii="仿宋_GB2312" w:hAnsi="仿宋_GB2312" w:cs="仿宋_GB2312" w:eastAsia="仿宋_GB2312"/>
                      <w:sz w:val="19"/>
                    </w:rPr>
                    <w:t>扣件连接</w:t>
                  </w:r>
                  <w:r>
                    <w:rPr>
                      <w:rFonts w:ascii="仿宋_GB2312" w:hAnsi="仿宋_GB2312" w:cs="仿宋_GB2312" w:eastAsia="仿宋_GB2312"/>
                      <w:sz w:val="19"/>
                    </w:rPr>
                    <w:t>；</w:t>
                  </w:r>
                </w:p>
                <w:p>
                  <w:pPr>
                    <w:pStyle w:val="null3"/>
                    <w:jc w:val="left"/>
                  </w:pPr>
                  <w:r>
                    <w:rPr>
                      <w:rFonts w:ascii="仿宋_GB2312" w:hAnsi="仿宋_GB2312" w:cs="仿宋_GB2312" w:eastAsia="仿宋_GB2312"/>
                      <w:sz w:val="19"/>
                    </w:rPr>
                    <w:t>6.</w:t>
                  </w:r>
                  <w:r>
                    <w:rPr>
                      <w:rFonts w:ascii="仿宋_GB2312" w:hAnsi="仿宋_GB2312" w:cs="仿宋_GB2312" w:eastAsia="仿宋_GB2312"/>
                      <w:sz w:val="19"/>
                    </w:rPr>
                    <w:t>铝合金压条固定</w:t>
                  </w:r>
                  <w:r>
                    <w:rPr>
                      <w:rFonts w:ascii="仿宋_GB2312" w:hAnsi="仿宋_GB2312" w:cs="仿宋_GB2312" w:eastAsia="仿宋_GB2312"/>
                      <w:sz w:val="19"/>
                    </w:rPr>
                    <w:t>；</w:t>
                  </w:r>
                </w:p>
                <w:p>
                  <w:pPr>
                    <w:pStyle w:val="null3"/>
                    <w:jc w:val="left"/>
                  </w:pPr>
                  <w:r>
                    <w:rPr>
                      <w:rFonts w:ascii="仿宋_GB2312" w:hAnsi="仿宋_GB2312" w:cs="仿宋_GB2312" w:eastAsia="仿宋_GB2312"/>
                      <w:sz w:val="19"/>
                    </w:rPr>
                    <w:t>7.</w:t>
                  </w:r>
                  <w:r>
                    <w:rPr>
                      <w:rFonts w:ascii="仿宋_GB2312" w:hAnsi="仿宋_GB2312" w:cs="仿宋_GB2312" w:eastAsia="仿宋_GB2312"/>
                      <w:sz w:val="19"/>
                    </w:rPr>
                    <w:t>横杆离地</w:t>
                  </w:r>
                  <w:r>
                    <w:rPr>
                      <w:rFonts w:ascii="仿宋_GB2312" w:hAnsi="仿宋_GB2312" w:cs="仿宋_GB2312" w:eastAsia="仿宋_GB2312"/>
                      <w:sz w:val="19"/>
                    </w:rPr>
                    <w:t>10公分</w:t>
                  </w:r>
                  <w:r>
                    <w:rPr>
                      <w:rFonts w:ascii="仿宋_GB2312" w:hAnsi="仿宋_GB2312" w:cs="仿宋_GB2312" w:eastAsia="仿宋_GB2312"/>
                      <w:sz w:val="19"/>
                    </w:rPr>
                    <w:t>；</w:t>
                  </w:r>
                </w:p>
                <w:p>
                  <w:pPr>
                    <w:pStyle w:val="null3"/>
                    <w:jc w:val="left"/>
                  </w:pPr>
                  <w:r>
                    <w:rPr>
                      <w:rFonts w:ascii="仿宋_GB2312" w:hAnsi="仿宋_GB2312" w:cs="仿宋_GB2312" w:eastAsia="仿宋_GB2312"/>
                      <w:sz w:val="19"/>
                    </w:rPr>
                    <w:t>8.</w:t>
                  </w:r>
                  <w:r>
                    <w:rPr>
                      <w:rFonts w:ascii="仿宋_GB2312" w:hAnsi="仿宋_GB2312" w:cs="仿宋_GB2312" w:eastAsia="仿宋_GB2312"/>
                      <w:sz w:val="19"/>
                    </w:rPr>
                    <w:t>立柱直埋</w:t>
                  </w:r>
                  <w:r>
                    <w:rPr>
                      <w:rFonts w:ascii="仿宋_GB2312" w:hAnsi="仿宋_GB2312" w:cs="仿宋_GB2312" w:eastAsia="仿宋_GB2312"/>
                      <w:sz w:val="19"/>
                    </w:rPr>
                    <w:t>50公分</w:t>
                  </w:r>
                  <w:r>
                    <w:rPr>
                      <w:rFonts w:ascii="仿宋_GB2312" w:hAnsi="仿宋_GB2312" w:cs="仿宋_GB2312" w:eastAsia="仿宋_GB2312"/>
                      <w:sz w:val="19"/>
                    </w:rPr>
                    <w:t>；</w:t>
                  </w:r>
                </w:p>
                <w:p>
                  <w:pPr>
                    <w:pStyle w:val="null3"/>
                    <w:jc w:val="left"/>
                  </w:pPr>
                  <w:r>
                    <w:rPr>
                      <w:rFonts w:ascii="仿宋_GB2312" w:hAnsi="仿宋_GB2312" w:cs="仿宋_GB2312" w:eastAsia="仿宋_GB2312"/>
                      <w:sz w:val="19"/>
                    </w:rPr>
                    <w:t>9.</w:t>
                  </w:r>
                  <w:r>
                    <w:rPr>
                      <w:rFonts w:ascii="仿宋_GB2312" w:hAnsi="仿宋_GB2312" w:cs="仿宋_GB2312" w:eastAsia="仿宋_GB2312"/>
                      <w:sz w:val="19"/>
                    </w:rPr>
                    <w:t>颜色墨绿</w:t>
                  </w:r>
                  <w:r>
                    <w:rPr>
                      <w:rFonts w:ascii="仿宋_GB2312" w:hAnsi="仿宋_GB2312" w:cs="仿宋_GB2312" w:eastAsia="仿宋_GB2312"/>
                      <w:sz w:val="19"/>
                    </w:rPr>
                    <w:t>；</w:t>
                  </w:r>
                </w:p>
                <w:p>
                  <w:pPr>
                    <w:pStyle w:val="null3"/>
                    <w:jc w:val="left"/>
                  </w:pPr>
                  <w:r>
                    <w:rPr>
                      <w:rFonts w:ascii="仿宋_GB2312" w:hAnsi="仿宋_GB2312" w:cs="仿宋_GB2312" w:eastAsia="仿宋_GB2312"/>
                      <w:sz w:val="19"/>
                    </w:rPr>
                    <w:t>10.</w:t>
                  </w:r>
                  <w:r>
                    <w:rPr>
                      <w:rFonts w:ascii="仿宋_GB2312" w:hAnsi="仿宋_GB2312" w:cs="仿宋_GB2312" w:eastAsia="仿宋_GB2312"/>
                      <w:sz w:val="19"/>
                    </w:rPr>
                    <w:t>含球场灯塔一圈围网</w:t>
                  </w:r>
                </w:p>
                <w:p>
                  <w:pPr>
                    <w:pStyle w:val="null3"/>
                    <w:jc w:val="left"/>
                  </w:pPr>
                  <w:r>
                    <w:rPr>
                      <w:rFonts w:ascii="仿宋_GB2312" w:hAnsi="仿宋_GB2312" w:cs="仿宋_GB2312" w:eastAsia="仿宋_GB2312"/>
                      <w:sz w:val="19"/>
                    </w:rPr>
                    <w:t>11.</w:t>
                  </w:r>
                  <w:r>
                    <w:rPr>
                      <w:rFonts w:ascii="仿宋_GB2312" w:hAnsi="仿宋_GB2312" w:cs="仿宋_GB2312" w:eastAsia="仿宋_GB2312"/>
                      <w:sz w:val="19"/>
                    </w:rPr>
                    <w:t>★技术整体要求：GB/T34279-2017《笼式足球场围网设施安全通用要求》</w:t>
                  </w:r>
                  <w:r>
                    <w:rPr>
                      <w:rFonts w:ascii="仿宋_GB2312" w:hAnsi="仿宋_GB2312" w:cs="仿宋_GB2312" w:eastAsia="仿宋_GB2312"/>
                      <w:sz w:val="19"/>
                    </w:rPr>
                    <w:t>，</w:t>
                  </w:r>
                  <w:r>
                    <w:rPr>
                      <w:rFonts w:ascii="仿宋_GB2312" w:hAnsi="仿宋_GB2312" w:cs="仿宋_GB2312" w:eastAsia="仿宋_GB2312"/>
                      <w:sz w:val="19"/>
                      <w:i/>
                    </w:rPr>
                    <w:t>（需提供第三方检测机构出具的检测报告</w:t>
                  </w:r>
                  <w:r>
                    <w:rPr>
                      <w:rFonts w:ascii="仿宋_GB2312" w:hAnsi="仿宋_GB2312" w:cs="仿宋_GB2312" w:eastAsia="仿宋_GB2312"/>
                      <w:sz w:val="19"/>
                      <w:i/>
                    </w:rPr>
                    <w:t>作为佐证，否则视为无效标</w:t>
                  </w:r>
                  <w:r>
                    <w:rPr>
                      <w:rFonts w:ascii="仿宋_GB2312" w:hAnsi="仿宋_GB2312" w:cs="仿宋_GB2312" w:eastAsia="仿宋_GB2312"/>
                      <w:sz w:val="19"/>
                      <w:i/>
                    </w:rPr>
                    <w:t>(复印件加盖公章)）</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LED灯具</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盏</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64</w:t>
                  </w:r>
                </w:p>
              </w:tc>
              <w:tc>
                <w:tcPr>
                  <w:tcW w:type="dxa" w:w="1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w:t>
                  </w:r>
                  <w:r>
                    <w:rPr>
                      <w:rFonts w:ascii="仿宋_GB2312" w:hAnsi="仿宋_GB2312" w:cs="仿宋_GB2312" w:eastAsia="仿宋_GB2312"/>
                      <w:sz w:val="19"/>
                    </w:rPr>
                    <w:t>.</w:t>
                  </w:r>
                  <w:r>
                    <w:rPr>
                      <w:rFonts w:ascii="仿宋_GB2312" w:hAnsi="仿宋_GB2312" w:cs="仿宋_GB2312" w:eastAsia="仿宋_GB2312"/>
                      <w:sz w:val="19"/>
                    </w:rPr>
                    <w:t>整灯功率：</w:t>
                  </w:r>
                  <w:r>
                    <w:rPr>
                      <w:rFonts w:ascii="仿宋_GB2312" w:hAnsi="仿宋_GB2312" w:cs="仿宋_GB2312" w:eastAsia="仿宋_GB2312"/>
                      <w:sz w:val="19"/>
                    </w:rPr>
                    <w:t>500W±5%；光效≥130lm/w；色温：5000K±300K；一般显色指数Ra≥80</w:t>
                  </w:r>
                  <w:r>
                    <w:rPr>
                      <w:rFonts w:ascii="仿宋_GB2312" w:hAnsi="仿宋_GB2312" w:cs="仿宋_GB2312" w:eastAsia="仿宋_GB2312"/>
                      <w:sz w:val="19"/>
                    </w:rPr>
                    <w:t>；</w:t>
                  </w:r>
                </w:p>
                <w:p>
                  <w:pPr>
                    <w:pStyle w:val="null3"/>
                    <w:jc w:val="left"/>
                  </w:pPr>
                  <w:r>
                    <w:rPr>
                      <w:rFonts w:ascii="仿宋_GB2312" w:hAnsi="仿宋_GB2312" w:cs="仿宋_GB2312" w:eastAsia="仿宋_GB2312"/>
                      <w:sz w:val="19"/>
                    </w:rPr>
                    <w:t>2</w:t>
                  </w:r>
                  <w:r>
                    <w:rPr>
                      <w:rFonts w:ascii="仿宋_GB2312" w:hAnsi="仿宋_GB2312" w:cs="仿宋_GB2312" w:eastAsia="仿宋_GB2312"/>
                      <w:sz w:val="19"/>
                    </w:rPr>
                    <w:t>.</w:t>
                  </w:r>
                  <w:r>
                    <w:rPr>
                      <w:rFonts w:ascii="仿宋_GB2312" w:hAnsi="仿宋_GB2312" w:cs="仿宋_GB2312" w:eastAsia="仿宋_GB2312"/>
                      <w:sz w:val="19"/>
                    </w:rPr>
                    <w:t>灯具防护等级：</w:t>
                  </w:r>
                  <w:r>
                    <w:rPr>
                      <w:rFonts w:ascii="仿宋_GB2312" w:hAnsi="仿宋_GB2312" w:cs="仿宋_GB2312" w:eastAsia="仿宋_GB2312"/>
                      <w:sz w:val="19"/>
                    </w:rPr>
                    <w:t>IP66</w:t>
                  </w:r>
                  <w:r>
                    <w:rPr>
                      <w:rFonts w:ascii="仿宋_GB2312" w:hAnsi="仿宋_GB2312" w:cs="仿宋_GB2312" w:eastAsia="仿宋_GB2312"/>
                      <w:sz w:val="19"/>
                    </w:rPr>
                    <w:t>；</w:t>
                  </w:r>
                </w:p>
                <w:p>
                  <w:pPr>
                    <w:pStyle w:val="null3"/>
                    <w:jc w:val="left"/>
                  </w:pPr>
                  <w:r>
                    <w:rPr>
                      <w:rFonts w:ascii="仿宋_GB2312" w:hAnsi="仿宋_GB2312" w:cs="仿宋_GB2312" w:eastAsia="仿宋_GB2312"/>
                      <w:sz w:val="19"/>
                    </w:rPr>
                    <w:t>3</w:t>
                  </w:r>
                  <w:r>
                    <w:rPr>
                      <w:rFonts w:ascii="仿宋_GB2312" w:hAnsi="仿宋_GB2312" w:cs="仿宋_GB2312" w:eastAsia="仿宋_GB2312"/>
                      <w:sz w:val="19"/>
                    </w:rPr>
                    <w:t>.</w:t>
                  </w:r>
                  <w:r>
                    <w:rPr>
                      <w:rFonts w:ascii="仿宋_GB2312" w:hAnsi="仿宋_GB2312" w:cs="仿宋_GB2312" w:eastAsia="仿宋_GB2312"/>
                      <w:sz w:val="19"/>
                    </w:rPr>
                    <w:t>灯具蓝光危害类别：</w:t>
                  </w:r>
                  <w:r>
                    <w:rPr>
                      <w:rFonts w:ascii="仿宋_GB2312" w:hAnsi="仿宋_GB2312" w:cs="仿宋_GB2312" w:eastAsia="仿宋_GB2312"/>
                      <w:sz w:val="19"/>
                    </w:rPr>
                    <w:t>RG1</w:t>
                  </w:r>
                  <w:r>
                    <w:rPr>
                      <w:rFonts w:ascii="仿宋_GB2312" w:hAnsi="仿宋_GB2312" w:cs="仿宋_GB2312" w:eastAsia="仿宋_GB2312"/>
                      <w:sz w:val="19"/>
                    </w:rPr>
                    <w:t>；</w:t>
                  </w:r>
                </w:p>
                <w:p>
                  <w:pPr>
                    <w:pStyle w:val="null3"/>
                    <w:jc w:val="left"/>
                  </w:pPr>
                  <w:r>
                    <w:rPr>
                      <w:rFonts w:ascii="仿宋_GB2312" w:hAnsi="仿宋_GB2312" w:cs="仿宋_GB2312" w:eastAsia="仿宋_GB2312"/>
                      <w:sz w:val="19"/>
                    </w:rPr>
                    <w:t>4</w:t>
                  </w:r>
                  <w:r>
                    <w:rPr>
                      <w:rFonts w:ascii="仿宋_GB2312" w:hAnsi="仿宋_GB2312" w:cs="仿宋_GB2312" w:eastAsia="仿宋_GB2312"/>
                      <w:sz w:val="19"/>
                    </w:rPr>
                    <w:t>.</w:t>
                  </w:r>
                  <w:r>
                    <w:rPr>
                      <w:rFonts w:ascii="仿宋_GB2312" w:hAnsi="仿宋_GB2312" w:cs="仿宋_GB2312" w:eastAsia="仿宋_GB2312"/>
                      <w:sz w:val="19"/>
                    </w:rPr>
                    <w:t>灯具通过亮灯</w:t>
                  </w:r>
                  <w:r>
                    <w:rPr>
                      <w:rFonts w:ascii="仿宋_GB2312" w:hAnsi="仿宋_GB2312" w:cs="仿宋_GB2312" w:eastAsia="仿宋_GB2312"/>
                      <w:sz w:val="19"/>
                    </w:rPr>
                    <w:t>30000小时及以上老化试验，正常工作</w:t>
                  </w:r>
                  <w:r>
                    <w:rPr>
                      <w:rFonts w:ascii="仿宋_GB2312" w:hAnsi="仿宋_GB2312" w:cs="仿宋_GB2312" w:eastAsia="仿宋_GB2312"/>
                      <w:sz w:val="19"/>
                    </w:rPr>
                    <w:t>；</w:t>
                  </w:r>
                </w:p>
                <w:p>
                  <w:pPr>
                    <w:pStyle w:val="null3"/>
                    <w:jc w:val="left"/>
                  </w:pPr>
                  <w:r>
                    <w:rPr>
                      <w:rFonts w:ascii="仿宋_GB2312" w:hAnsi="仿宋_GB2312" w:cs="仿宋_GB2312" w:eastAsia="仿宋_GB2312"/>
                      <w:sz w:val="19"/>
                    </w:rPr>
                    <w:t>5、灯具点亮30000小时及以上后，光通维持率≥0.95</w:t>
                  </w:r>
                  <w:r>
                    <w:rPr>
                      <w:rFonts w:ascii="仿宋_GB2312" w:hAnsi="仿宋_GB2312" w:cs="仿宋_GB2312" w:eastAsia="仿宋_GB2312"/>
                      <w:sz w:val="19"/>
                    </w:rPr>
                    <w:t>；</w:t>
                  </w:r>
                </w:p>
                <w:p>
                  <w:pPr>
                    <w:pStyle w:val="null3"/>
                    <w:jc w:val="left"/>
                  </w:pPr>
                  <w:r>
                    <w:rPr>
                      <w:rFonts w:ascii="仿宋_GB2312" w:hAnsi="仿宋_GB2312" w:cs="仿宋_GB2312" w:eastAsia="仿宋_GB2312"/>
                      <w:sz w:val="19"/>
                    </w:rPr>
                    <w:t>6、灯具在初始和点亮30000小时及以上经过5J外壳冲击试验，均无异常无变形</w:t>
                  </w:r>
                  <w:r>
                    <w:rPr>
                      <w:rFonts w:ascii="仿宋_GB2312" w:hAnsi="仿宋_GB2312" w:cs="仿宋_GB2312" w:eastAsia="仿宋_GB2312"/>
                      <w:sz w:val="19"/>
                    </w:rPr>
                    <w:t>；</w:t>
                  </w:r>
                </w:p>
                <w:p>
                  <w:pPr>
                    <w:pStyle w:val="null3"/>
                    <w:jc w:val="left"/>
                  </w:pPr>
                  <w:r>
                    <w:rPr>
                      <w:rFonts w:ascii="仿宋_GB2312" w:hAnsi="仿宋_GB2312" w:cs="仿宋_GB2312" w:eastAsia="仿宋_GB2312"/>
                      <w:sz w:val="19"/>
                    </w:rPr>
                    <w:t>7、灯具在初始和点亮30000小时及以上承受自身10倍重量载荷吊重，均无异常无变形。</w:t>
                  </w:r>
                </w:p>
                <w:p>
                  <w:pPr>
                    <w:pStyle w:val="null3"/>
                    <w:jc w:val="left"/>
                  </w:pPr>
                  <w:r>
                    <w:rPr>
                      <w:rFonts w:ascii="仿宋_GB2312" w:hAnsi="仿宋_GB2312" w:cs="仿宋_GB2312" w:eastAsia="仿宋_GB2312"/>
                      <w:sz w:val="19"/>
                      <w:i/>
                    </w:rPr>
                    <w:t>（以上</w:t>
                  </w:r>
                  <w:r>
                    <w:rPr>
                      <w:rFonts w:ascii="仿宋_GB2312" w:hAnsi="仿宋_GB2312" w:cs="仿宋_GB2312" w:eastAsia="仿宋_GB2312"/>
                      <w:sz w:val="19"/>
                      <w:i/>
                    </w:rPr>
                    <w:t>1-7项参数</w:t>
                  </w:r>
                  <w:r>
                    <w:rPr>
                      <w:rFonts w:ascii="仿宋_GB2312" w:hAnsi="仿宋_GB2312" w:cs="仿宋_GB2312" w:eastAsia="仿宋_GB2312"/>
                      <w:sz w:val="19"/>
                      <w:i/>
                    </w:rPr>
                    <w:t>需提供第三方检测机构出具的检测报告</w:t>
                  </w:r>
                  <w:r>
                    <w:rPr>
                      <w:rFonts w:ascii="仿宋_GB2312" w:hAnsi="仿宋_GB2312" w:cs="仿宋_GB2312" w:eastAsia="仿宋_GB2312"/>
                      <w:sz w:val="19"/>
                      <w:i/>
                    </w:rPr>
                    <w:t>作为佐证，否则视为无效标</w:t>
                  </w:r>
                  <w:r>
                    <w:rPr>
                      <w:rFonts w:ascii="仿宋_GB2312" w:hAnsi="仿宋_GB2312" w:cs="仿宋_GB2312" w:eastAsia="仿宋_GB2312"/>
                      <w:sz w:val="19"/>
                      <w:i/>
                    </w:rPr>
                    <w:t>(复印件加盖公章)</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灯杆</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根</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c>
                <w:tcPr>
                  <w:tcW w:type="dxa" w:w="1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w:t>
                  </w:r>
                  <w:r>
                    <w:rPr>
                      <w:rFonts w:ascii="仿宋_GB2312" w:hAnsi="仿宋_GB2312" w:cs="仿宋_GB2312" w:eastAsia="仿宋_GB2312"/>
                      <w:sz w:val="19"/>
                    </w:rPr>
                    <w:t>.</w:t>
                  </w:r>
                  <w:r>
                    <w:rPr>
                      <w:rFonts w:ascii="仿宋_GB2312" w:hAnsi="仿宋_GB2312" w:cs="仿宋_GB2312" w:eastAsia="仿宋_GB2312"/>
                      <w:sz w:val="19"/>
                    </w:rPr>
                    <w:t>灯杆高度</w:t>
                  </w:r>
                  <w:r>
                    <w:rPr>
                      <w:rFonts w:ascii="仿宋_GB2312" w:hAnsi="仿宋_GB2312" w:cs="仿宋_GB2312" w:eastAsia="仿宋_GB2312"/>
                      <w:sz w:val="19"/>
                    </w:rPr>
                    <w:t>:15米</w:t>
                  </w:r>
                </w:p>
                <w:p>
                  <w:pPr>
                    <w:pStyle w:val="null3"/>
                    <w:jc w:val="left"/>
                  </w:pPr>
                  <w:r>
                    <w:rPr>
                      <w:rFonts w:ascii="仿宋_GB2312" w:hAnsi="仿宋_GB2312" w:cs="仿宋_GB2312" w:eastAsia="仿宋_GB2312"/>
                      <w:sz w:val="19"/>
                    </w:rPr>
                    <w:t>2</w:t>
                  </w:r>
                  <w:r>
                    <w:rPr>
                      <w:rFonts w:ascii="仿宋_GB2312" w:hAnsi="仿宋_GB2312" w:cs="仿宋_GB2312" w:eastAsia="仿宋_GB2312"/>
                      <w:sz w:val="19"/>
                    </w:rPr>
                    <w:t>.</w:t>
                  </w:r>
                  <w:r>
                    <w:rPr>
                      <w:rFonts w:ascii="仿宋_GB2312" w:hAnsi="仿宋_GB2312" w:cs="仿宋_GB2312" w:eastAsia="仿宋_GB2312"/>
                      <w:sz w:val="19"/>
                    </w:rPr>
                    <w:t>材质</w:t>
                  </w:r>
                  <w:r>
                    <w:rPr>
                      <w:rFonts w:ascii="仿宋_GB2312" w:hAnsi="仿宋_GB2312" w:cs="仿宋_GB2312" w:eastAsia="仿宋_GB2312"/>
                      <w:sz w:val="19"/>
                    </w:rPr>
                    <w:t>:Q235</w:t>
                  </w:r>
                </w:p>
                <w:p>
                  <w:pPr>
                    <w:pStyle w:val="null3"/>
                    <w:jc w:val="left"/>
                  </w:pPr>
                  <w:r>
                    <w:rPr>
                      <w:rFonts w:ascii="仿宋_GB2312" w:hAnsi="仿宋_GB2312" w:cs="仿宋_GB2312" w:eastAsia="仿宋_GB2312"/>
                      <w:sz w:val="19"/>
                    </w:rPr>
                    <w:t>3</w:t>
                  </w:r>
                  <w:r>
                    <w:rPr>
                      <w:rFonts w:ascii="仿宋_GB2312" w:hAnsi="仿宋_GB2312" w:cs="仿宋_GB2312" w:eastAsia="仿宋_GB2312"/>
                      <w:sz w:val="19"/>
                    </w:rPr>
                    <w:t>.</w:t>
                  </w:r>
                  <w:r>
                    <w:rPr>
                      <w:rFonts w:ascii="仿宋_GB2312" w:hAnsi="仿宋_GB2312" w:cs="仿宋_GB2312" w:eastAsia="仿宋_GB2312"/>
                      <w:sz w:val="19"/>
                    </w:rPr>
                    <w:t>壁厚</w:t>
                  </w:r>
                  <w:r>
                    <w:rPr>
                      <w:rFonts w:ascii="仿宋_GB2312" w:hAnsi="仿宋_GB2312" w:cs="仿宋_GB2312" w:eastAsia="仿宋_GB2312"/>
                      <w:sz w:val="19"/>
                    </w:rPr>
                    <w:t>:4.75毫米</w:t>
                  </w:r>
                </w:p>
                <w:p>
                  <w:pPr>
                    <w:pStyle w:val="null3"/>
                    <w:jc w:val="left"/>
                  </w:pPr>
                  <w:r>
                    <w:rPr>
                      <w:rFonts w:ascii="仿宋_GB2312" w:hAnsi="仿宋_GB2312" w:cs="仿宋_GB2312" w:eastAsia="仿宋_GB2312"/>
                      <w:sz w:val="19"/>
                    </w:rPr>
                    <w:t>4</w:t>
                  </w:r>
                  <w:r>
                    <w:rPr>
                      <w:rFonts w:ascii="仿宋_GB2312" w:hAnsi="仿宋_GB2312" w:cs="仿宋_GB2312" w:eastAsia="仿宋_GB2312"/>
                      <w:sz w:val="19"/>
                    </w:rPr>
                    <w:t>.</w:t>
                  </w:r>
                  <w:r>
                    <w:rPr>
                      <w:rFonts w:ascii="仿宋_GB2312" w:hAnsi="仿宋_GB2312" w:cs="仿宋_GB2312" w:eastAsia="仿宋_GB2312"/>
                      <w:sz w:val="19"/>
                    </w:rPr>
                    <w:t>下口径</w:t>
                  </w:r>
                  <w:r>
                    <w:rPr>
                      <w:rFonts w:ascii="仿宋_GB2312" w:hAnsi="仿宋_GB2312" w:cs="仿宋_GB2312" w:eastAsia="仿宋_GB2312"/>
                      <w:sz w:val="19"/>
                    </w:rPr>
                    <w:t>:290毫米</w:t>
                  </w:r>
                </w:p>
                <w:p>
                  <w:pPr>
                    <w:pStyle w:val="null3"/>
                    <w:jc w:val="left"/>
                  </w:pPr>
                  <w:r>
                    <w:rPr>
                      <w:rFonts w:ascii="仿宋_GB2312" w:hAnsi="仿宋_GB2312" w:cs="仿宋_GB2312" w:eastAsia="仿宋_GB2312"/>
                      <w:sz w:val="19"/>
                    </w:rPr>
                    <w:t>5</w:t>
                  </w:r>
                  <w:r>
                    <w:rPr>
                      <w:rFonts w:ascii="仿宋_GB2312" w:hAnsi="仿宋_GB2312" w:cs="仿宋_GB2312" w:eastAsia="仿宋_GB2312"/>
                      <w:sz w:val="19"/>
                    </w:rPr>
                    <w:t>.</w:t>
                  </w:r>
                  <w:r>
                    <w:rPr>
                      <w:rFonts w:ascii="仿宋_GB2312" w:hAnsi="仿宋_GB2312" w:cs="仿宋_GB2312" w:eastAsia="仿宋_GB2312"/>
                      <w:sz w:val="19"/>
                    </w:rPr>
                    <w:t>上口径</w:t>
                  </w:r>
                  <w:r>
                    <w:rPr>
                      <w:rFonts w:ascii="仿宋_GB2312" w:hAnsi="仿宋_GB2312" w:cs="仿宋_GB2312" w:eastAsia="仿宋_GB2312"/>
                      <w:sz w:val="19"/>
                    </w:rPr>
                    <w:t>:120毫米</w:t>
                  </w:r>
                </w:p>
                <w:p>
                  <w:pPr>
                    <w:pStyle w:val="null3"/>
                    <w:jc w:val="left"/>
                  </w:pPr>
                  <w:r>
                    <w:rPr>
                      <w:rFonts w:ascii="仿宋_GB2312" w:hAnsi="仿宋_GB2312" w:cs="仿宋_GB2312" w:eastAsia="仿宋_GB2312"/>
                      <w:sz w:val="19"/>
                    </w:rPr>
                    <w:t>6</w:t>
                  </w:r>
                  <w:r>
                    <w:rPr>
                      <w:rFonts w:ascii="仿宋_GB2312" w:hAnsi="仿宋_GB2312" w:cs="仿宋_GB2312" w:eastAsia="仿宋_GB2312"/>
                      <w:sz w:val="19"/>
                    </w:rPr>
                    <w:t>.</w:t>
                  </w:r>
                  <w:r>
                    <w:rPr>
                      <w:rFonts w:ascii="仿宋_GB2312" w:hAnsi="仿宋_GB2312" w:cs="仿宋_GB2312" w:eastAsia="仿宋_GB2312"/>
                      <w:sz w:val="19"/>
                    </w:rPr>
                    <w:t>法兰</w:t>
                  </w:r>
                  <w:r>
                    <w:rPr>
                      <w:rFonts w:ascii="仿宋_GB2312" w:hAnsi="仿宋_GB2312" w:cs="仿宋_GB2312" w:eastAsia="仿宋_GB2312"/>
                      <w:sz w:val="19"/>
                    </w:rPr>
                    <w:t>:500-20厚</w:t>
                  </w:r>
                </w:p>
                <w:p>
                  <w:pPr>
                    <w:pStyle w:val="null3"/>
                    <w:jc w:val="left"/>
                  </w:pPr>
                  <w:r>
                    <w:rPr>
                      <w:rFonts w:ascii="仿宋_GB2312" w:hAnsi="仿宋_GB2312" w:cs="仿宋_GB2312" w:eastAsia="仿宋_GB2312"/>
                      <w:sz w:val="19"/>
                    </w:rPr>
                    <w:t>7</w:t>
                  </w:r>
                  <w:r>
                    <w:rPr>
                      <w:rFonts w:ascii="仿宋_GB2312" w:hAnsi="仿宋_GB2312" w:cs="仿宋_GB2312" w:eastAsia="仿宋_GB2312"/>
                      <w:sz w:val="19"/>
                    </w:rPr>
                    <w:t>.</w:t>
                  </w:r>
                  <w:r>
                    <w:rPr>
                      <w:rFonts w:ascii="仿宋_GB2312" w:hAnsi="仿宋_GB2312" w:cs="仿宋_GB2312" w:eastAsia="仿宋_GB2312"/>
                      <w:sz w:val="19"/>
                    </w:rPr>
                    <w:t>灯架</w:t>
                  </w:r>
                  <w:r>
                    <w:rPr>
                      <w:rFonts w:ascii="仿宋_GB2312" w:hAnsi="仿宋_GB2312" w:cs="仿宋_GB2312" w:eastAsia="仿宋_GB2312"/>
                      <w:sz w:val="19"/>
                    </w:rPr>
                    <w:t>:定制灯架，带180°可调节圆盘，带避雷针。</w:t>
                  </w:r>
                </w:p>
                <w:p>
                  <w:pPr>
                    <w:pStyle w:val="null3"/>
                    <w:jc w:val="left"/>
                  </w:pPr>
                  <w:r>
                    <w:rPr>
                      <w:rFonts w:ascii="仿宋_GB2312" w:hAnsi="仿宋_GB2312" w:cs="仿宋_GB2312" w:eastAsia="仿宋_GB2312"/>
                      <w:sz w:val="19"/>
                    </w:rPr>
                    <w:t>8</w:t>
                  </w:r>
                  <w:r>
                    <w:rPr>
                      <w:rFonts w:ascii="仿宋_GB2312" w:hAnsi="仿宋_GB2312" w:cs="仿宋_GB2312" w:eastAsia="仿宋_GB2312"/>
                      <w:sz w:val="19"/>
                    </w:rPr>
                    <w:t>.</w:t>
                  </w:r>
                  <w:r>
                    <w:rPr>
                      <w:rFonts w:ascii="仿宋_GB2312" w:hAnsi="仿宋_GB2312" w:cs="仿宋_GB2312" w:eastAsia="仿宋_GB2312"/>
                      <w:sz w:val="19"/>
                    </w:rPr>
                    <w:t>预埋件</w:t>
                  </w:r>
                  <w:r>
                    <w:rPr>
                      <w:rFonts w:ascii="仿宋_GB2312" w:hAnsi="仿宋_GB2312" w:cs="仿宋_GB2312" w:eastAsia="仿宋_GB2312"/>
                      <w:sz w:val="19"/>
                    </w:rPr>
                    <w:t>24-1.4米-8条+6厚找平板</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石材步汀</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46.08</w:t>
                  </w:r>
                </w:p>
              </w:tc>
              <w:tc>
                <w:tcPr>
                  <w:tcW w:type="dxa" w:w="1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1.30厚中灰色荔枝面石材600X400</w:t>
                  </w:r>
                </w:p>
                <w:p>
                  <w:pPr>
                    <w:pStyle w:val="null3"/>
                    <w:jc w:val="left"/>
                  </w:pP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储藏式坐凳</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40</w:t>
                  </w:r>
                </w:p>
              </w:tc>
              <w:tc>
                <w:tcPr>
                  <w:tcW w:type="dxa" w:w="1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1.尺寸：</w:t>
                  </w:r>
                  <w:r>
                    <w:rPr>
                      <w:rFonts w:ascii="仿宋_GB2312" w:hAnsi="仿宋_GB2312" w:cs="仿宋_GB2312" w:eastAsia="仿宋_GB2312"/>
                      <w:sz w:val="19"/>
                    </w:rPr>
                    <w:t>2000*50*50mm</w:t>
                  </w:r>
                </w:p>
                <w:p>
                  <w:pPr>
                    <w:pStyle w:val="null3"/>
                    <w:jc w:val="left"/>
                  </w:pPr>
                  <w:r>
                    <w:rPr>
                      <w:rFonts w:ascii="仿宋_GB2312" w:hAnsi="仿宋_GB2312" w:cs="仿宋_GB2312" w:eastAsia="仿宋_GB2312"/>
                      <w:sz w:val="19"/>
                    </w:rPr>
                    <w:t>2.</w:t>
                  </w:r>
                  <w:r>
                    <w:rPr>
                      <w:rFonts w:ascii="仿宋_GB2312" w:hAnsi="仿宋_GB2312" w:cs="仿宋_GB2312" w:eastAsia="仿宋_GB2312"/>
                      <w:sz w:val="19"/>
                    </w:rPr>
                    <w:t>带储藏柜</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自合同签订生效之日起45日内完成供货、安装、调试等所有工作</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西安市青少年体育学校</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预付款，合同签订后，达到付款条件起10个工作日内，支付合同总金额的60.0%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进度款，服务结束经学校验收合格后，达到付款条件起10个工作日内，支付合同总金额的40.0%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现行的国家标准或国家行政部门颁布的法律法规、规章制度等，是项目验收的重要依据，采购人根据有关规范、规定及项目要求对成交供应商所供货物（产品）或服务进行检查或验收，成交供应商须无条件地接受采购人检查或验收；若验收不通过或质量不合格，成交供应商应在一定期限内进行整改完善，以采购人要求的标准提供合格的货物（产品）或服务；若成交供应商在接受检查整改后，仍不能提供符合采购要求的合格货物（产品）或服务，采购人有权按违约予以撤项，具体按合同相关条款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本项目整体质保期≥12个月，供应商承诺超过谈判文件要求的，按其承诺的质保期进行质保，质保期起始时间为终验合格之日。</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供应商的报价是供应商响应采购项目要求的全部工作内容的价格体现，包括供应商完成本项目所需的直接费、间接费、利润、税金及其他相关的一切费用，包括但不限于：产品费、附件费、工具费、验收费、运输费、保险费、技术服务费（含售后）、招标代理费、税金、利润及不可预见费等费用；谈判总价中不得包含采购文件要求以外的内容，否则，在评标时不予核减。在供货、等工作中出现的任何遗漏，均由成交供应商免费提供，采购人将不再支付任何费用。二、谈判有效期1.出现特殊情况需要延长谈判有效期的，采购代理机构或采购人可于谈判有效期满之前，以书面形式通知所有供应商延长谈判有效期。供应商应予书面答复，同意延长的，但不得要求或被允许修改其响应文件；供应商拒绝延长的，其响应文件失效。2.在谈判有效期内，供应商撤销响应文件的，应承担响应文件和法律规定的责任。3.中标人的谈判有效期自动延长至合同终止为止。三、谈判期间谈判小组可针对响应文件内容向供应商发起澄清、说明或补正要求，供应商应在谈判小组规定的期限内回应说明（需盖章）；若供应商拒绝澄清、逾期未回应、无法合理解释或澄清后仍无法证明其符合性、完整性的，谈判小组应认定其响应文件无效，作无效响应处理。四、分公司独立参与谈判时，不能使用总公司的资质或业绩；总公司授权分公司或分支机构参与谈判，可以使用总公司的资质或业绩。总公司单独参与谈判时，可以使用分公司的业绩，在相关资质证书的管理要求和适用范围内可以使用分公司资质。 五、文件中签名是指：手写签名或加盖签名章（含电子章、印章、签名章），盖章是指加盖单位章（含电子章）。 六、资格性、符合性审查完成后，最终报价中如出现异常低价情形，执行财库〔2026〕2号《关于推动解决政府采购异常低价问题的通知》，谈判小组可在最后报价审查表中审核是否通过审查。 七、恶意质疑、投诉的法律后果 1.对捏造事实、提供虚假材料进行质疑、投诉的行为将予以严肃处理： 《政府采购质疑和投诉办法》（财政部令第94号）规定，投诉人在全国范围内十二个月内三次以上投诉查无实据的，由财政部门列入不良行为记录名单。对于捏造事实或提供虚假材料或以非法手段取得证明材料（证据来源的合法性存在明显疑问，投诉人无法证明其取得方式合法的，视为以非法手段取得证明材料）进行投诉的，属于虚假、恶意投诉，由财政部门列入不良行为记录名单，并禁止其一至三年内参加政府采购活动。 2.对捏造事实诬告陷害他人、诽谤他人的法律适用： （1）《中华人民共和国刑法》第243条【诬告陷害罪】捏造事实诬告陷害他人，意图使他人受到刑事追究，情节严重的，处三年以下有期徒刑、拘役或者管制；造成严重后果的，处三年以上十年以下有期徒刑。 （2）《中华人民共和国刑法》第246条【侮辱罪、诽谤罪】以暴力或者其他方法公然侮辱他人或者捏造事实诽谤他人，情节严重的，处三年以下有期徒刑、拘役、管制或者剥夺政治权利。 八、参与本项目的供应商应通过陕西省政府采购综合管理平台的项目电子化交易系统在线实施报名、获取采购文件、响应、报价等操作，供应商无需现场提供纸质响应文件。但在中标（成交）后，中标（成交）供应商在领取中标（成交）通知书时需提供纸质响应文件正本一套、副本一套用于备案，纸质响应文件应通过专用制作软件直接打印，确保与项目电子化交易系统中的电子响应文件保持一致，不允许修改和补充。中标（成交）通知书领取地址：陕西省西安市未央区凤城二路27号天心大厦17层1703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提供供应商2025年度经审计的财务会计报告或其在响应文件提交截止时间前3个月内其基本户银行出具的资信证明（附基本户存款账户信息）或相关部门认可的专业担保机构出具的担保函。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根据“资格证明文件”中提供的要求和说明，提供符合自身条件且合法有效的主体资格证明材料；具有独立承担民事责任能力的法人、其他组织或自然人，并出具合法有效的统一社会信用代码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法定代表人（单位负责人）身份证明/法定代表人（单位负责人）委托授权书</w:t>
            </w:r>
          </w:p>
        </w:tc>
        <w:tc>
          <w:tcPr>
            <w:tcW w:type="dxa" w:w="3322"/>
          </w:tcPr>
          <w:p>
            <w:pPr>
              <w:pStyle w:val="null3"/>
            </w:pPr>
            <w:r>
              <w:rPr>
                <w:rFonts w:ascii="仿宋_GB2312" w:hAnsi="仿宋_GB2312" w:cs="仿宋_GB2312" w:eastAsia="仿宋_GB2312"/>
              </w:rPr>
              <w:t>根据“资格证明文件”中提供的格式和说明，提供符合自身条件的证明材料：法定代表人授权书（附法定代表人身份证复印件）及被授权人身份证复印件（法定代表人直接参加投标只需提供法定代表人身份证复印件加盖公章）； (说明：按照电子化全流程要求，投标（响应）文件递交时，签到的人员信息应为法定代表人或授权委托人，否则，按无效响应（投标）文件处理)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根据“资格证明文件”中提供的要求和说明，提供符合自身条件且合法有效的税收缴纳证明材料：提供供应商自响应文件提交截止时间前1年内已缴纳任意1个月完税（任意税种，个人所得税除外）凭证或税务机关开具的完税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根据“资格证明文件”中提供的要求和说明，提供符合自身条件且合法有效的社会保障资金缴纳证明材料：提供供应商自响应文件提交截止时间前1年内已缴存的任意1个月的社会保障资金缴存单据或社保机构开具的社会保险参保缴费情况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具备履行合同所必需的设备和专业技术能力的证明</w:t>
            </w:r>
          </w:p>
        </w:tc>
        <w:tc>
          <w:tcPr>
            <w:tcW w:type="dxa" w:w="3322"/>
          </w:tcPr>
          <w:p>
            <w:pPr>
              <w:pStyle w:val="null3"/>
            </w:pPr>
            <w:r>
              <w:rPr>
                <w:rFonts w:ascii="仿宋_GB2312" w:hAnsi="仿宋_GB2312" w:cs="仿宋_GB2312" w:eastAsia="仿宋_GB2312"/>
              </w:rPr>
              <w:t>根据“资格证明文件”中提供的要求和说明，提供符合条件的证明材料：提供具有履行本合同所必需的设备和专业技术能力的说明及承诺书；并进行电子签章。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参加本次采购活动3年内，在经营活动中没有重大违法记录的书面声明</w:t>
            </w:r>
          </w:p>
        </w:tc>
        <w:tc>
          <w:tcPr>
            <w:tcW w:type="dxa" w:w="3322"/>
          </w:tcPr>
          <w:p>
            <w:pPr>
              <w:pStyle w:val="null3"/>
            </w:pPr>
            <w:r>
              <w:rPr>
                <w:rFonts w:ascii="仿宋_GB2312" w:hAnsi="仿宋_GB2312" w:cs="仿宋_GB2312" w:eastAsia="仿宋_GB2312"/>
              </w:rPr>
              <w:t>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供应商未被“信用中国”网站（www.creditchina.gov.cn）列入失信被执行人和重大税收违法失信主体，未被中国政府采购网（www.ccgp.gov.cn）列入政府采购严重违法失信行为记录名单；（以现场信用记录查询结果为准）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联合体投标</w:t>
            </w:r>
          </w:p>
        </w:tc>
        <w:tc>
          <w:tcPr>
            <w:tcW w:type="dxa" w:w="3322"/>
          </w:tcPr>
          <w:p>
            <w:pPr>
              <w:pStyle w:val="null3"/>
            </w:pPr>
            <w:r>
              <w:rPr>
                <w:rFonts w:ascii="仿宋_GB2312" w:hAnsi="仿宋_GB2312" w:cs="仿宋_GB2312" w:eastAsia="仿宋_GB2312"/>
              </w:rPr>
              <w:t>本项目不接受联合体投标，提供声明函。</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偏离表.docx 标的清单 报价表 承诺文件.docx 响应函 资格证明文件.docx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谈判响应文件的签署盖章</w:t>
            </w:r>
          </w:p>
        </w:tc>
        <w:tc>
          <w:tcPr>
            <w:tcW w:type="dxa" w:w="3322"/>
          </w:tcPr>
          <w:p>
            <w:pPr>
              <w:pStyle w:val="null3"/>
            </w:pPr>
            <w:r>
              <w:rPr>
                <w:rFonts w:ascii="仿宋_GB2312" w:hAnsi="仿宋_GB2312" w:cs="仿宋_GB2312" w:eastAsia="仿宋_GB2312"/>
              </w:rPr>
              <w:t>谈判响应文件上法定代表人或其授权代表人的签字齐全并加盖公章</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偏离表.docx 标的清单 承诺文件.docx 响应函 资格证明文件.docx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谈判响应文件格式</w:t>
            </w:r>
          </w:p>
        </w:tc>
        <w:tc>
          <w:tcPr>
            <w:tcW w:type="dxa" w:w="3322"/>
          </w:tcPr>
          <w:p>
            <w:pPr>
              <w:pStyle w:val="null3"/>
            </w:pPr>
            <w:r>
              <w:rPr>
                <w:rFonts w:ascii="仿宋_GB2312" w:hAnsi="仿宋_GB2312" w:cs="仿宋_GB2312" w:eastAsia="仿宋_GB2312"/>
              </w:rPr>
              <w:t>应符合“谈判响应文件格式”要求</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偏离表.docx 标的清单 承诺文件.docx 响应函 资格证明文件.docx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偏离表.docx 标的清单 承诺文件.docx 响应函 资格证明文件.docx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对谈判文件响应程度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偏离表.docx 标的清单 承诺文件.docx 响应函 资格证明文件.docx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标的种类和数量、交货期限、交货地点、质保期</w:t>
            </w:r>
          </w:p>
        </w:tc>
        <w:tc>
          <w:tcPr>
            <w:tcW w:type="dxa" w:w="3322"/>
          </w:tcPr>
          <w:p>
            <w:pPr>
              <w:pStyle w:val="null3"/>
            </w:pPr>
            <w:r>
              <w:rPr>
                <w:rFonts w:ascii="仿宋_GB2312" w:hAnsi="仿宋_GB2312" w:cs="仿宋_GB2312" w:eastAsia="仿宋_GB2312"/>
              </w:rPr>
              <w:t>符合谈判文件中的规定</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偏离表.docx 标的清单 承诺文件.docx 响应函 资格证明文件.docx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谈判有效期</w:t>
            </w:r>
          </w:p>
        </w:tc>
        <w:tc>
          <w:tcPr>
            <w:tcW w:type="dxa" w:w="3322"/>
          </w:tcPr>
          <w:p>
            <w:pPr>
              <w:pStyle w:val="null3"/>
            </w:pPr>
            <w:r>
              <w:rPr>
                <w:rFonts w:ascii="仿宋_GB2312" w:hAnsi="仿宋_GB2312" w:cs="仿宋_GB2312" w:eastAsia="仿宋_GB2312"/>
              </w:rPr>
              <w:t>应满足谈判文件中的规定</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偏离表.docx 标的清单 承诺文件.docx 响应函 资格证明文件.docx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不存在恶意串通的情形</w:t>
            </w:r>
          </w:p>
        </w:tc>
        <w:tc>
          <w:tcPr>
            <w:tcW w:type="dxa" w:w="3322"/>
          </w:tcPr>
          <w:p>
            <w:pPr>
              <w:pStyle w:val="null3"/>
            </w:pPr>
            <w:r>
              <w:rPr>
                <w:rFonts w:ascii="仿宋_GB2312" w:hAnsi="仿宋_GB2312" w:cs="仿宋_GB2312" w:eastAsia="仿宋_GB2312"/>
              </w:rPr>
              <w:t>不存在以下情形： （1）不同供应商的响应文件由同一单位或者个人编制； （2）不同供应商委托同一单位或者个人办理磋商事宜； （3）不同供应商的响应文件载明的项目管理成员或者联系人员为同一人； （4）不同供应商的响应文件异常一致或者响应报价呈规律性差异。</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偏离表.docx 标的清单 承诺文件.docx 响应函 资格证明文件.docx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技术要求</w:t>
            </w:r>
          </w:p>
        </w:tc>
        <w:tc>
          <w:tcPr>
            <w:tcW w:type="dxa" w:w="3322"/>
          </w:tcPr>
          <w:p>
            <w:pPr>
              <w:pStyle w:val="null3"/>
            </w:pPr>
            <w:r>
              <w:rPr>
                <w:rFonts w:ascii="仿宋_GB2312" w:hAnsi="仿宋_GB2312" w:cs="仿宋_GB2312" w:eastAsia="仿宋_GB2312"/>
              </w:rPr>
              <w:t>谈判响应文件满足采购技术要求</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偏离表.docx 商务应答表 标的清单 承诺文件.docx 响应函 资格证明文件.docx 监狱企业的证明文件</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不存在法律、法规和谈判文件规定的其他无效投标情形</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偏离表.docx 商务应答表 标的清单 承诺文件.docx 响应函 资格证明文件.docx 监狱企业的证明文件</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详见附件：承诺文件.docx</w:t>
      </w:r>
    </w:p>
    <w:p>
      <w:pPr>
        <w:pStyle w:val="null3"/>
        <w:ind w:firstLine="960"/>
      </w:pPr>
      <w:r>
        <w:rPr>
          <w:rFonts w:ascii="仿宋_GB2312" w:hAnsi="仿宋_GB2312" w:cs="仿宋_GB2312" w:eastAsia="仿宋_GB2312"/>
        </w:rPr>
        <w:t>详见附件：偏离表.docx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