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25"/>
        <w:gridCol w:w="904"/>
        <w:gridCol w:w="5072"/>
        <w:gridCol w:w="1085"/>
        <w:gridCol w:w="727"/>
      </w:tblGrid>
      <w:tr w14:paraId="14EBA4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53B4F5">
            <w:pPr>
              <w:pStyle w:val="15"/>
              <w:jc w:val="center"/>
            </w:pPr>
            <w:r>
              <w:rPr>
                <w:rFonts w:ascii="仿宋_GB2312" w:hAnsi="仿宋_GB2312" w:eastAsia="仿宋_GB2312" w:cs="仿宋_GB2312"/>
                <w:b/>
                <w:sz w:val="21"/>
              </w:rPr>
              <w:t>序号</w:t>
            </w:r>
          </w:p>
        </w:tc>
        <w:tc>
          <w:tcPr>
            <w:tcW w:w="53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286636">
            <w:pPr>
              <w:pStyle w:val="15"/>
              <w:jc w:val="center"/>
            </w:pPr>
            <w:r>
              <w:rPr>
                <w:rFonts w:ascii="仿宋_GB2312" w:hAnsi="仿宋_GB2312" w:eastAsia="仿宋_GB2312" w:cs="仿宋_GB2312"/>
                <w:b/>
                <w:sz w:val="21"/>
              </w:rPr>
              <w:t>产品名称</w:t>
            </w:r>
          </w:p>
        </w:tc>
        <w:tc>
          <w:tcPr>
            <w:tcW w:w="297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7C6114">
            <w:pPr>
              <w:pStyle w:val="15"/>
              <w:jc w:val="center"/>
            </w:pPr>
            <w:r>
              <w:rPr>
                <w:rFonts w:ascii="仿宋_GB2312" w:hAnsi="仿宋_GB2312" w:eastAsia="仿宋_GB2312" w:cs="仿宋_GB2312"/>
                <w:b/>
                <w:sz w:val="21"/>
              </w:rPr>
              <w:t>技术参数要求</w:t>
            </w:r>
          </w:p>
        </w:tc>
        <w:tc>
          <w:tcPr>
            <w:tcW w:w="63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CAE6DF">
            <w:pPr>
              <w:pStyle w:val="15"/>
              <w:jc w:val="center"/>
            </w:pPr>
            <w:r>
              <w:rPr>
                <w:rFonts w:ascii="仿宋_GB2312" w:hAnsi="仿宋_GB2312" w:eastAsia="仿宋_GB2312" w:cs="仿宋_GB2312"/>
                <w:b/>
                <w:sz w:val="21"/>
              </w:rPr>
              <w:t>数量</w:t>
            </w:r>
          </w:p>
        </w:tc>
        <w:tc>
          <w:tcPr>
            <w:tcW w:w="42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6001CE">
            <w:pPr>
              <w:pStyle w:val="15"/>
              <w:jc w:val="center"/>
            </w:pPr>
            <w:r>
              <w:rPr>
                <w:rFonts w:ascii="仿宋_GB2312" w:hAnsi="仿宋_GB2312" w:eastAsia="仿宋_GB2312" w:cs="仿宋_GB2312"/>
                <w:b/>
                <w:sz w:val="21"/>
              </w:rPr>
              <w:t>单位</w:t>
            </w:r>
          </w:p>
        </w:tc>
      </w:tr>
      <w:tr w14:paraId="01C0ED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95C9F0">
            <w:pPr>
              <w:pStyle w:val="15"/>
              <w:jc w:val="center"/>
            </w:pPr>
            <w:r>
              <w:rPr>
                <w:rFonts w:ascii="仿宋_GB2312" w:hAnsi="仿宋_GB2312" w:eastAsia="仿宋_GB2312" w:cs="仿宋_GB2312"/>
                <w:sz w:val="21"/>
              </w:rPr>
              <w:t>1</w:t>
            </w:r>
          </w:p>
        </w:tc>
        <w:tc>
          <w:tcPr>
            <w:tcW w:w="5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EF99387">
            <w:pPr>
              <w:pStyle w:val="15"/>
              <w:jc w:val="center"/>
            </w:pPr>
            <w:r>
              <w:rPr>
                <w:rFonts w:ascii="仿宋_GB2312" w:hAnsi="仿宋_GB2312" w:eastAsia="仿宋_GB2312" w:cs="仿宋_GB2312"/>
                <w:sz w:val="21"/>
              </w:rPr>
              <w:t>LED黑板灯</w:t>
            </w:r>
          </w:p>
        </w:tc>
        <w:tc>
          <w:tcPr>
            <w:tcW w:w="29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3F454A">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所投LED黑板灯应通过国家强制性CCC认证。提供有效期内的认证证书扫描件或通过“全国认证认可信息公共服务平台”（https://cx.cnca.cn）或全国认证认可信息公共服务平台证书状态为“有效”查询证明截图及有效的查询网址供核查。</w:t>
            </w:r>
          </w:p>
          <w:p w14:paraId="7958D151">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2、所投LED黑板灯应为一体式灯具，不接受组合式灯具，所投LED黑板灯尺寸：长度≥1200mm。</w:t>
            </w:r>
          </w:p>
          <w:p w14:paraId="7CD52D2A">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3、▲所投LED黑板灯功率36±4W，功率因数≥0.97。提供国家认可检测机构出具的检测报告扫描件（具备CMA或CNAS或ilac-MRA标识）。</w:t>
            </w:r>
          </w:p>
          <w:p w14:paraId="17E459A3">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4、▲所投LED黑板灯色温在5000±300K区间，灯具总光通量≥3600LM，所投LED黑板灯显色指数Ra≥90，R9≥90。提供国家认可检测机构出具的检测报告扫描件（具备CMA或CNAS或ilac-MRA标识）。</w:t>
            </w:r>
          </w:p>
          <w:p w14:paraId="6461557C">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5、▲所投LED黑板灯灯具光学结构C0-180平面的光学结构对称，C90-270平面的光学结构非对称，灯具投射角可调节。提供国家认可检测机构出具的检测报告扫描件（具备CMA或CNAS或ilac-MRA标识）</w:t>
            </w:r>
          </w:p>
          <w:p w14:paraId="370BD0DD">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6、▲所投LED黑板灯通过频闪性能认证，结论为无显著影响水平。提供国家认可检测机构认证证书及全国认证认可信息公共服务平台的截图证明。</w:t>
            </w:r>
          </w:p>
          <w:p w14:paraId="16E07608">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7、▲所投LED黑板灯光生物安全检测为“无危险类”。提供国家认可检测机构出具的检测报告扫描件（具备CMA或CNAS或ilac-MRA标识）。</w:t>
            </w:r>
          </w:p>
          <w:p w14:paraId="07F45DCC">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8、▲所投LED黑板灯寿命≥50000小时。提供国家认可检测机构出具的检测报告（具备CMA及CNAS标识）。</w:t>
            </w:r>
          </w:p>
          <w:p w14:paraId="0BE73BE3">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9、▲为防止粉尘固体异物和水的侵入，产品防护等级不低于IP44。提供国家认可检测机构出具的检测报告扫描件（具备CMA或CNAS或ilac-MRA标识）。</w:t>
            </w:r>
          </w:p>
          <w:p w14:paraId="1C51F125">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10、▲所投LED黑板灯检测依据标准照明设备对人体电磁辐射满足20kHz-10MHz感应电流密度系数≤0.85。报告中应体现20kHz–30MHz电源端子骚扰电压、100kHz–30MHz和30MHz–300MHz辐射电磁骚扰、30MHz–300MHzCDN辐射电磁骚扰的判定结果。提供国家认可检测机构出具的检测报告扫描件（具备CMA或CNAS或ilac-MRA标识）。</w:t>
            </w:r>
          </w:p>
          <w:p w14:paraId="164D47E6">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11、▲所投LED黑板灯有毒有害物质检测结果满足《GB/T26572-2011电子电气产品中限用物质检测》。提供第三方检测机构出具的认证证书（具备CMA及CNAS标识）。</w:t>
            </w:r>
          </w:p>
          <w:p w14:paraId="34F22386">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12、▲灯具配2根刚性中空金属吊杆，吊杆直径≥12mm、壁厚≥1mm，能容纳灯具电源线；如采用铁质管材的表面须防锈、磷化处理后静电喷塑，如采用铝合金管材的表面须经氧化处理。提供国家认可检测机构出具的检测报告（具备CMA及CNAS标识）。</w:t>
            </w:r>
          </w:p>
          <w:p w14:paraId="00895CBD">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13、★所投LED黑板灯50000次及以上开关通断后的光通量的光通量维持率≥98％、Ra≥90、R9≥90、R11≥90及色容差≤1.2SCDM。提供国家认可检测机构出具的检测报告（具备CMA及CNAS标识）。</w:t>
            </w:r>
          </w:p>
          <w:p w14:paraId="3AE066CB">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14、▲为了增加师生的安全性。所投LED黑板灯需通过依据GB7000.1-2015《灯具第1部分：一般要求与试验》、GB7000.201-2008《灯具第2-1部分：特殊要求固定式通用灯具》所检项目符合检测依据条款4.14.1机械加载（5000小时承重20倍）要求。提供国家认可检测机构出具的检测报告（具备CMA及CNAS标识）。</w:t>
            </w:r>
          </w:p>
          <w:p w14:paraId="08A5360D">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15、▲为了增加师生的安全性。所投LED黑板灯需通过依据GB/T5169.16-2017《电工电子产品着火危险试验第16部分：试验火焰50W水平与垂直火焰试验方法》阻燃力试验结果为V-0等级。提供国家认可检测机构出具的检测报告（具备CMA及CNAS标识）。</w:t>
            </w:r>
          </w:p>
          <w:p w14:paraId="3CF691DA">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16、▲所投LED黑板灯通过按照IEC/TR62778评估的视网膜蓝光危害类别为RG0。提供国家认可检测机构认证证书及全国认证认可信息公共服务平台的截图证明。</w:t>
            </w:r>
          </w:p>
          <w:p w14:paraId="7AA58B8B">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17、▲所投LED黑板灯色温（或相关色温）在初始测试（0小时）及正常燃点35000小时或以上时间均满足3300-5300K。（灯具实际燃点，不接受加速测试，检测报告中应具备明确的检测周期）。提供国家认可检测机构出具的检测报告（具备CMA及CNAS标识）。</w:t>
            </w:r>
          </w:p>
          <w:p w14:paraId="0A1B0787">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18、▲所投LED黑板灯显色指数在初始测试（0小时）及正常燃点35000小时或以上时间均满足Ra（一般显色指数）≥90、R15、R9≥90。（灯具实际燃点，不接受加速测试，检测报告中应具备明确的检测周期）。提供国家认可检测机构出具的检测报告（具备CMA及CNAS标识）。</w:t>
            </w:r>
          </w:p>
          <w:p w14:paraId="439FB9AA">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19.▲所投LED黑板灯色容差（或色品容差）在初始测试（0小时）及正常燃点35000小时或以上时间均满足≤3SDCM。（灯具实际燃点，不接受加速测试，检测报告中应具备明确的检测周期）。提供国家认可检测机构出具的检测报告（具备CMA及CNAS标识）</w:t>
            </w:r>
          </w:p>
          <w:p w14:paraId="3A768B42">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20.▲所投LED黑板灯通过儿童青少年学习用灯具近视防控卫生要求认证。提供认证证书及全国认证认可信息公共服务平台证书状态为“有效”的查询证明截图（并提供有效的查询网址供查证）。</w:t>
            </w:r>
          </w:p>
        </w:tc>
        <w:tc>
          <w:tcPr>
            <w:tcW w:w="63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796CC1B">
            <w:pPr>
              <w:pStyle w:val="15"/>
              <w:jc w:val="center"/>
            </w:pPr>
            <w:r>
              <w:rPr>
                <w:rFonts w:ascii="仿宋_GB2312" w:hAnsi="仿宋_GB2312" w:eastAsia="仿宋_GB2312" w:cs="仿宋_GB2312"/>
                <w:sz w:val="21"/>
              </w:rPr>
              <w:t>492</w:t>
            </w:r>
          </w:p>
        </w:tc>
        <w:tc>
          <w:tcPr>
            <w:tcW w:w="4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15F4F12">
            <w:pPr>
              <w:pStyle w:val="15"/>
              <w:jc w:val="center"/>
            </w:pPr>
            <w:r>
              <w:rPr>
                <w:rFonts w:ascii="仿宋_GB2312" w:hAnsi="仿宋_GB2312" w:eastAsia="仿宋_GB2312" w:cs="仿宋_GB2312"/>
                <w:sz w:val="21"/>
              </w:rPr>
              <w:t>套</w:t>
            </w:r>
          </w:p>
        </w:tc>
      </w:tr>
      <w:tr w14:paraId="12E0EB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C10E1C6">
            <w:pPr>
              <w:pStyle w:val="15"/>
              <w:jc w:val="center"/>
            </w:pPr>
            <w:r>
              <w:rPr>
                <w:rFonts w:ascii="仿宋_GB2312" w:hAnsi="仿宋_GB2312" w:eastAsia="仿宋_GB2312" w:cs="仿宋_GB2312"/>
                <w:sz w:val="21"/>
              </w:rPr>
              <w:t>2</w:t>
            </w:r>
          </w:p>
        </w:tc>
        <w:tc>
          <w:tcPr>
            <w:tcW w:w="5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7402DA">
            <w:pPr>
              <w:pStyle w:val="15"/>
              <w:jc w:val="center"/>
            </w:pPr>
            <w:r>
              <w:rPr>
                <w:rFonts w:ascii="仿宋_GB2312" w:hAnsi="仿宋_GB2312" w:eastAsia="仿宋_GB2312" w:cs="仿宋_GB2312"/>
                <w:sz w:val="21"/>
              </w:rPr>
              <w:t>LED教室灯</w:t>
            </w:r>
          </w:p>
        </w:tc>
        <w:tc>
          <w:tcPr>
            <w:tcW w:w="29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B30575">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所投LED教室灯应通过国家强制性CCC认证。提供有效期内的认证证书扫描件或通过“全国认证认可信息公共服务平台”（https://cx.cnca.cn）或全国认证认可信息公共服务平台证书状态为“有效”查询证明截图及有效的查询网址供核查。</w:t>
            </w:r>
          </w:p>
          <w:p w14:paraId="1C53E57C">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2、▲所投LED教室灯应为一体式灯具，不接受组合式灯具，背部材料应</w:t>
            </w:r>
            <w:bookmarkStart w:id="0" w:name="_GoBack"/>
            <w:bookmarkEnd w:id="0"/>
            <w:r>
              <w:rPr>
                <w:rFonts w:ascii="仿宋_GB2312" w:hAnsi="仿宋_GB2312" w:eastAsia="仿宋_GB2312" w:cs="仿宋_GB2312"/>
                <w:sz w:val="21"/>
              </w:rPr>
              <w:t>采用金属材质；所投LED教室灯功率：36±4W，功率因素≥0.95。提供国家认可检测机构出具的检测报告扫描件（具备CMA或CNAS或ilac-MRA标识）。</w:t>
            </w:r>
          </w:p>
          <w:p w14:paraId="634C0F7F">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3、▲所投LED教室灯寿命≥50000小时。提供国家认可检测机构出具的检测报告（具备CMA及CNAS标识）。</w:t>
            </w:r>
          </w:p>
          <w:p w14:paraId="23F59FCC">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4、▲为了提高教室整体空间照明光环境舒适度，所投LED教室灯背面光通量≥700LM、所投LED教室灯光背面光通量占总光通量比例≥10%。提供国家认可检测机构出具的检测报告扫描件（具备CMA或CNAS或ilac-MRA标识）。</w:t>
            </w:r>
          </w:p>
          <w:p w14:paraId="1B8FB855">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5、▲所投LED教室灯色温在5000±300K区间，所投LED教室灯光通量≥3500LM。所投LED教室灯显色指数≥90，特殊显色指数R9≥90。提供国家认可检测机构出具的检测报告扫描件（具备CMA或CNAS或ilac-MRA标识）。</w:t>
            </w:r>
          </w:p>
          <w:p w14:paraId="2323ED5B">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6、▲所投LED教室灯通过频闪性能认证，结论为无显著影响水平。提供国家认可检测机构认证证书及全国认证认可信息公共服务平台的截图证明。</w:t>
            </w:r>
          </w:p>
          <w:p w14:paraId="2E7ABCC2">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7、▲所投LED教室灯光生物安全检测为“无危险类”。提供国家认可检测机构出具的检测报告扫描件（具备CMA或CNAS或ilac-MRA标识）。</w:t>
            </w:r>
          </w:p>
          <w:p w14:paraId="7630D43D">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8、▲所投LED教室灯通过按照IEC/TR62778评估的视网膜蓝光危害类别为RG0。提供国家认可检测机构认证证书及全国认证认可信息公共服务平台的截图证明。</w:t>
            </w:r>
          </w:p>
          <w:p w14:paraId="7851A53A">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9、▲为防止粉尘固体异物和水的侵入，产品防护等级不低于IP44。提供国家认可检测机构出具的检测报告扫描件（具备CMA或CNAS或ilac-MRA标识）。</w:t>
            </w:r>
          </w:p>
          <w:p w14:paraId="426C6709">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10、▲所投LED教室灯检测依据标准照明设备对人体电磁辐射满足20kHz-10MHz感应电流密度系数≤0.85。报告中应体现20kHz–30MHz电源端子骚扰电压、100kHz–30MHz和30MHz–300MHz辐射电磁骚扰、30MHz–300MHzCDN辐射电磁骚扰的判定结果。提供国家认可检测机构出具的检测报告扫描件（具备CMA或CNAS或ilac-MRA标识）。</w:t>
            </w:r>
          </w:p>
          <w:p w14:paraId="518609D4">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11、▲所投LED教室灯初始测试和≥50000小时老化后的色温变化不能超过±30K，光通维持率≥97%。所投LED教室灯初始测试和≥50000小时老化后的显色指数变化不能超过±1。所投LED教室灯初始测试和≥50000h的色容差需要≤5SDCM。LED教室灯初始测试和≥50000小时老化后光束角变化≥90°。LED教室灯初始测试和≥50000小时老化后R9≥90、R11≥90。提供国家认可检测机构出具的检测报告（具备CMA及CNAS标识）。</w:t>
            </w:r>
          </w:p>
          <w:p w14:paraId="104EE9E9">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12、▲要求教室灯具通过耐黄变性抗UV不小于300小时检测，以保证灯具的透光率及安全性，确保教室灯具的有效使用寿命。提供国家认可检测机构出具的检测报告扫描件（具备CMA或CNAS或ilac-MRA标识）。</w:t>
            </w:r>
          </w:p>
          <w:p w14:paraId="3D608D31">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13、▲所投LED黑板灯灯具有毒有害物质检测结果满足《GB/T26572-2011电子电气产品中限用物质检测》。提供第三方检测机构出具的认证证书（具备CMA及CNAS标识）。</w:t>
            </w:r>
          </w:p>
          <w:p w14:paraId="7D8BCFE0">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14、▲所投LED教室灯50000次及以上开关通断后的光通量的光通量维持率≥98％、Ra≥90、R9≥90、R11≥90及色容差≤5SCDM。提供国家认可检测机构出具的检测报告（具备CMA及CNAS标识）。</w:t>
            </w:r>
          </w:p>
          <w:p w14:paraId="3CEA6FA6">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15、▲为了增加师生的安全性。所投LED教室灯需通过依据GB7000.1-2015《灯具第1部分：一般要求与试验》、GB7000.201-2008《灯具第2-1部分：特殊要求固定式通用灯具》所检项目符合检测依据条款4.14.1机械加载（5000小时承重20倍）要求。提供国家认可检测机构出具的检测报告（具备CMA及CNAS标识）。</w:t>
            </w:r>
          </w:p>
          <w:p w14:paraId="42DC36E2">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16、▲为了增加师生的安全性。所投LED教室灯需通过依据GB/T5169.16-2017《电工电子产品着火危险试验第16部分：试验火焰50W水平与垂直火焰试验方法》阻燃力试验结果为V-0等级。提供国家认可检测机构出具的检测报告（具备CMA及CNAS标识）</w:t>
            </w:r>
          </w:p>
          <w:p w14:paraId="320F3735">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17、▲LED教室灯色温（或相关色温）在初始测试（0小时）及正常燃点35000小时或以上时间均满足3300-5300K。（灯具实际燃点，不接受加速测试，检测报告中应具备明确的检测周期）。提供国家认可检测机构出具的检测报告（具备CMA及CNAS标识）。</w:t>
            </w:r>
          </w:p>
          <w:p w14:paraId="61E56B92">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18、▲LED教室灯显色指数在初始测试（0小时）及正常燃点35000小时或以上时间均满足Ra（一般显色指数）≥90、R15、R9≥90。（灯具实际燃点，不接受加速测试，检测报告中应具备明确的检测周期）。提供国家认可检测机构出具的检测报告（具备CMA及CNAS标识）。</w:t>
            </w:r>
          </w:p>
          <w:p w14:paraId="29991030">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19、▲LED教室灯色容差（或色品容差）在初始测试（0小时）及正常燃点35000小时或以上时间均满足≤3SDCM。（灯具实际燃点，不接受加速测试，检测报告中应具备明确的检测周期）。提供国家认可检测机构出具的检测报告（具备CMA及CNAS标识）。</w:t>
            </w:r>
          </w:p>
          <w:p w14:paraId="420DAA21">
            <w:pPr>
              <w:pStyle w:val="15"/>
              <w:keepNext w:val="0"/>
              <w:keepLines w:val="0"/>
              <w:pageBreakBefore w:val="0"/>
              <w:widowControl/>
              <w:kinsoku/>
              <w:wordWrap/>
              <w:overflowPunct/>
              <w:topLinePunct w:val="0"/>
              <w:autoSpaceDE/>
              <w:autoSpaceDN/>
              <w:bidi w:val="0"/>
              <w:adjustRightInd/>
              <w:snapToGrid/>
              <w:ind w:left="420" w:hanging="420" w:hangingChars="200"/>
              <w:jc w:val="both"/>
              <w:textAlignment w:val="auto"/>
            </w:pPr>
            <w:r>
              <w:rPr>
                <w:rFonts w:ascii="仿宋_GB2312" w:hAnsi="仿宋_GB2312" w:eastAsia="仿宋_GB2312" w:cs="仿宋_GB2312"/>
                <w:sz w:val="21"/>
              </w:rPr>
              <w:t>20、▲LED教室灯通过儿童青少年学习用灯具近视防控卫生要求认证。提供认证证书及全国认证认可信息公共服务平台证书状态为“有效”的查询证明截图（并提供有效的查询网址供查证）。</w:t>
            </w:r>
          </w:p>
        </w:tc>
        <w:tc>
          <w:tcPr>
            <w:tcW w:w="63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86B275">
            <w:pPr>
              <w:pStyle w:val="15"/>
              <w:jc w:val="center"/>
            </w:pPr>
            <w:r>
              <w:rPr>
                <w:rFonts w:ascii="仿宋_GB2312" w:hAnsi="仿宋_GB2312" w:eastAsia="仿宋_GB2312" w:cs="仿宋_GB2312"/>
                <w:sz w:val="21"/>
              </w:rPr>
              <w:t>1968</w:t>
            </w:r>
          </w:p>
        </w:tc>
        <w:tc>
          <w:tcPr>
            <w:tcW w:w="4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D2C345F">
            <w:pPr>
              <w:pStyle w:val="15"/>
              <w:jc w:val="center"/>
            </w:pPr>
            <w:r>
              <w:rPr>
                <w:rFonts w:ascii="仿宋_GB2312" w:hAnsi="仿宋_GB2312" w:eastAsia="仿宋_GB2312" w:cs="仿宋_GB2312"/>
                <w:sz w:val="21"/>
              </w:rPr>
              <w:t>套</w:t>
            </w:r>
          </w:p>
        </w:tc>
      </w:tr>
      <w:tr w14:paraId="75B2AE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57" w:type="pct"/>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42C1A">
            <w:pPr>
              <w:pStyle w:val="15"/>
              <w:jc w:val="center"/>
            </w:pPr>
            <w:r>
              <w:rPr>
                <w:rFonts w:ascii="仿宋_GB2312" w:hAnsi="仿宋_GB2312" w:eastAsia="仿宋_GB2312" w:cs="仿宋_GB2312"/>
                <w:sz w:val="21"/>
              </w:rPr>
              <w:t>通用要求</w:t>
            </w:r>
          </w:p>
        </w:tc>
        <w:tc>
          <w:tcPr>
            <w:tcW w:w="4042"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3FF77">
            <w:pPr>
              <w:pStyle w:val="15"/>
              <w:ind w:firstLine="420"/>
              <w:jc w:val="both"/>
            </w:pPr>
            <w:r>
              <w:rPr>
                <w:rFonts w:ascii="仿宋_GB2312" w:hAnsi="仿宋_GB2312" w:eastAsia="仿宋_GB2312" w:cs="仿宋_GB2312"/>
                <w:sz w:val="21"/>
              </w:rPr>
              <w:t>1、本项目实施完成后，须邀请具备专业资质的检测机构现场检测，严格按照《中小学校教室采光和照明卫生标准》GB7793-2025标准验收，核心参数（维持平均照度、照度均匀度、色温、显色指数、蓝光危害、频闪要求、眩光值等）必须完全达标。</w:t>
            </w:r>
          </w:p>
          <w:p w14:paraId="25121591">
            <w:pPr>
              <w:pStyle w:val="15"/>
              <w:ind w:firstLine="420"/>
              <w:jc w:val="both"/>
            </w:pPr>
            <w:r>
              <w:rPr>
                <w:rFonts w:ascii="仿宋_GB2312" w:hAnsi="仿宋_GB2312" w:eastAsia="仿宋_GB2312" w:cs="仿宋_GB2312"/>
                <w:sz w:val="21"/>
              </w:rPr>
              <w:t>2、本项目包含所有设备及安装配件、线材等，并按照项目覆盖的29所学校场景实际全面完成施工安装交付使用。所投产品服务及质量保证时间不少于五年。</w:t>
            </w:r>
          </w:p>
        </w:tc>
      </w:tr>
    </w:tbl>
    <w:p w14:paraId="3328415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2F087A"/>
    <w:rsid w:val="05FD1BBE"/>
    <w:rsid w:val="06AC0A0C"/>
    <w:rsid w:val="0EC73F5E"/>
    <w:rsid w:val="0FA314C4"/>
    <w:rsid w:val="100C66D5"/>
    <w:rsid w:val="122A05F8"/>
    <w:rsid w:val="17395C7D"/>
    <w:rsid w:val="1E731794"/>
    <w:rsid w:val="240D341D"/>
    <w:rsid w:val="24422E26"/>
    <w:rsid w:val="26E7587D"/>
    <w:rsid w:val="29DF3391"/>
    <w:rsid w:val="2B780E96"/>
    <w:rsid w:val="2EA62314"/>
    <w:rsid w:val="30DB2D00"/>
    <w:rsid w:val="31F05F32"/>
    <w:rsid w:val="3465383C"/>
    <w:rsid w:val="3CB75A27"/>
    <w:rsid w:val="3D643E0C"/>
    <w:rsid w:val="3D6E74D6"/>
    <w:rsid w:val="40CC25C5"/>
    <w:rsid w:val="4541667C"/>
    <w:rsid w:val="49787CEA"/>
    <w:rsid w:val="4AFE4EC2"/>
    <w:rsid w:val="522F087A"/>
    <w:rsid w:val="54897A6D"/>
    <w:rsid w:val="5B6B56EA"/>
    <w:rsid w:val="5D5B6D2D"/>
    <w:rsid w:val="5DB91FC8"/>
    <w:rsid w:val="5E041700"/>
    <w:rsid w:val="60E0460C"/>
    <w:rsid w:val="61915623"/>
    <w:rsid w:val="623C0084"/>
    <w:rsid w:val="634C5649"/>
    <w:rsid w:val="643D768C"/>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8"/>
      <w:szCs w:val="28"/>
      <w:lang w:val="en-US" w:eastAsia="zh-CN" w:bidi="ar-SA"/>
    </w:rPr>
  </w:style>
  <w:style w:type="paragraph" w:styleId="3">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4">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5">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6">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List 2"/>
    <w:basedOn w:val="1"/>
    <w:uiPriority w:val="0"/>
    <w:pPr>
      <w:ind w:left="100" w:leftChars="200" w:hanging="200" w:hangingChars="200"/>
    </w:pPr>
  </w:style>
  <w:style w:type="paragraph" w:styleId="7">
    <w:name w:val="Body Text Indent"/>
    <w:basedOn w:val="1"/>
    <w:uiPriority w:val="0"/>
    <w:pPr>
      <w:spacing w:after="120" w:afterLines="0" w:afterAutospacing="0"/>
      <w:ind w:left="420" w:leftChars="200"/>
    </w:pPr>
  </w:style>
  <w:style w:type="paragraph" w:styleId="8">
    <w:name w:val="Body Text First Indent 2"/>
    <w:basedOn w:val="7"/>
    <w:uiPriority w:val="0"/>
    <w:pPr>
      <w:ind w:firstLine="420" w:firstLineChars="200"/>
    </w:pPr>
  </w:style>
  <w:style w:type="character" w:customStyle="1" w:styleId="11">
    <w:name w:val="标题 1 Char"/>
    <w:link w:val="3"/>
    <w:uiPriority w:val="0"/>
    <w:rPr>
      <w:rFonts w:ascii="仿宋" w:hAnsi="仿宋" w:eastAsia="仿宋" w:cs="仿宋"/>
      <w:b/>
      <w:bCs/>
      <w:kern w:val="0"/>
      <w:sz w:val="44"/>
      <w:szCs w:val="44"/>
    </w:rPr>
  </w:style>
  <w:style w:type="character" w:customStyle="1" w:styleId="12">
    <w:name w:val="标题 2 Char"/>
    <w:link w:val="4"/>
    <w:uiPriority w:val="0"/>
    <w:rPr>
      <w:rFonts w:ascii="仿宋" w:hAnsi="仿宋" w:eastAsia="宋体" w:cs="宋体"/>
      <w:b/>
      <w:bCs/>
      <w:kern w:val="0"/>
      <w:sz w:val="32"/>
      <w:szCs w:val="32"/>
    </w:rPr>
  </w:style>
  <w:style w:type="character" w:customStyle="1" w:styleId="13">
    <w:name w:val="标题 3 Char"/>
    <w:link w:val="5"/>
    <w:qFormat/>
    <w:uiPriority w:val="0"/>
    <w:rPr>
      <w:rFonts w:ascii="宋体" w:hAnsi="宋体" w:eastAsia="宋体"/>
      <w:b/>
      <w:bCs/>
      <w:kern w:val="0"/>
      <w:sz w:val="28"/>
    </w:rPr>
  </w:style>
  <w:style w:type="character" w:customStyle="1" w:styleId="14">
    <w:name w:val="标题 4 Char"/>
    <w:link w:val="6"/>
    <w:uiPriority w:val="0"/>
    <w:rPr>
      <w:rFonts w:ascii="宋体" w:hAnsi="宋体" w:eastAsia="宋体"/>
      <w:b/>
      <w:bCs/>
    </w:rPr>
  </w:style>
  <w:style w:type="paragraph" w:customStyle="1" w:styleId="1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2026-10-15T06:47:00Z</dcterms:created>
  <dc:creator>朱娟</dc:creator>
  <cp:lastModifiedBy>朱娟</cp:lastModifiedBy>
  <dcterms:modified xsi:type="dcterms:W3CDTF">2026-10-15T06:48:20Z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1AEE3F2D276C455E9669DFE9C5CDFA39_11</vt:lpwstr>
  </property>
  <property fmtid="{D5CDD505-2E9C-101B-9397-08002B2CF9AE}" pid="4" name="KSOTemplateDocerSaveRecord">
    <vt:lpwstr>eyJoZGlkIjoiNmQ5YTlhOTI1MTIxMWQzZmNmMTc3YTIwMzNkYjU1MDciLCJ1c2VySWQiOiIyMDIwODMyODIifQ==</vt:lpwstr>
  </property>
</Properties>
</file>