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版本号：SNJZ-2026-14320260807002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飞机铆接工技能鉴定站升级改造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SNJZ-2026-143</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飞机铆接工技能鉴定站升级改造</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飞机铆接工技能鉴定站升级改造</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飞机铆接工技能鉴定站升级改造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6、设备和专业技术能力承诺：提供具有履行本合同所必需的设备和专业技术能力的承诺书。</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马子啸、左建强、鲁方方、程钰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采购包1保证金金额：18,800.00元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对设备数量、品牌型号、技术参数、软件授权、安装调试及功能验收，若检查与条目不符，采购人将拒绝接收。（2）最终验收：全部项目完成后，采购人根据国家标准或以合同文本中描述的有关要求，组织相关部门进行最终验收，验收合格后出具验收单。（3）验收依据：合同文本；国家有关的验收标准及规范；招标文件；投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飞机铆接工技能鉴定站升级改造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飞机铆装工技能鉴定站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标的名称：飞机铆装工技能鉴定站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6"/>
              <w:gridCol w:w="205"/>
              <w:gridCol w:w="522"/>
              <w:gridCol w:w="1737"/>
              <w:gridCol w:w="199"/>
              <w:gridCol w:w="269"/>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1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基本规格</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单位</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工作台及车间设施</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工作台基本尺寸约为：</w:t>
                  </w:r>
                  <w:r>
                    <w:rPr>
                      <w:rFonts w:ascii="仿宋_GB2312" w:hAnsi="仿宋_GB2312" w:cs="仿宋_GB2312" w:eastAsia="仿宋_GB2312"/>
                      <w:sz w:val="21"/>
                      <w:color w:val="000000"/>
                    </w:rPr>
                    <w:t>2000*1200*800，可容纳4个工位，工作台腿部结构方形，具体参数如下：</w:t>
                  </w:r>
                </w:p>
                <w:p>
                  <w:pPr>
                    <w:pStyle w:val="null3"/>
                    <w:jc w:val="left"/>
                  </w:pPr>
                  <w:r>
                    <w:rPr>
                      <w:rFonts w:ascii="仿宋_GB2312" w:hAnsi="仿宋_GB2312" w:cs="仿宋_GB2312" w:eastAsia="仿宋_GB2312"/>
                      <w:sz w:val="21"/>
                      <w:color w:val="000000"/>
                    </w:rPr>
                    <w:t>1.桌腿为≥3.0mm厚优质冷轧钢板制造，台面≥50mm厚橡木拼接实木+不锈钢全包，不锈钢材质、高强度、高承载、抗冲击性强，可加装台钳，工作台整体均匀承重1000-1500kg。</w:t>
                  </w:r>
                </w:p>
                <w:p>
                  <w:pPr>
                    <w:pStyle w:val="null3"/>
                    <w:jc w:val="left"/>
                  </w:pPr>
                  <w:r>
                    <w:rPr>
                      <w:rFonts w:ascii="仿宋_GB2312" w:hAnsi="仿宋_GB2312" w:cs="仿宋_GB2312" w:eastAsia="仿宋_GB2312"/>
                      <w:sz w:val="21"/>
                      <w:color w:val="000000"/>
                    </w:rPr>
                    <w:t>2.台面上配1块方孔板、1块百叶板、1副灯架，其中百叶板上配1个5孔电源插座、1只电源开关、1只气源孔插座；</w:t>
                  </w:r>
                </w:p>
                <w:p>
                  <w:pPr>
                    <w:pStyle w:val="null3"/>
                    <w:jc w:val="left"/>
                  </w:pPr>
                  <w:r>
                    <w:rPr>
                      <w:rFonts w:ascii="仿宋_GB2312" w:hAnsi="仿宋_GB2312" w:cs="仿宋_GB2312" w:eastAsia="仿宋_GB2312"/>
                      <w:sz w:val="21"/>
                      <w:color w:val="000000"/>
                    </w:rPr>
                    <w:t>3.表面配≥5mm防静电胶皮；</w:t>
                  </w:r>
                </w:p>
                <w:p>
                  <w:pPr>
                    <w:pStyle w:val="null3"/>
                    <w:jc w:val="left"/>
                  </w:pPr>
                  <w:r>
                    <w:rPr>
                      <w:rFonts w:ascii="仿宋_GB2312" w:hAnsi="仿宋_GB2312" w:cs="仿宋_GB2312" w:eastAsia="仿宋_GB2312"/>
                      <w:sz w:val="21"/>
                      <w:color w:val="000000"/>
                    </w:rPr>
                    <w:t>4.抽屉尺寸：约400×550×630mm（长×深×高）,重要求：单层≥50kg，每层抽屉内铺垫胶皮，结构稳固，承重力强，长期使用不易变形。抽屉面板可选与桌面同色或撞色设计，所有边角做倒圆或防撞条处理，抽屉带防脱出限位，避免意外拉脱；</w:t>
                  </w:r>
                </w:p>
                <w:p>
                  <w:pPr>
                    <w:pStyle w:val="null3"/>
                    <w:jc w:val="left"/>
                  </w:pPr>
                  <w:r>
                    <w:rPr>
                      <w:rFonts w:ascii="仿宋_GB2312" w:hAnsi="仿宋_GB2312" w:cs="仿宋_GB2312" w:eastAsia="仿宋_GB2312"/>
                      <w:sz w:val="21"/>
                      <w:color w:val="000000"/>
                    </w:rPr>
                    <w:t>5.额定设计载重基础上增加20%超载，静置24h，台面最大永久变形≤1.5mm，无开裂、焊缝脱焊、框架变形；投标文件提供结构力学设计计算书+同型号产品满载测试视频/检测报告。</w:t>
                  </w:r>
                </w:p>
                <w:p>
                  <w:pPr>
                    <w:pStyle w:val="null3"/>
                    <w:jc w:val="left"/>
                  </w:pPr>
                  <w:r>
                    <w:rPr>
                      <w:rFonts w:ascii="仿宋_GB2312" w:hAnsi="仿宋_GB2312" w:cs="仿宋_GB2312" w:eastAsia="仿宋_GB2312"/>
                      <w:sz w:val="21"/>
                      <w:color w:val="000000"/>
                    </w:rPr>
                    <w:t>6.焊接工艺:所有焊缝均匀平整，无焊渣、气孔、咬边、虚焊;铆接实训台承重主梁、设备挂架等关键焊缝必须做无损探伤检测，投标时提供同规格产品无损探伤报告。</w:t>
                  </w:r>
                </w:p>
                <w:p>
                  <w:pPr>
                    <w:pStyle w:val="null3"/>
                    <w:jc w:val="left"/>
                  </w:pPr>
                  <w:r>
                    <w:rPr>
                      <w:rFonts w:ascii="仿宋_GB2312" w:hAnsi="仿宋_GB2312" w:cs="仿宋_GB2312" w:eastAsia="仿宋_GB2312"/>
                      <w:sz w:val="21"/>
                      <w:color w:val="000000"/>
                    </w:rPr>
                    <w:t>7.表面处理标准:九工位前处理(脱脂一水洗一表调一磷化一多道水洗烘干)，环氧树脂静电喷塑;涂层厚度≥70从m，划格法附着力0级中性盐雾试验≥100h无红锈;须提供第三方检测机构出具的检测报告</w:t>
                  </w:r>
                </w:p>
                <w:p>
                  <w:pPr>
                    <w:pStyle w:val="null3"/>
                    <w:jc w:val="left"/>
                  </w:pPr>
                  <w:r>
                    <w:rPr>
                      <w:rFonts w:ascii="仿宋_GB2312" w:hAnsi="仿宋_GB2312" w:cs="仿宋_GB2312" w:eastAsia="仿宋_GB2312"/>
                      <w:sz w:val="21"/>
                      <w:color w:val="000000"/>
                    </w:rPr>
                    <w:t>含气源改造费用（将现有气源接通至每个工作台）。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划线工作台</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约</w:t>
                  </w:r>
                  <w:r>
                    <w:rPr>
                      <w:rFonts w:ascii="仿宋_GB2312" w:hAnsi="仿宋_GB2312" w:cs="仿宋_GB2312" w:eastAsia="仿宋_GB2312"/>
                      <w:sz w:val="21"/>
                      <w:color w:val="000000"/>
                    </w:rPr>
                    <w:t>1500*1000*860mm,高硬度铸铁HT200-300工作面硬度为HB170240不易磨损整体硬度高，框架稳定承重力高水磨处理操作方便工作速度快，精度等级2级，平面度公差48um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约</w:t>
                  </w:r>
                  <w:r>
                    <w:rPr>
                      <w:rFonts w:ascii="仿宋_GB2312" w:hAnsi="仿宋_GB2312" w:cs="仿宋_GB2312" w:eastAsia="仿宋_GB2312"/>
                      <w:sz w:val="21"/>
                      <w:color w:val="000000"/>
                    </w:rPr>
                    <w:t>34*24*45，</w:t>
                  </w:r>
                  <w:r>
                    <w:br/>
                  </w:r>
                  <w:r>
                    <w:rPr>
                      <w:rFonts w:ascii="仿宋_GB2312" w:hAnsi="仿宋_GB2312" w:cs="仿宋_GB2312" w:eastAsia="仿宋_GB2312"/>
                      <w:sz w:val="21"/>
                      <w:color w:val="000000"/>
                    </w:rPr>
                    <w:t>台面</w:t>
                  </w:r>
                  <w:r>
                    <w:rPr>
                      <w:rFonts w:ascii="仿宋_GB2312" w:hAnsi="仿宋_GB2312" w:cs="仿宋_GB2312" w:eastAsia="仿宋_GB2312"/>
                      <w:sz w:val="21"/>
                      <w:color w:val="000000"/>
                    </w:rPr>
                    <w:t>:≥2.5厘米厚防静电皮板</w:t>
                  </w:r>
                  <w:r>
                    <w:br/>
                  </w:r>
                  <w:r>
                    <w:rPr>
                      <w:rFonts w:ascii="仿宋_GB2312" w:hAnsi="仿宋_GB2312" w:cs="仿宋_GB2312" w:eastAsia="仿宋_GB2312"/>
                      <w:sz w:val="21"/>
                      <w:color w:val="000000"/>
                    </w:rPr>
                    <w:t>立柱</w:t>
                  </w:r>
                  <w:r>
                    <w:rPr>
                      <w:rFonts w:ascii="仿宋_GB2312" w:hAnsi="仿宋_GB2312" w:cs="仿宋_GB2312" w:eastAsia="仿宋_GB2312"/>
                      <w:sz w:val="21"/>
                      <w:color w:val="000000"/>
                    </w:rPr>
                    <w:t>:≥25×25×1.2毫米方管+烤漆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钢化玻璃隔断</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1.≥10MM透明钢化防爆玻璃，尺寸约7.5米长，2.5米高，防爆，须通过3C认证</w:t>
                  </w:r>
                  <w:r>
                    <w:br/>
                  </w:r>
                  <w:r>
                    <w:rPr>
                      <w:rFonts w:ascii="仿宋_GB2312" w:hAnsi="仿宋_GB2312" w:cs="仿宋_GB2312" w:eastAsia="仿宋_GB2312"/>
                      <w:sz w:val="21"/>
                      <w:color w:val="000000"/>
                    </w:rPr>
                    <w:t>2.玻璃类型：钢化玻璃</w:t>
                  </w:r>
                  <w:r>
                    <w:br/>
                  </w:r>
                  <w:r>
                    <w:rPr>
                      <w:rFonts w:ascii="仿宋_GB2312" w:hAnsi="仿宋_GB2312" w:cs="仿宋_GB2312" w:eastAsia="仿宋_GB2312"/>
                      <w:sz w:val="21"/>
                      <w:color w:val="000000"/>
                    </w:rPr>
                    <w:t>3.隔断形式：全玻隔断/玻璃隔断墙</w:t>
                  </w:r>
                  <w:r>
                    <w:br/>
                  </w:r>
                  <w:r>
                    <w:rPr>
                      <w:rFonts w:ascii="仿宋_GB2312" w:hAnsi="仿宋_GB2312" w:cs="仿宋_GB2312" w:eastAsia="仿宋_GB2312"/>
                      <w:sz w:val="21"/>
                      <w:color w:val="000000"/>
                    </w:rPr>
                    <w:t>4.边框材质：铝合金框/无框/不锈钢框（按实际）</w:t>
                  </w:r>
                  <w:r>
                    <w:br/>
                  </w:r>
                  <w:r>
                    <w:rPr>
                      <w:rFonts w:ascii="仿宋_GB2312" w:hAnsi="仿宋_GB2312" w:cs="仿宋_GB2312" w:eastAsia="仿宋_GB2312"/>
                      <w:sz w:val="21"/>
                      <w:color w:val="000000"/>
                    </w:rPr>
                    <w:t>5.安装方式：打胶密封、固定、收口处理</w:t>
                  </w:r>
                  <w:r>
                    <w:br/>
                  </w:r>
                  <w:r>
                    <w:rPr>
                      <w:rFonts w:ascii="仿宋_GB2312" w:hAnsi="仿宋_GB2312" w:cs="仿宋_GB2312" w:eastAsia="仿宋_GB2312"/>
                      <w:sz w:val="21"/>
                      <w:color w:val="000000"/>
                    </w:rPr>
                    <w:t>6.含五金配件、玻璃开孔、成品保护、</w:t>
                  </w:r>
                </w:p>
                <w:p>
                  <w:pPr>
                    <w:pStyle w:val="null3"/>
                    <w:jc w:val="left"/>
                  </w:pPr>
                  <w:r>
                    <w:rPr>
                      <w:rFonts w:ascii="仿宋_GB2312" w:hAnsi="仿宋_GB2312" w:cs="仿宋_GB2312" w:eastAsia="仿宋_GB2312"/>
                      <w:sz w:val="21"/>
                      <w:color w:val="000000"/>
                    </w:rPr>
                    <w:t>含文化内涵建设（具体内容待中标后商议）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展示柜</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外形尺寸约</w:t>
                  </w:r>
                  <w:r>
                    <w:rPr>
                      <w:rFonts w:ascii="仿宋_GB2312" w:hAnsi="仿宋_GB2312" w:cs="仿宋_GB2312" w:eastAsia="仿宋_GB2312"/>
                      <w:sz w:val="21"/>
                      <w:color w:val="000000"/>
                    </w:rPr>
                    <w:t>120*30*200，双开门带锁，铝合金外框钢化玻璃隔层，隔层高度可调</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教学设备</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智慧屏</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1.有效显示尺寸：≥86英寸，LED背光，液晶屏屏体满足A规屏；</w:t>
                  </w:r>
                  <w:r>
                    <w:br/>
                  </w:r>
                  <w:r>
                    <w:rPr>
                      <w:rFonts w:ascii="仿宋_GB2312" w:hAnsi="仿宋_GB2312" w:cs="仿宋_GB2312" w:eastAsia="仿宋_GB2312"/>
                      <w:sz w:val="21"/>
                      <w:color w:val="000000"/>
                    </w:rPr>
                    <w:t>2.书写面材质：需采用≥3mm高防爆钢化玻璃，防划、防撞、AG防眩光，AF防指纹，采用红外触控技术与全贴合设计，书写高度≤1mm，高度还原老师黑板板书体验；</w:t>
                  </w:r>
                  <w:r>
                    <w:br/>
                  </w:r>
                  <w:r>
                    <w:rPr>
                      <w:rFonts w:ascii="仿宋_GB2312" w:hAnsi="仿宋_GB2312" w:cs="仿宋_GB2312" w:eastAsia="仿宋_GB2312"/>
                      <w:sz w:val="21"/>
                      <w:color w:val="000000"/>
                    </w:rPr>
                    <w:t>3.屏幕触摸精度不低于±1mm，响应时间≤2ms；</w:t>
                  </w:r>
                  <w:r>
                    <w:br/>
                  </w:r>
                  <w:r>
                    <w:rPr>
                      <w:rFonts w:ascii="仿宋_GB2312" w:hAnsi="仿宋_GB2312" w:cs="仿宋_GB2312" w:eastAsia="仿宋_GB2312"/>
                      <w:sz w:val="21"/>
                      <w:color w:val="000000"/>
                    </w:rPr>
                    <w:t>4.显示比例：16:9；可视角度：≥178°，最佳分辨率：3840x2160 4K UHD，刷新率≥60hz，屏体亮度≥350 cd/m²，对比度≥1200：1；</w:t>
                  </w:r>
                  <w:r>
                    <w:br/>
                  </w:r>
                  <w:r>
                    <w:rPr>
                      <w:rFonts w:ascii="仿宋_GB2312" w:hAnsi="仿宋_GB2312" w:cs="仿宋_GB2312" w:eastAsia="仿宋_GB2312"/>
                      <w:sz w:val="21"/>
                      <w:color w:val="000000"/>
                    </w:rPr>
                    <w:t>5.内置OPS电脑：CPU采用≥6核12线程处理器，内存：≥16G DDR4，硬盘：≥256G SSD固态硬盘。</w:t>
                  </w:r>
                </w:p>
                <w:p>
                  <w:pPr>
                    <w:pStyle w:val="null3"/>
                    <w:jc w:val="left"/>
                  </w:pPr>
                  <w:r>
                    <w:rPr>
                      <w:rFonts w:ascii="仿宋_GB2312" w:hAnsi="仿宋_GB2312" w:cs="仿宋_GB2312" w:eastAsia="仿宋_GB2312"/>
                      <w:sz w:val="21"/>
                      <w:color w:val="000000"/>
                    </w:rPr>
                    <w:t>6.具备双屏互联功能。可支持主屏和扩展屏同时呈现板书同一页内容、上下页内容，可选择双屏板书联动或不联动。可在主屏上操作打开扩展屏上的课件并控制、批注。</w:t>
                  </w:r>
                </w:p>
                <w:p>
                  <w:pPr>
                    <w:pStyle w:val="null3"/>
                    <w:jc w:val="left"/>
                  </w:pPr>
                  <w:r>
                    <w:rPr>
                      <w:rFonts w:ascii="仿宋_GB2312" w:hAnsi="仿宋_GB2312" w:cs="仿宋_GB2312" w:eastAsia="仿宋_GB2312"/>
                      <w:sz w:val="21"/>
                      <w:color w:val="000000"/>
                    </w:rPr>
                    <w:t>7.支持利用AI通过语音实时答疑与知识拓展，支持通过大模型快速检索并生成结构化回答。</w:t>
                  </w:r>
                </w:p>
                <w:p>
                  <w:pPr>
                    <w:pStyle w:val="null3"/>
                    <w:jc w:val="left"/>
                  </w:pPr>
                  <w:r>
                    <w:rPr>
                      <w:rFonts w:ascii="仿宋_GB2312" w:hAnsi="仿宋_GB2312" w:cs="仿宋_GB2312" w:eastAsia="仿宋_GB2312"/>
                      <w:sz w:val="21"/>
                      <w:color w:val="000000"/>
                    </w:rPr>
                    <w:t>8.支持通过各类型麦克风，基于语音指令实现对教学软件的常用功能控制（如课件翻页、工具调取、权限操作等）。</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钻铆及气动</w:t>
                  </w:r>
                  <w:r>
                    <w:rPr>
                      <w:rFonts w:ascii="仿宋_GB2312" w:hAnsi="仿宋_GB2312" w:cs="仿宋_GB2312" w:eastAsia="仿宋_GB2312"/>
                      <w:sz w:val="21"/>
                      <w:color w:val="0F1115"/>
                    </w:rPr>
                    <w:t>/电动工具</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铆枪（核心产品）</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套装，手枪式，工作气压：</w:t>
                  </w:r>
                  <w:r>
                    <w:rPr>
                      <w:rFonts w:ascii="仿宋_GB2312" w:hAnsi="仿宋_GB2312" w:cs="仿宋_GB2312" w:eastAsia="仿宋_GB2312"/>
                      <w:sz w:val="21"/>
                      <w:color w:val="000000"/>
                    </w:rPr>
                    <w:t>≥0.49Mpa，单次冲击率：≥3.9J，冲击频率：≥25Hz，耗气量：≤4.16L/s，冲头配合尺寸：约10mm*25mm，机重≤1.18kg，配防护弹簧两支，平头，平锥，扁圆各一支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风钻</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手枪式气钻空载转速</w:t>
                  </w:r>
                  <w:r>
                    <w:rPr>
                      <w:rFonts w:ascii="仿宋_GB2312" w:hAnsi="仿宋_GB2312" w:cs="仿宋_GB2312" w:eastAsia="仿宋_GB2312"/>
                      <w:sz w:val="21"/>
                      <w:color w:val="000000"/>
                    </w:rPr>
                    <w:t>≥2600（rpm），夹持能力≥10mm，耗气量≤14L/S，重量≤0.8KG，工作气压≥0.63Mpa，功率≥0.55kw，主轴输出形式8/3-24UNF，3.1*75和4.1*75麻花钻各一支。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拉铆枪</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抽芯铆钉钢钉</w:t>
                  </w:r>
                  <w:r>
                    <w:rPr>
                      <w:rFonts w:ascii="仿宋_GB2312" w:hAnsi="仿宋_GB2312" w:cs="仿宋_GB2312" w:eastAsia="仿宋_GB2312"/>
                      <w:sz w:val="21"/>
                      <w:color w:val="000000"/>
                    </w:rPr>
                    <w:t>5mm铝钉6.4mm，工作气压：0.5-0.7Mpa，工作方式：自吸式，拉铆力：≥19000N，工作行程：约20.5mm，机重≤2.3kg。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弯角风钻</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弯头气钻</w:t>
                  </w:r>
                  <w:r>
                    <w:rPr>
                      <w:rFonts w:ascii="仿宋_GB2312" w:hAnsi="仿宋_GB2312" w:cs="仿宋_GB2312" w:eastAsia="仿宋_GB2312"/>
                      <w:sz w:val="21"/>
                      <w:color w:val="000000"/>
                    </w:rPr>
                    <w:t>90度，耗气量：≤2.94m³/min，钻孔能力：约6mm，转速：≥3000，功率：≥0.7HP，噪音：≤99dB(A)，机重≤0.67kg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高锁螺栓连接专用安装工具</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空载转速</w:t>
                  </w:r>
                  <w:r>
                    <w:rPr>
                      <w:rFonts w:ascii="仿宋_GB2312" w:hAnsi="仿宋_GB2312" w:cs="仿宋_GB2312" w:eastAsia="仿宋_GB2312"/>
                      <w:sz w:val="21"/>
                      <w:color w:val="000000"/>
                    </w:rPr>
                    <w:t>≥400 r/min，外形尺寸约260mm，最大扭矩≥6.5nm，工作气压：≥0.63Mpa，噪音≤93dB（A），高锁六方：8mm，高锁内六方：2mm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风扳机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空载转速</w:t>
                  </w:r>
                  <w:r>
                    <w:rPr>
                      <w:rFonts w:ascii="仿宋_GB2312" w:hAnsi="仿宋_GB2312" w:cs="仿宋_GB2312" w:eastAsia="仿宋_GB2312"/>
                      <w:sz w:val="21"/>
                      <w:color w:val="000000"/>
                    </w:rPr>
                    <w:t>≥2800（rpm），工作压力≥0.63（Mpa）工作能力：M10，累计扭矩：约145nm，四方输出12.7*12.7mm，机重≤1.9kg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台钻</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主电机功率：</w:t>
                  </w:r>
                  <w:r>
                    <w:rPr>
                      <w:rFonts w:ascii="仿宋_GB2312" w:hAnsi="仿宋_GB2312" w:cs="仿宋_GB2312" w:eastAsia="仿宋_GB2312"/>
                      <w:sz w:val="21"/>
                      <w:color w:val="000000"/>
                    </w:rPr>
                    <w:t>≥550W，钻孔直径范围：1-16mm</w:t>
                  </w:r>
                  <w:r>
                    <w:br/>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400-3000rpm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风带</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10*6.5，与气动工具相匹配的风带型号,总长≥30米。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条</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手动工具</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木锤</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檀木，</w:t>
                  </w:r>
                  <w:r>
                    <w:rPr>
                      <w:rFonts w:ascii="仿宋_GB2312" w:hAnsi="仿宋_GB2312" w:cs="仿宋_GB2312" w:eastAsia="仿宋_GB2312"/>
                      <w:sz w:val="21"/>
                      <w:color w:val="000000"/>
                    </w:rPr>
                    <w:t>500g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橡皮锤</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防震橡皮锤</w:t>
                  </w:r>
                  <w:r>
                    <w:rPr>
                      <w:rFonts w:ascii="仿宋_GB2312" w:hAnsi="仿宋_GB2312" w:cs="仿宋_GB2312" w:eastAsia="仿宋_GB2312"/>
                      <w:sz w:val="21"/>
                      <w:color w:val="000000"/>
                    </w:rPr>
                    <w:t>1LB，锤头采用工业级ABR橡胶材质，耐高温，耐油耐腐蚀，高耐磨性。锤头内部增加钢珠，增加打击力，有效防止反弹，人体工程学手柄。</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铁锤</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纤维柄圆头锤</w:t>
                  </w:r>
                  <w:r>
                    <w:rPr>
                      <w:rFonts w:ascii="仿宋_GB2312" w:hAnsi="仿宋_GB2312" w:cs="仿宋_GB2312" w:eastAsia="仿宋_GB2312"/>
                      <w:sz w:val="21"/>
                      <w:color w:val="000000"/>
                    </w:rPr>
                    <w:t>24oz，纤维柄圆头锤24oz.采用优质钢材锻造，锤头热处理抛光，牢固耐用。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什锦锉</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10件套什锦锉(5x180mm)，10件套什锦锉(5x180mm)高级合金钢材质，锉齿表面特殊特殊热处理涂层，粘塑手柄，使用轻便。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铝平锉</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4件套装 6/8/10/12各一件表面热处理涂层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铁皮剪刀</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静电喷塑，铝青铜材质加厚加刚锻造。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定位销钳</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定位销钳</w:t>
                  </w:r>
                  <w:r>
                    <w:rPr>
                      <w:rFonts w:ascii="仿宋_GB2312" w:hAnsi="仿宋_GB2312" w:cs="仿宋_GB2312" w:eastAsia="仿宋_GB2312"/>
                      <w:sz w:val="21"/>
                      <w:color w:val="000000"/>
                    </w:rPr>
                    <w:t>TC-74，锻钢制造，镀镍，塑料保护套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棘轮扳手</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12件套，铆接专用套装,采用优质铬钒钢，72齿双向棘轮，表面镀铬，镜面抛光处理。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量具及划线工具</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划规、划针</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10寸，合金头划针，经久耐磨。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根</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钢板尺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不锈钢直尺</w:t>
                  </w:r>
                  <w:r>
                    <w:rPr>
                      <w:rFonts w:ascii="仿宋_GB2312" w:hAnsi="仿宋_GB2312" w:cs="仿宋_GB2312" w:eastAsia="仿宋_GB2312"/>
                      <w:sz w:val="21"/>
                      <w:color w:val="000000"/>
                    </w:rPr>
                    <w:t>500mm，双面刻度不锈钢。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游标卡尺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0-150mm电子数显卡尺，精度±0.01mm，刻面无光镀铬处理，线纹清晰测量面淬硬，尺爪淬火耐磨，不锈钢加厚尺身，稳定耐用，快速显示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外径千分尺</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25-50mm，分度值0.01mm，精度±0.004mm，硬质合金测量面，耐磨性好。具有测力装置,使测量面与被测工件接触时,保持恒定测量力。具有千分螺丝锁紧装置，塑料存放盒。</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把</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0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夹具、定位与安装辅具</w:t>
                  </w: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台虎钳</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5英寸重型台虎钳，采用方刚制造，净重约23kg，开口度≥133mm，加紧力≥2100kg。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顶铁</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在飞机铆接过程中，用于支撑铆钉在冲击时产生反作用力而完成铆钉墩头的主要工具，顶铁总重量</w:t>
                  </w:r>
                  <w:r>
                    <w:rPr>
                      <w:rFonts w:ascii="仿宋_GB2312" w:hAnsi="仿宋_GB2312" w:cs="仿宋_GB2312" w:eastAsia="仿宋_GB2312"/>
                      <w:sz w:val="21"/>
                      <w:color w:val="000000"/>
                    </w:rPr>
                    <w:t>2Lbs（1kgs）—4Lbs（2kgs），顶铁具有高强度，不易变形的特点（使用优质铬钒钢锻造，强度高，坚固耐用不易变形）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定位销</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FF0000"/>
                    </w:rPr>
                    <w:t>KK-3/32  KK-1/8，mini型</w:t>
                  </w:r>
                  <w:r>
                    <w:rPr>
                      <w:rFonts w:ascii="仿宋_GB2312" w:hAnsi="仿宋_GB2312" w:cs="仿宋_GB2312" w:eastAsia="仿宋_GB2312"/>
                      <w:sz w:val="21"/>
                      <w:color w:val="000000"/>
                    </w:rPr>
                    <w:t>，拉紧厚度</w:t>
                  </w:r>
                  <w:r>
                    <w:rPr>
                      <w:rFonts w:ascii="仿宋_GB2312" w:hAnsi="仿宋_GB2312" w:cs="仿宋_GB2312" w:eastAsia="仿宋_GB2312"/>
                      <w:sz w:val="21"/>
                      <w:color w:val="000000"/>
                    </w:rPr>
                    <w:t>0-1/4英寸，适应孔径3/32和1/8</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弓型夹</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100X120mm，锻打F夹，优质钢材整体锻造，特殊热处理加工，确保夹持硬度。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鱼型夹</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6寸，优质钢材整体锻造，特殊热处理加工，确保夹持硬度。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05"/>
                  <w:vMerge/>
                  <w:tcBorders>
                    <w:top w:val="none" w:color="000000" w:sz="4"/>
                    <w:left w:val="none" w:color="000000" w:sz="4"/>
                    <w:bottom w:val="single" w:color="000000" w:sz="4"/>
                    <w:right w:val="single" w:color="000000" w:sz="4"/>
                  </w:tcBorders>
                </w:tcPr>
                <w:p/>
              </w:tc>
              <w:tc>
                <w:tcPr>
                  <w:tcW w:type="dxa" w:w="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型架</w:t>
                  </w:r>
                </w:p>
              </w:tc>
              <w:tc>
                <w:tcPr>
                  <w:tcW w:type="dxa" w:w="1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外形约</w:t>
                  </w:r>
                  <w:r>
                    <w:rPr>
                      <w:rFonts w:ascii="仿宋_GB2312" w:hAnsi="仿宋_GB2312" w:cs="仿宋_GB2312" w:eastAsia="仿宋_GB2312"/>
                      <w:sz w:val="21"/>
                      <w:color w:val="000000"/>
                    </w:rPr>
                    <w:t>40cm*70cm，含有肋、框定位夹具和蒙皮外形卡板，能够覆盖型架安装、零件装配定位和机械连接的功能。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合同签订后60个日历日内完成全部供货、安装及调试。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（1）交货检验：到货后，由采购人对设备数量、品牌型号、技术参数、安装调试及功能验收，若检查与条目不符，采购人将拒绝接收。 （2）最终验收：全部项目完成后，采购人根据国家标准或以合同文本中描述的有关要求，组织相关部门进行最终验收，验收合格后出具验收单。 （3）验收依据：合同文本；国家有关的验收标准及规范；招标文件；投标文件。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本项目质保期为12个月，自验收合格之日起算。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“3.4 商务要求”商务响应情况，若负偏离，投标文件作为无效处理。</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投标文件封面 商务条款响应偏离表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工作台及车间设施</w:t>
            </w:r>
          </w:p>
        </w:tc>
        <w:tc>
          <w:tcPr>
            <w:tcW w:type="dxa" w:w="2492"/>
          </w:tcPr>
          <w:p>
            <w:pPr>
              <w:pStyle w:val="null3"/>
            </w:pPr>
            <w:r>
              <w:rPr>
                <w:rFonts w:ascii="仿宋_GB2312" w:hAnsi="仿宋_GB2312" w:cs="仿宋_GB2312" w:eastAsia="仿宋_GB2312"/>
              </w:rPr>
              <w:t>根据供应商对序号1-5设备（共5项）的技术响应情况，完全满足招标文件要求得5分，每个设备有负偏或不完全满足扣1分。（工作台、钢化玻璃隔断须提供相关证明材料，包括但不限于检测报告、材质证明书等）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教学设备</w:t>
            </w:r>
          </w:p>
        </w:tc>
        <w:tc>
          <w:tcPr>
            <w:tcW w:type="dxa" w:w="2492"/>
          </w:tcPr>
          <w:p>
            <w:pPr>
              <w:pStyle w:val="null3"/>
            </w:pPr>
            <w:r>
              <w:rPr>
                <w:rFonts w:ascii="仿宋_GB2312" w:hAnsi="仿宋_GB2312" w:cs="仿宋_GB2312" w:eastAsia="仿宋_GB2312"/>
              </w:rPr>
              <w:t>根据供应商对序号6设备8条技术参数的响应情况，完全满足招标文件要求得4分，每条参数有负偏或不完全满足扣0.5分。（智慧屏须提供相关证明材料，包括但不限于检测报告等）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铆接工具</w:t>
            </w:r>
          </w:p>
        </w:tc>
        <w:tc>
          <w:tcPr>
            <w:tcW w:type="dxa" w:w="2492"/>
          </w:tcPr>
          <w:p>
            <w:pPr>
              <w:pStyle w:val="null3"/>
            </w:pPr>
            <w:r>
              <w:rPr>
                <w:rFonts w:ascii="仿宋_GB2312" w:hAnsi="仿宋_GB2312" w:cs="仿宋_GB2312" w:eastAsia="仿宋_GB2312"/>
              </w:rPr>
              <w:t>根据供应商对序号7-16、27-32（共14项）的技术响应情况，完全满足招标文件要求得21分，每个设备有负偏或不完全满足扣1.5分。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手动、划线及量具</w:t>
            </w:r>
          </w:p>
        </w:tc>
        <w:tc>
          <w:tcPr>
            <w:tcW w:type="dxa" w:w="2492"/>
          </w:tcPr>
          <w:p>
            <w:pPr>
              <w:pStyle w:val="null3"/>
            </w:pPr>
            <w:r>
              <w:rPr>
                <w:rFonts w:ascii="仿宋_GB2312" w:hAnsi="仿宋_GB2312" w:cs="仿宋_GB2312" w:eastAsia="仿宋_GB2312"/>
              </w:rPr>
              <w:t>根据供应商对序号16-26设备（共12项）的响应情况，完全满足招标文件要求得6分，每个设备有负偏离或不完全响应扣0.5分。（供应商须如实响应，如发现虚假响应则上报相关监督部门）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相关证书</w:t>
            </w:r>
          </w:p>
        </w:tc>
        <w:tc>
          <w:tcPr>
            <w:tcW w:type="dxa" w:w="2492"/>
          </w:tcPr>
          <w:p>
            <w:pPr>
              <w:pStyle w:val="null3"/>
            </w:pPr>
            <w:r>
              <w:rPr>
                <w:rFonts w:ascii="仿宋_GB2312" w:hAnsi="仿宋_GB2312" w:cs="仿宋_GB2312" w:eastAsia="仿宋_GB2312"/>
              </w:rPr>
              <w:t>1.根据供应商提供的设备合法来源渠道证明⽂件，提供全部设备得2分，缺少5个以内得1.5分，缺少10个以内得1分，缺少10个以上不得分。 2.供应商具备有效的质量管理体系认证证书得1分；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根据本项目实际需求及特点，制定项目实施进度计划方案。 二、评审标准 1、完整性：方案内容全面，对各环节有详细描述，无关键工作缺失； 2、可实施性：切合本项目实际情况，提出步骤清晰、合理的方案；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供货组织</w:t>
            </w:r>
          </w:p>
        </w:tc>
        <w:tc>
          <w:tcPr>
            <w:tcW w:type="dxa" w:w="2492"/>
          </w:tcPr>
          <w:p>
            <w:pPr>
              <w:pStyle w:val="null3"/>
            </w:pPr>
            <w:r>
              <w:rPr>
                <w:rFonts w:ascii="仿宋_GB2312" w:hAnsi="仿宋_GB2312" w:cs="仿宋_GB2312" w:eastAsia="仿宋_GB2312"/>
              </w:rPr>
              <w:t>一、评审内容 根据本项目实际需求及特点，制定项目供货组织方案。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一、评审内容 根据本项目实际需求及特点，制定项目安装调试方案。 二、评审标准 1、完整性：方案内容全面，对各环节有详细描述，无关键工作缺失； 2、针对性：方案能够紧扣项目实际情况，内容科学合理。 三、赋分标准 完全满足每个评审标准得1分，有瑕疵得0.5分，有缺陷得0分，满分3分。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根据本项目实际需求及特点，制定项目质量保障方案。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根据本项目实际需求及特点，制定项目人员配备方案 二、评审标准 1、完整性：岗位齐全无空缺，组织架构无漏洞； 2、可实施性：岗位、专业、经验、数量等匹配本项目实际情况；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一、评审内容 根据本项目实际需求及特点，制定项目应急处置方案。 二、评审标准 1、完整性：方案内容全面，对各环节有详细描述，无关键工作缺失； 2、可实施性：切合本项目实际情况，提出步骤清晰、合理的方案； 三、赋分标准 完全满足每个评审标准得1分，有瑕疵得0.5分，有缺陷得0分，满分2分。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针对本项目提供①服务内容②日常运维与响应机制等③质保期外服务 二、评审标准 方案全面，对评审内容中的各项要求有详细描述，且切合本项目实际情况； 三、赋分标准 三项评审内容完全满足评审标准得3分，每项内容存在瑕疵扣0.5分，每项内容存在重大缺陷扣1分。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对本项目提供培训方案，内容包括：①师资安排②培训内容③培训计划。 二、评审标准 方案全面，对评审内容中的各项要求有详细描述，且能够紧扣项目实际情况，内容科学合理。 三、赋分标准 三项评审内容完全满足评审标准得3分，每项内容存在瑕疵扣0.5分，每项内容存在重大缺陷扣1分。 说明：瑕疵是指存在不完全满足评审标准，但项目仍可实施。缺陷是指为不满足评审标准,严重影响项目实施。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提供投标人2023年1月1日至今（以合同签订时间为准）同类项目的业绩。每提供1份得1分（提供合同复印件）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评分方法：P=40*Pmin/Pn 其中：Pmin：合格供应商投标报价中的最低价。Pn：第n个合格供应商的投标报价。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详见附件：售后服务及培训方案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