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71E46">
      <w:pPr>
        <w:adjustRightInd w:val="0"/>
        <w:snapToGrid w:val="0"/>
        <w:spacing w:line="360" w:lineRule="auto"/>
        <w:jc w:val="center"/>
        <w:outlineLvl w:val="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采购需求</w:t>
      </w:r>
    </w:p>
    <w:p w14:paraId="15D6DB34">
      <w:pPr>
        <w:adjustRightInd w:val="0"/>
        <w:snapToGrid w:val="0"/>
        <w:spacing w:line="360" w:lineRule="auto"/>
        <w:ind w:firstLine="402" w:firstLineChars="200"/>
        <w:outlineLvl w:val="0"/>
        <w:rPr>
          <w:rFonts w:ascii="仿宋" w:hAnsi="仿宋" w:eastAsia="仿宋" w:cs="仿宋"/>
          <w:b/>
          <w:bCs/>
          <w:sz w:val="20"/>
          <w:szCs w:val="20"/>
        </w:rPr>
      </w:pPr>
      <w:r>
        <w:rPr>
          <w:rFonts w:hint="eastAsia" w:ascii="仿宋" w:hAnsi="仿宋" w:eastAsia="仿宋" w:cs="仿宋"/>
          <w:b/>
          <w:bCs/>
          <w:sz w:val="20"/>
          <w:szCs w:val="20"/>
        </w:rPr>
        <w:t>一、</w:t>
      </w:r>
      <w:r>
        <w:rPr>
          <w:rFonts w:hint="eastAsia" w:ascii="仿宋" w:hAnsi="仿宋" w:eastAsia="仿宋" w:cs="仿宋"/>
          <w:b/>
          <w:bCs/>
          <w:sz w:val="20"/>
          <w:szCs w:val="20"/>
          <w:lang w:eastAsia="zh-Hans"/>
        </w:rPr>
        <w:t>项目目标</w:t>
      </w:r>
      <w:bookmarkStart w:id="21" w:name="_GoBack"/>
      <w:bookmarkEnd w:id="21"/>
    </w:p>
    <w:p w14:paraId="11D82A40">
      <w:pPr>
        <w:adjustRightInd w:val="0"/>
        <w:snapToGrid w:val="0"/>
        <w:spacing w:line="360" w:lineRule="auto"/>
        <w:ind w:firstLine="400" w:firstLineChars="200"/>
        <w:rPr>
          <w:rFonts w:ascii="仿宋" w:hAnsi="仿宋" w:eastAsia="仿宋" w:cs="仿宋"/>
          <w:sz w:val="20"/>
          <w:szCs w:val="20"/>
        </w:rPr>
      </w:pPr>
      <w:r>
        <w:rPr>
          <w:rFonts w:hint="eastAsia" w:ascii="仿宋" w:hAnsi="仿宋" w:eastAsia="仿宋" w:cs="仿宋"/>
          <w:sz w:val="20"/>
          <w:szCs w:val="20"/>
        </w:rPr>
        <w:t>通过卫星遥感监测动态掌握陕西省各行政单元耕地数量变化情况及疑似违法占用耕地情况等，为耕地保护考核和遏制违法占用耕地提供有效抓手；持续完善耕地、永久基本农田和高标准农田一体化管理场景，科学支撑管理部门决策；为省级田长办相关工作提供技术支撑，助力省级田长办落实相关职能。</w:t>
      </w:r>
    </w:p>
    <w:p w14:paraId="067C45AB">
      <w:pPr>
        <w:adjustRightInd w:val="0"/>
        <w:snapToGrid w:val="0"/>
        <w:spacing w:line="360" w:lineRule="auto"/>
        <w:ind w:firstLine="402" w:firstLineChars="200"/>
        <w:outlineLvl w:val="0"/>
        <w:rPr>
          <w:rFonts w:ascii="仿宋" w:hAnsi="仿宋" w:eastAsia="仿宋" w:cs="仿宋"/>
          <w:b/>
          <w:bCs/>
          <w:sz w:val="20"/>
          <w:szCs w:val="20"/>
        </w:rPr>
      </w:pPr>
      <w:r>
        <w:rPr>
          <w:rFonts w:hint="eastAsia" w:ascii="仿宋" w:hAnsi="仿宋" w:eastAsia="仿宋" w:cs="仿宋"/>
          <w:b/>
          <w:bCs/>
          <w:sz w:val="20"/>
          <w:szCs w:val="20"/>
        </w:rPr>
        <w:t>二、</w:t>
      </w:r>
      <w:r>
        <w:rPr>
          <w:rFonts w:hint="eastAsia" w:ascii="仿宋" w:hAnsi="仿宋" w:eastAsia="仿宋" w:cs="仿宋"/>
          <w:b/>
          <w:bCs/>
          <w:sz w:val="20"/>
          <w:szCs w:val="20"/>
          <w:lang w:eastAsia="zh-Hans"/>
        </w:rPr>
        <w:t>工作内容</w:t>
      </w:r>
    </w:p>
    <w:p w14:paraId="191FAA05">
      <w:pPr>
        <w:adjustRightInd w:val="0"/>
        <w:snapToGrid w:val="0"/>
        <w:spacing w:line="360" w:lineRule="auto"/>
        <w:ind w:firstLine="402" w:firstLineChars="200"/>
        <w:outlineLvl w:val="1"/>
        <w:rPr>
          <w:rFonts w:ascii="仿宋" w:hAnsi="仿宋" w:eastAsia="仿宋" w:cs="仿宋"/>
          <w:b/>
          <w:bCs/>
          <w:sz w:val="20"/>
          <w:szCs w:val="20"/>
        </w:rPr>
      </w:pPr>
      <w:r>
        <w:rPr>
          <w:rFonts w:hint="eastAsia" w:ascii="仿宋" w:hAnsi="仿宋" w:eastAsia="仿宋" w:cs="仿宋"/>
          <w:b/>
          <w:bCs/>
          <w:sz w:val="20"/>
          <w:szCs w:val="20"/>
        </w:rPr>
        <w:t>1.耕地保护常态化监测监管</w:t>
      </w:r>
    </w:p>
    <w:p w14:paraId="4FA07036">
      <w:pPr>
        <w:adjustRightInd w:val="0"/>
        <w:snapToGrid w:val="0"/>
        <w:spacing w:line="360" w:lineRule="auto"/>
        <w:ind w:firstLine="402" w:firstLineChars="200"/>
        <w:outlineLvl w:val="1"/>
        <w:rPr>
          <w:rFonts w:ascii="仿宋" w:hAnsi="仿宋" w:eastAsia="仿宋" w:cs="仿宋"/>
          <w:b/>
          <w:bCs/>
          <w:sz w:val="20"/>
          <w:szCs w:val="20"/>
        </w:rPr>
      </w:pPr>
      <w:r>
        <w:rPr>
          <w:rFonts w:hint="eastAsia" w:ascii="仿宋" w:hAnsi="仿宋" w:eastAsia="仿宋" w:cs="仿宋"/>
          <w:b/>
          <w:bCs/>
          <w:sz w:val="20"/>
          <w:szCs w:val="20"/>
        </w:rPr>
        <w:t>（1）卫星遥感正射影像加工</w:t>
      </w:r>
    </w:p>
    <w:p w14:paraId="08463926">
      <w:pPr>
        <w:adjustRightInd w:val="0"/>
        <w:snapToGrid w:val="0"/>
        <w:spacing w:line="360" w:lineRule="auto"/>
        <w:ind w:firstLine="400" w:firstLineChars="200"/>
        <w:rPr>
          <w:rFonts w:ascii="仿宋" w:hAnsi="仿宋" w:eastAsia="仿宋" w:cs="仿宋"/>
          <w:sz w:val="20"/>
          <w:szCs w:val="20"/>
        </w:rPr>
      </w:pPr>
      <w:r>
        <w:rPr>
          <w:rFonts w:hint="eastAsia" w:ascii="仿宋" w:hAnsi="仿宋" w:eastAsia="仿宋" w:cs="仿宋"/>
          <w:sz w:val="20"/>
          <w:szCs w:val="20"/>
        </w:rPr>
        <w:t>根据项目需求，收集时相为2026年、分辨率为2米级及优于2米的原始卫星影像，每双月覆盖陕西省全域1次，单次全省有效影像覆盖率不低于90%。以陕西省三调正射影像成果、数字高程模型数据等控制资料为基础，以景为单位，对原始卫星影像进行纠正融合等处理，制作符合要求的2026年陕西省卫星遥感正射影像。</w:t>
      </w:r>
    </w:p>
    <w:p w14:paraId="7F1C9FF1">
      <w:pPr>
        <w:adjustRightInd w:val="0"/>
        <w:snapToGrid w:val="0"/>
        <w:spacing w:line="360" w:lineRule="auto"/>
        <w:ind w:firstLine="402" w:firstLineChars="200"/>
        <w:outlineLvl w:val="1"/>
        <w:rPr>
          <w:rFonts w:ascii="仿宋" w:hAnsi="仿宋" w:eastAsia="仿宋" w:cs="仿宋"/>
          <w:b/>
          <w:bCs/>
          <w:sz w:val="20"/>
          <w:szCs w:val="20"/>
        </w:rPr>
      </w:pPr>
      <w:r>
        <w:rPr>
          <w:rFonts w:hint="eastAsia" w:ascii="仿宋" w:hAnsi="仿宋" w:eastAsia="仿宋" w:cs="仿宋"/>
          <w:b/>
          <w:bCs/>
          <w:sz w:val="20"/>
          <w:szCs w:val="20"/>
        </w:rPr>
        <w:t>（2）常态化遥感监测</w:t>
      </w:r>
    </w:p>
    <w:p w14:paraId="4623405B">
      <w:pPr>
        <w:adjustRightInd w:val="0"/>
        <w:snapToGrid w:val="0"/>
        <w:spacing w:line="360" w:lineRule="auto"/>
        <w:ind w:firstLine="400" w:firstLineChars="200"/>
        <w:rPr>
          <w:rFonts w:ascii="仿宋" w:hAnsi="仿宋" w:eastAsia="仿宋" w:cs="仿宋"/>
          <w:sz w:val="20"/>
          <w:szCs w:val="20"/>
        </w:rPr>
      </w:pPr>
      <w:r>
        <w:rPr>
          <w:rFonts w:hint="eastAsia" w:ascii="仿宋" w:hAnsi="仿宋" w:eastAsia="仿宋" w:cs="仿宋"/>
          <w:sz w:val="20"/>
          <w:szCs w:val="20"/>
        </w:rPr>
        <w:t>一是常态化开展耕地双向变化监测。基于2025年度国土变更调查成果</w:t>
      </w:r>
      <w:bookmarkStart w:id="0" w:name="OLE_LINK13"/>
      <w:bookmarkStart w:id="1" w:name="OLE_LINK12"/>
      <w:r>
        <w:rPr>
          <w:rFonts w:hint="eastAsia" w:ascii="仿宋" w:hAnsi="仿宋" w:eastAsia="仿宋" w:cs="仿宋"/>
          <w:sz w:val="20"/>
          <w:szCs w:val="20"/>
        </w:rPr>
        <w:t>和2026年卫星遥感正射影像，</w:t>
      </w:r>
      <w:bookmarkEnd w:id="0"/>
      <w:bookmarkEnd w:id="1"/>
      <w:r>
        <w:rPr>
          <w:rFonts w:hint="eastAsia" w:ascii="仿宋" w:hAnsi="仿宋" w:eastAsia="仿宋" w:cs="仿宋"/>
          <w:sz w:val="20"/>
          <w:szCs w:val="20"/>
        </w:rPr>
        <w:t>常态化开展耕地双向变化监测，每双月覆盖陕西省全域1次，精准掌握耕地动态变化情况。</w:t>
      </w:r>
    </w:p>
    <w:p w14:paraId="4C2A6878">
      <w:pPr>
        <w:adjustRightInd w:val="0"/>
        <w:snapToGrid w:val="0"/>
        <w:spacing w:line="360" w:lineRule="auto"/>
        <w:ind w:firstLine="400" w:firstLineChars="200"/>
        <w:rPr>
          <w:rFonts w:ascii="仿宋" w:hAnsi="仿宋" w:eastAsia="仿宋" w:cs="仿宋"/>
          <w:sz w:val="20"/>
          <w:szCs w:val="20"/>
        </w:rPr>
      </w:pPr>
      <w:r>
        <w:rPr>
          <w:rFonts w:hint="eastAsia" w:ascii="仿宋" w:hAnsi="仿宋" w:eastAsia="仿宋" w:cs="仿宋"/>
          <w:sz w:val="20"/>
          <w:szCs w:val="20"/>
        </w:rPr>
        <w:t>二是开展专题性监测。基于最新永久基本农田保护红线范围、设施农用地、禁止开垦区等重点范围和重点事项，结合2026年卫星遥感正射影像，持续开展专题性监测，每双月覆盖陕西省全域1次，筑牢耕地保护防线。</w:t>
      </w:r>
    </w:p>
    <w:p w14:paraId="7028F6AC">
      <w:pPr>
        <w:adjustRightInd w:val="0"/>
        <w:snapToGrid w:val="0"/>
        <w:spacing w:line="360" w:lineRule="auto"/>
        <w:ind w:firstLine="400" w:firstLineChars="200"/>
        <w:rPr>
          <w:rFonts w:ascii="仿宋" w:hAnsi="仿宋" w:eastAsia="仿宋" w:cs="仿宋"/>
          <w:sz w:val="20"/>
          <w:szCs w:val="20"/>
        </w:rPr>
      </w:pPr>
      <w:r>
        <w:rPr>
          <w:rFonts w:hint="eastAsia" w:ascii="仿宋" w:hAnsi="仿宋" w:eastAsia="仿宋" w:cs="仿宋"/>
          <w:sz w:val="20"/>
          <w:szCs w:val="20"/>
        </w:rPr>
        <w:t>三是开展耕地“非粮化”等补充监测。针对耕地“非粮化”等监测难点，收集时相为2026年二三季度、分辨率为亚米的卫星遥感正射影像，开展一次覆盖全省的补充监测，补齐常态化监测的耕地“非粮化”等监测短板。</w:t>
      </w:r>
    </w:p>
    <w:p w14:paraId="0A681328">
      <w:pPr>
        <w:adjustRightInd w:val="0"/>
        <w:snapToGrid w:val="0"/>
        <w:spacing w:line="360" w:lineRule="auto"/>
        <w:ind w:firstLine="402" w:firstLineChars="200"/>
        <w:outlineLvl w:val="1"/>
        <w:rPr>
          <w:rFonts w:ascii="仿宋" w:hAnsi="仿宋" w:eastAsia="仿宋" w:cs="仿宋"/>
          <w:b/>
          <w:bCs/>
          <w:sz w:val="20"/>
          <w:szCs w:val="20"/>
        </w:rPr>
      </w:pPr>
      <w:r>
        <w:rPr>
          <w:rFonts w:hint="eastAsia" w:ascii="仿宋" w:hAnsi="仿宋" w:eastAsia="仿宋" w:cs="仿宋"/>
          <w:b/>
          <w:bCs/>
          <w:sz w:val="20"/>
          <w:szCs w:val="20"/>
        </w:rPr>
        <w:t>（3）监测成果应用与监管</w:t>
      </w:r>
    </w:p>
    <w:p w14:paraId="58C50ECC">
      <w:pPr>
        <w:adjustRightInd w:val="0"/>
        <w:snapToGrid w:val="0"/>
        <w:spacing w:line="360" w:lineRule="auto"/>
        <w:ind w:firstLine="400" w:firstLineChars="200"/>
        <w:rPr>
          <w:rFonts w:ascii="仿宋" w:hAnsi="仿宋" w:eastAsia="仿宋" w:cs="仿宋"/>
          <w:sz w:val="20"/>
          <w:szCs w:val="20"/>
        </w:rPr>
      </w:pPr>
      <w:r>
        <w:rPr>
          <w:rFonts w:hint="eastAsia" w:ascii="仿宋" w:hAnsi="仿宋" w:eastAsia="仿宋" w:cs="仿宋"/>
          <w:sz w:val="20"/>
          <w:szCs w:val="20"/>
        </w:rPr>
        <w:t>按照《陕西省自然资源厅办公室关于印发〈发挥“四早”内部联动机制作用推动日常耕地保护工作措施〉的通知》要求，及时分析、持续移交相关线索，助力全省耕地保护相关问题“早发现、早制止、早查处、早预警”。</w:t>
      </w:r>
    </w:p>
    <w:p w14:paraId="2068AA0B">
      <w:pPr>
        <w:adjustRightInd w:val="0"/>
        <w:snapToGrid w:val="0"/>
        <w:spacing w:line="360" w:lineRule="auto"/>
        <w:ind w:firstLine="400" w:firstLineChars="200"/>
        <w:rPr>
          <w:rFonts w:ascii="仿宋" w:hAnsi="仿宋" w:eastAsia="仿宋" w:cs="仿宋"/>
          <w:sz w:val="20"/>
          <w:szCs w:val="20"/>
        </w:rPr>
      </w:pPr>
      <w:r>
        <w:rPr>
          <w:rFonts w:hint="eastAsia" w:ascii="仿宋" w:hAnsi="仿宋" w:eastAsia="仿宋" w:cs="仿宋"/>
          <w:sz w:val="20"/>
          <w:szCs w:val="20"/>
        </w:rPr>
        <w:t>根据遥感监测成果，持续统计分析省、市各行政单元耕地和永久基本农田总体变化情况、疑似耕地“非农化”、疑似永久基本农田“非粮化”等情况，形成报告报送省级耕地保护监管部门。</w:t>
      </w:r>
    </w:p>
    <w:p w14:paraId="56686059">
      <w:pPr>
        <w:adjustRightInd w:val="0"/>
        <w:snapToGrid w:val="0"/>
        <w:spacing w:line="360" w:lineRule="auto"/>
        <w:ind w:firstLine="400" w:firstLineChars="200"/>
        <w:rPr>
          <w:rFonts w:ascii="仿宋_GB2312" w:hAnsi="仿宋_GB2312" w:eastAsia="仿宋_GB2312" w:cs="仿宋_GB2312"/>
          <w:sz w:val="32"/>
          <w:szCs w:val="32"/>
        </w:rPr>
      </w:pPr>
      <w:r>
        <w:rPr>
          <w:rFonts w:hint="eastAsia" w:ascii="仿宋" w:hAnsi="仿宋" w:eastAsia="仿宋" w:cs="仿宋"/>
          <w:sz w:val="20"/>
          <w:szCs w:val="20"/>
        </w:rPr>
        <w:t>根据耕地及永久基本农田变化监测成果，套合用地审批数据，筛选用地审批数据范围外的疑似问题图斑</w:t>
      </w:r>
      <w:r>
        <w:rPr>
          <w:rFonts w:hint="eastAsia" w:ascii="仿宋" w:hAnsi="仿宋" w:eastAsia="仿宋" w:cs="仿宋"/>
          <w:sz w:val="20"/>
          <w:szCs w:val="20"/>
          <w:lang w:eastAsia="zh-CN"/>
        </w:rPr>
        <w:t>，</w:t>
      </w:r>
      <w:r>
        <w:rPr>
          <w:rFonts w:hint="eastAsia" w:ascii="仿宋" w:hAnsi="仿宋" w:eastAsia="仿宋" w:cs="仿宋"/>
          <w:sz w:val="20"/>
          <w:szCs w:val="20"/>
        </w:rPr>
        <w:t>针对疑似违法占用耕地建设线索，移交相关部门，每月移交2-3次；针对疑似永久基本农田“非粮化”线索，移交相关部门，每月移交1次。</w:t>
      </w:r>
    </w:p>
    <w:p w14:paraId="105F1ED3">
      <w:pPr>
        <w:adjustRightInd w:val="0"/>
        <w:snapToGrid w:val="0"/>
        <w:spacing w:line="360" w:lineRule="auto"/>
        <w:ind w:firstLine="402" w:firstLineChars="200"/>
        <w:outlineLvl w:val="1"/>
        <w:rPr>
          <w:rFonts w:ascii="仿宋" w:hAnsi="仿宋" w:eastAsia="仿宋" w:cs="仿宋"/>
          <w:b/>
          <w:bCs/>
          <w:sz w:val="20"/>
          <w:szCs w:val="20"/>
        </w:rPr>
      </w:pPr>
      <w:r>
        <w:rPr>
          <w:rFonts w:hint="eastAsia" w:ascii="仿宋" w:hAnsi="仿宋" w:eastAsia="仿宋" w:cs="仿宋"/>
          <w:b/>
          <w:bCs/>
          <w:sz w:val="20"/>
          <w:szCs w:val="20"/>
        </w:rPr>
        <w:t>（4）动态监测预警分析</w:t>
      </w:r>
    </w:p>
    <w:p w14:paraId="52CA6223">
      <w:pPr>
        <w:adjustRightInd w:val="0"/>
        <w:snapToGrid w:val="0"/>
        <w:spacing w:line="360" w:lineRule="auto"/>
        <w:ind w:firstLine="400" w:firstLineChars="200"/>
        <w:rPr>
          <w:rFonts w:ascii="仿宋" w:hAnsi="仿宋" w:eastAsia="仿宋" w:cs="仿宋"/>
          <w:sz w:val="20"/>
          <w:szCs w:val="20"/>
        </w:rPr>
      </w:pPr>
      <w:r>
        <w:rPr>
          <w:rFonts w:hint="eastAsia" w:ascii="仿宋" w:hAnsi="仿宋" w:eastAsia="仿宋" w:cs="仿宋"/>
          <w:sz w:val="20"/>
          <w:szCs w:val="20"/>
        </w:rPr>
        <w:t>根据监测成果，开展耕地保护考核相关指标统计与动态分析。基于省、市各行政单元耕地现有规模、永久基本农田管控范围现状耕地面积、新增耕地数量等现状情况，对标各行政单元耕地及永久基本农田相关控制数，开展动态比对分析及必要情况下的预警。每周统计汇报1次，及时反映各地指标缺口及指标动态变化趋势，为省级耕地保护考核研判、动态管控及风险预警提供精准的数据支撑。</w:t>
      </w:r>
    </w:p>
    <w:p w14:paraId="28ED48CC">
      <w:pPr>
        <w:adjustRightInd w:val="0"/>
        <w:snapToGrid w:val="0"/>
        <w:spacing w:line="360" w:lineRule="auto"/>
        <w:ind w:firstLine="402" w:firstLineChars="200"/>
        <w:outlineLvl w:val="1"/>
        <w:rPr>
          <w:rFonts w:ascii="仿宋" w:hAnsi="仿宋" w:eastAsia="仿宋" w:cs="仿宋"/>
          <w:b/>
          <w:bCs/>
          <w:sz w:val="20"/>
          <w:szCs w:val="20"/>
        </w:rPr>
      </w:pPr>
      <w:r>
        <w:rPr>
          <w:rFonts w:hint="eastAsia" w:ascii="仿宋" w:hAnsi="仿宋" w:eastAsia="仿宋" w:cs="仿宋"/>
          <w:b/>
          <w:bCs/>
          <w:sz w:val="20"/>
          <w:szCs w:val="20"/>
        </w:rPr>
        <w:t>2.耕地、永久基本农田和高标准农田一体化管理场景建设</w:t>
      </w:r>
    </w:p>
    <w:p w14:paraId="7000B41D">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在原有动态监测预警模块的基础上，根据项目需要，完成四个方面的工作。</w:t>
      </w:r>
    </w:p>
    <w:p w14:paraId="4EEFC605">
      <w:pPr>
        <w:spacing w:line="360" w:lineRule="auto"/>
        <w:ind w:firstLine="402" w:firstLineChars="200"/>
        <w:jc w:val="left"/>
        <w:outlineLvl w:val="1"/>
        <w:rPr>
          <w:rFonts w:ascii="仿宋" w:hAnsi="仿宋" w:eastAsia="仿宋" w:cs="仿宋"/>
          <w:b/>
          <w:bCs/>
          <w:sz w:val="20"/>
          <w:szCs w:val="20"/>
        </w:rPr>
      </w:pPr>
      <w:r>
        <w:rPr>
          <w:rFonts w:hint="eastAsia" w:ascii="仿宋" w:hAnsi="仿宋" w:eastAsia="仿宋" w:cs="仿宋"/>
          <w:b/>
          <w:bCs/>
          <w:sz w:val="20"/>
          <w:szCs w:val="20"/>
        </w:rPr>
        <w:t>（1）数据中心改造</w:t>
      </w:r>
    </w:p>
    <w:p w14:paraId="354A2C59">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对原有数据中心进行架构改造，推进跨部门业务数据更新，对各类接入数据开展清洗处理与入库，实现从仅自然资源部门数据的集中管理到自然资源、农业农村、水利、林业等多部门统一规范化管理。需完善基础数据管理能力，支持项目数据库配置与链路连接，可读取数据库数据表、属性及空间信息。升级数据中心二三维支撑功能，包括二三维数据服务发布与运维工具，并搭建可视化配置管理模块，统一开展二三维地图服务的发布和日常运维管理。支持依托已入库数据实时发布数据服务，可配置三维场景数据分级显示层级，自主选定关键属性字段、样式字段、切片等级，预设地图服务可见性等基础参数；支持页面统一管理地图服务运行状态与配置项，自定义设置服务授权访问地址、发布目录、服务端口等配置信息；支持叠加底图预览服务发布效果，完成各类地图服务展示样式配置。</w:t>
      </w:r>
    </w:p>
    <w:p w14:paraId="58690C53">
      <w:pPr>
        <w:spacing w:line="360" w:lineRule="auto"/>
        <w:ind w:firstLine="402" w:firstLineChars="200"/>
        <w:jc w:val="left"/>
        <w:outlineLvl w:val="1"/>
        <w:rPr>
          <w:rFonts w:ascii="仿宋" w:hAnsi="仿宋" w:eastAsia="仿宋" w:cs="仿宋"/>
          <w:b/>
          <w:bCs/>
          <w:sz w:val="20"/>
          <w:szCs w:val="20"/>
        </w:rPr>
      </w:pPr>
      <w:r>
        <w:rPr>
          <w:rFonts w:hint="eastAsia" w:ascii="仿宋" w:hAnsi="仿宋" w:eastAsia="仿宋" w:cs="仿宋"/>
          <w:b/>
          <w:bCs/>
          <w:sz w:val="20"/>
          <w:szCs w:val="20"/>
        </w:rPr>
        <w:t>（2）一体化管理场景建设</w:t>
      </w:r>
    </w:p>
    <w:p w14:paraId="426C8507">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在原有动态监测预警模块的基础上，进行升级改造，最终形成四个模块：综合一张图、耕地监测预警、项目建设共管、辅助决策。各部分具体要求如下：</w:t>
      </w:r>
    </w:p>
    <w:p w14:paraId="3BB8005D">
      <w:pPr>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1）综合一张图模块</w:t>
      </w:r>
    </w:p>
    <w:p w14:paraId="34918B3C">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图层管理功能：以目录树对地理底图和专题数据进行编目管理，具备图层开闭、透明度控制等基础功能，单一或叠加展示各类数据图层；</w:t>
      </w:r>
    </w:p>
    <w:p w14:paraId="4F7481E9">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驾驶舱功能：以“统计图表+地图”形式联动展示耕地和永久基本农田家底情况，对耕地和永久基本农田的现状、保护目标、控制目标、耕地细分类的统计数字及空间分布情况进行联动展示，实现省、市、县三级钻取。</w:t>
      </w:r>
    </w:p>
    <w:p w14:paraId="6604C4BC">
      <w:pPr>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2）耕地监测预警模块</w:t>
      </w:r>
    </w:p>
    <w:p w14:paraId="43F9646A">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以“统计图表+地图”形式展示“非农化”“非粮化”图斑监测与处置情况。统计数字需展示图斑个数、面积、图斑所在的行政单元；展示监测周期的卫星星源统计等；地图需展示图斑空间分布情况、监测周期的卫星覆盖情况、支持单个图斑属性查询、图斑对应的小影像、举证照片的查看。支持按照时间、行政区划等条件，对指定时间段和行政区划的图斑情况查询统计，支持按时间轴展示图斑个数和分布变化。</w:t>
      </w:r>
    </w:p>
    <w:p w14:paraId="1FD3093F">
      <w:pPr>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3）项目建设共管模块</w:t>
      </w:r>
    </w:p>
    <w:p w14:paraId="278C7F70">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该模块实现基于一张底图的涉及耕地、永久基本农田和高标准农田项目的规划选址与合规性审查，具备分析规则配置及管理、数据预检分析、空间套合分析、地图联动审查、分析报表输出、分析成果展示、项目流程管理等基本功能。</w:t>
      </w:r>
    </w:p>
    <w:p w14:paraId="45231FDE">
      <w:pPr>
        <w:numPr>
          <w:ilvl w:val="0"/>
          <w:numId w:val="0"/>
        </w:numPr>
        <w:spacing w:line="360" w:lineRule="auto"/>
        <w:ind w:firstLine="400" w:firstLineChars="200"/>
        <w:jc w:val="left"/>
        <w:rPr>
          <w:rFonts w:ascii="仿宋" w:hAnsi="仿宋" w:eastAsia="仿宋" w:cs="仿宋"/>
          <w:sz w:val="20"/>
          <w:szCs w:val="20"/>
        </w:rPr>
      </w:pPr>
      <w:r>
        <w:rPr>
          <w:rFonts w:hint="eastAsia" w:ascii="仿宋" w:hAnsi="仿宋" w:eastAsia="仿宋" w:cs="仿宋"/>
          <w:kern w:val="2"/>
          <w:sz w:val="20"/>
          <w:szCs w:val="20"/>
          <w:lang w:val="en-US" w:eastAsia="zh-CN" w:bidi="ar-SA"/>
        </w:rPr>
        <w:t>①</w:t>
      </w:r>
      <w:r>
        <w:rPr>
          <w:rFonts w:hint="eastAsia" w:ascii="仿宋" w:hAnsi="仿宋" w:eastAsia="仿宋" w:cs="仿宋"/>
          <w:sz w:val="20"/>
          <w:szCs w:val="20"/>
        </w:rPr>
        <w:t>分析规则配置及管理。支持针对不同业务场景制定空间套合分析规则表，分析规则包括相交、擦除等操作，提供表单新建、编辑、删除等基本操作。</w:t>
      </w:r>
    </w:p>
    <w:p w14:paraId="127B7336">
      <w:pPr>
        <w:numPr>
          <w:ilvl w:val="0"/>
          <w:numId w:val="0"/>
        </w:numPr>
        <w:spacing w:line="360" w:lineRule="auto"/>
        <w:ind w:firstLine="400" w:firstLineChars="200"/>
        <w:jc w:val="left"/>
        <w:rPr>
          <w:rFonts w:ascii="仿宋" w:hAnsi="仿宋" w:eastAsia="仿宋" w:cs="仿宋"/>
          <w:sz w:val="20"/>
          <w:szCs w:val="20"/>
        </w:rPr>
      </w:pPr>
      <w:r>
        <w:rPr>
          <w:rFonts w:hint="eastAsia" w:ascii="仿宋" w:hAnsi="仿宋" w:eastAsia="仿宋" w:cs="仿宋"/>
          <w:kern w:val="2"/>
          <w:sz w:val="20"/>
          <w:szCs w:val="20"/>
          <w:lang w:val="en-US" w:eastAsia="zh-CN" w:bidi="ar-SA"/>
        </w:rPr>
        <w:t>②</w:t>
      </w:r>
      <w:r>
        <w:rPr>
          <w:rFonts w:hint="eastAsia" w:ascii="仿宋" w:hAnsi="仿宋" w:eastAsia="仿宋" w:cs="仿宋"/>
          <w:sz w:val="20"/>
          <w:szCs w:val="20"/>
        </w:rPr>
        <w:t>数据预检分析。支持针对上传的矢量数据开展逻辑性预检，包括成果有效性检查、矢量成果规范性预检、几何数据质量检查等基本数据质检分析功能。</w:t>
      </w:r>
    </w:p>
    <w:p w14:paraId="66D5A31D">
      <w:pPr>
        <w:numPr>
          <w:ilvl w:val="0"/>
          <w:numId w:val="0"/>
        </w:numPr>
        <w:spacing w:line="360" w:lineRule="auto"/>
        <w:ind w:firstLine="400" w:firstLineChars="200"/>
        <w:jc w:val="left"/>
        <w:rPr>
          <w:rFonts w:ascii="仿宋" w:hAnsi="仿宋" w:eastAsia="仿宋" w:cs="仿宋"/>
          <w:sz w:val="20"/>
          <w:szCs w:val="20"/>
        </w:rPr>
      </w:pPr>
      <w:r>
        <w:rPr>
          <w:rFonts w:hint="eastAsia" w:ascii="仿宋" w:hAnsi="仿宋" w:eastAsia="仿宋" w:cs="仿宋"/>
          <w:kern w:val="2"/>
          <w:sz w:val="20"/>
          <w:szCs w:val="20"/>
          <w:lang w:val="en-US" w:eastAsia="zh-CN" w:bidi="ar-SA"/>
        </w:rPr>
        <w:t>③</w:t>
      </w:r>
      <w:r>
        <w:rPr>
          <w:rFonts w:hint="eastAsia" w:ascii="仿宋" w:hAnsi="仿宋" w:eastAsia="仿宋" w:cs="仿宋"/>
          <w:sz w:val="20"/>
          <w:szCs w:val="20"/>
        </w:rPr>
        <w:t>空间套合分析。支持两两图层之间的空间套合分析；支持按照分析规则表进行空间套合分析。</w:t>
      </w:r>
    </w:p>
    <w:p w14:paraId="47F03737">
      <w:pPr>
        <w:numPr>
          <w:ilvl w:val="0"/>
          <w:numId w:val="0"/>
        </w:numPr>
        <w:spacing w:line="360" w:lineRule="auto"/>
        <w:ind w:firstLine="400" w:firstLineChars="200"/>
        <w:jc w:val="left"/>
        <w:rPr>
          <w:rFonts w:ascii="仿宋" w:hAnsi="仿宋" w:eastAsia="仿宋" w:cs="仿宋"/>
          <w:sz w:val="20"/>
          <w:szCs w:val="20"/>
        </w:rPr>
      </w:pPr>
      <w:r>
        <w:rPr>
          <w:rFonts w:hint="eastAsia" w:ascii="仿宋" w:hAnsi="仿宋" w:eastAsia="仿宋" w:cs="仿宋"/>
          <w:kern w:val="2"/>
          <w:sz w:val="20"/>
          <w:szCs w:val="20"/>
          <w:lang w:val="en-US" w:eastAsia="zh-CN" w:bidi="ar-SA"/>
        </w:rPr>
        <w:t>④</w:t>
      </w:r>
      <w:r>
        <w:rPr>
          <w:rFonts w:hint="eastAsia" w:ascii="仿宋" w:hAnsi="仿宋" w:eastAsia="仿宋" w:cs="仿宋"/>
          <w:sz w:val="20"/>
          <w:szCs w:val="20"/>
        </w:rPr>
        <w:t>地图联动审查。套合分析结果图层的属性和图形联动可视化，支持用户单一或批量操作图斑，修改图斑属性并保存。</w:t>
      </w:r>
    </w:p>
    <w:p w14:paraId="6712E808">
      <w:pPr>
        <w:numPr>
          <w:ilvl w:val="0"/>
          <w:numId w:val="0"/>
        </w:numPr>
        <w:spacing w:line="360" w:lineRule="auto"/>
        <w:ind w:firstLine="400" w:firstLineChars="200"/>
        <w:jc w:val="left"/>
        <w:rPr>
          <w:rFonts w:ascii="仿宋" w:hAnsi="仿宋" w:eastAsia="仿宋" w:cs="仿宋"/>
          <w:sz w:val="20"/>
          <w:szCs w:val="20"/>
        </w:rPr>
      </w:pPr>
      <w:r>
        <w:rPr>
          <w:rFonts w:hint="eastAsia" w:ascii="仿宋" w:hAnsi="仿宋" w:eastAsia="仿宋" w:cs="仿宋"/>
          <w:kern w:val="2"/>
          <w:sz w:val="20"/>
          <w:szCs w:val="20"/>
          <w:lang w:val="en-US" w:eastAsia="zh-CN" w:bidi="ar-SA"/>
        </w:rPr>
        <w:t>⑤</w:t>
      </w:r>
      <w:r>
        <w:rPr>
          <w:rFonts w:hint="eastAsia" w:ascii="仿宋" w:hAnsi="仿宋" w:eastAsia="仿宋" w:cs="仿宋"/>
          <w:sz w:val="20"/>
          <w:szCs w:val="20"/>
        </w:rPr>
        <w:t>分析报表输出。按照用户定制化的要求，输出word、excel或者pdf格式分析报表</w:t>
      </w:r>
    </w:p>
    <w:p w14:paraId="4B9D6218">
      <w:pPr>
        <w:numPr>
          <w:ilvl w:val="0"/>
          <w:numId w:val="0"/>
        </w:numPr>
        <w:spacing w:line="360" w:lineRule="auto"/>
        <w:ind w:firstLine="400" w:firstLineChars="200"/>
        <w:jc w:val="left"/>
        <w:rPr>
          <w:rFonts w:ascii="仿宋" w:hAnsi="仿宋" w:eastAsia="仿宋" w:cs="仿宋"/>
          <w:sz w:val="20"/>
          <w:szCs w:val="20"/>
        </w:rPr>
      </w:pPr>
      <w:r>
        <w:rPr>
          <w:rFonts w:hint="eastAsia" w:ascii="仿宋" w:hAnsi="仿宋" w:eastAsia="仿宋" w:cs="仿宋"/>
          <w:kern w:val="2"/>
          <w:sz w:val="20"/>
          <w:szCs w:val="20"/>
          <w:lang w:val="en-US" w:eastAsia="zh-CN" w:bidi="ar-SA"/>
        </w:rPr>
        <w:t>⑥</w:t>
      </w:r>
      <w:r>
        <w:rPr>
          <w:rFonts w:hint="eastAsia" w:ascii="仿宋" w:hAnsi="仿宋" w:eastAsia="仿宋" w:cs="仿宋"/>
          <w:sz w:val="20"/>
          <w:szCs w:val="20"/>
        </w:rPr>
        <w:t>分析成果展示。</w:t>
      </w:r>
      <w:r>
        <w:rPr>
          <w:rFonts w:hint="eastAsia" w:ascii="仿宋" w:hAnsi="仿宋" w:eastAsia="仿宋" w:cs="仿宋"/>
          <w:sz w:val="20"/>
          <w:szCs w:val="20"/>
          <w:lang w:val="en-US" w:eastAsia="zh-CN"/>
        </w:rPr>
        <w:t>支持各模块分析成果的展示，包括矢量分析成果的叠加展示，统计数值成果的图表展示等。</w:t>
      </w:r>
    </w:p>
    <w:p w14:paraId="3C913ED2">
      <w:pPr>
        <w:numPr>
          <w:ilvl w:val="0"/>
          <w:numId w:val="0"/>
        </w:numPr>
        <w:spacing w:line="360" w:lineRule="auto"/>
        <w:ind w:firstLine="400" w:firstLineChars="200"/>
        <w:jc w:val="left"/>
        <w:rPr>
          <w:rFonts w:ascii="仿宋" w:hAnsi="仿宋" w:eastAsia="仿宋" w:cs="仿宋"/>
          <w:sz w:val="20"/>
          <w:szCs w:val="20"/>
        </w:rPr>
      </w:pPr>
      <w:r>
        <w:rPr>
          <w:rFonts w:hint="eastAsia" w:ascii="仿宋" w:hAnsi="仿宋" w:eastAsia="仿宋" w:cs="仿宋"/>
          <w:kern w:val="2"/>
          <w:sz w:val="20"/>
          <w:szCs w:val="20"/>
          <w:lang w:val="en-US" w:eastAsia="zh-CN" w:bidi="ar-SA"/>
        </w:rPr>
        <w:t>⑦</w:t>
      </w:r>
      <w:r>
        <w:rPr>
          <w:rFonts w:hint="eastAsia" w:ascii="仿宋" w:hAnsi="仿宋" w:eastAsia="仿宋" w:cs="仿宋"/>
          <w:sz w:val="20"/>
          <w:szCs w:val="20"/>
        </w:rPr>
        <w:t>项目流程管理。支撑新建项目、项目材料导入、项目环节流转。</w:t>
      </w:r>
    </w:p>
    <w:p w14:paraId="41C9C36D">
      <w:pPr>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4）辅助决策模块</w:t>
      </w:r>
    </w:p>
    <w:p w14:paraId="35A66F62">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依据专题管理数据、项目分析结果等各类数据，对目标区域的耕地保护情况进行统计、分析，搭建多方案比选场景，辅助掌握耕地保护与利用的空间分布现状与格局、发展趋势等。</w:t>
      </w:r>
    </w:p>
    <w:p w14:paraId="2A2E1E65">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主要建设以下业务场景：</w:t>
      </w:r>
    </w:p>
    <w:p w14:paraId="7ACA6F41">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①重大建设项目占用永农补划审查。结合项目流程管理、空间套合分析、三维交互审查等核心功能，梳理并构建业务审查规则，对项目的占用永农地块和补划永农地块进行逐地块审查，填写补划地块影像特征是否为耕地、补划地块与永久基本农田是否集中连片等属性信息，并进行项目的合规性套合审查，出具分析报告。</w:t>
      </w:r>
    </w:p>
    <w:p w14:paraId="0B52E03F">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②耕林置换。解析业务管控规则，建立耕林置换规则，支持对指定区域耕林置换的适宜区分析，分析结果矢量均可输出。</w:t>
      </w:r>
    </w:p>
    <w:p w14:paraId="0FDBCCCE">
      <w:pPr>
        <w:spacing w:line="360" w:lineRule="auto"/>
        <w:ind w:firstLine="400" w:firstLineChars="200"/>
        <w:jc w:val="left"/>
      </w:pPr>
      <w:r>
        <w:rPr>
          <w:rFonts w:hint="eastAsia" w:ascii="仿宋" w:hAnsi="仿宋" w:eastAsia="仿宋" w:cs="仿宋"/>
          <w:sz w:val="20"/>
          <w:szCs w:val="20"/>
        </w:rPr>
        <w:t>③永久基本农田负面清单摸底。梳理永久基本农田数据更新来源，建立永久基本农田负面清单规则。实现数据导入更新、省市县三级负面清单分析生成。</w:t>
      </w:r>
    </w:p>
    <w:p w14:paraId="1E0D19DF">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fldChar w:fldCharType="begin"/>
      </w:r>
      <w:r>
        <w:rPr>
          <w:rFonts w:hint="eastAsia" w:ascii="仿宋" w:hAnsi="仿宋" w:eastAsia="仿宋" w:cs="仿宋"/>
          <w:sz w:val="20"/>
          <w:szCs w:val="20"/>
        </w:rPr>
        <w:instrText xml:space="preserve"> EQ \o\ac(○,4)</w:instrText>
      </w:r>
      <w:r>
        <w:rPr>
          <w:rFonts w:hint="eastAsia" w:ascii="仿宋" w:hAnsi="仿宋" w:eastAsia="仿宋" w:cs="仿宋"/>
          <w:sz w:val="20"/>
          <w:szCs w:val="20"/>
        </w:rPr>
        <w:fldChar w:fldCharType="end"/>
      </w:r>
      <w:r>
        <w:rPr>
          <w:rFonts w:hint="eastAsia" w:ascii="仿宋" w:hAnsi="仿宋" w:eastAsia="仿宋" w:cs="仿宋"/>
          <w:sz w:val="20"/>
          <w:szCs w:val="20"/>
        </w:rPr>
        <w:t>以全域土地综合整治，支持将全域土地综合整治的设计方案及图斑上图，在三维场景下展示整治方案的图斑位置、地形分布及统计数字，搭建多方案比选场景，为“百亩方、千亩方”建设等工作提供辅助决策。</w:t>
      </w:r>
    </w:p>
    <w:p w14:paraId="65D7ABBD">
      <w:pPr>
        <w:spacing w:line="360" w:lineRule="auto"/>
        <w:ind w:firstLine="402" w:firstLineChars="200"/>
        <w:jc w:val="left"/>
        <w:outlineLvl w:val="1"/>
        <w:rPr>
          <w:rFonts w:ascii="仿宋" w:hAnsi="仿宋" w:eastAsia="仿宋" w:cs="仿宋"/>
          <w:b/>
          <w:bCs/>
          <w:sz w:val="20"/>
          <w:szCs w:val="20"/>
        </w:rPr>
      </w:pPr>
      <w:r>
        <w:rPr>
          <w:rFonts w:ascii="仿宋" w:hAnsi="仿宋" w:eastAsia="仿宋" w:cs="仿宋"/>
          <w:b/>
          <w:bCs/>
          <w:sz w:val="20"/>
          <w:szCs w:val="20"/>
        </w:rPr>
        <w:t>（3）</w:t>
      </w:r>
      <w:r>
        <w:rPr>
          <w:rFonts w:hint="eastAsia" w:ascii="仿宋" w:hAnsi="仿宋" w:eastAsia="仿宋" w:cs="仿宋"/>
          <w:b/>
          <w:bCs/>
          <w:sz w:val="20"/>
          <w:szCs w:val="20"/>
        </w:rPr>
        <w:t>智能监测内容接入</w:t>
      </w:r>
    </w:p>
    <w:p w14:paraId="66340875">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聚焦已建成的部署于互联网环境下的田长制综合巡查监管场景，按照给定的接口规范，对市县自建田长制系统进行接口适配开发，实现基层田长巡查监测内容向省级田长制综合巡查监管系统汇聚。</w:t>
      </w:r>
    </w:p>
    <w:p w14:paraId="7C9AEEEC">
      <w:pPr>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1）网络与协议</w:t>
      </w:r>
    </w:p>
    <w:p w14:paraId="3B33728A">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系统部署于互联网环境，数据接收采用HTTPS协议，POST请求方式。推送数据时，须以*.zip压缩包形式通过form-data上传，压缩包内数据内容采用JSON格式、UTF-8编码，空间坐标须为CGCS2000坐标系。每次推送须携带我方提供的sourceKey来源唯一标识进行身份认证。</w:t>
      </w:r>
    </w:p>
    <w:p w14:paraId="533E5838">
      <w:pPr>
        <w:numPr>
          <w:ilvl w:val="0"/>
          <w:numId w:val="1"/>
        </w:numPr>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接口清单</w:t>
      </w:r>
    </w:p>
    <w:tbl>
      <w:tblPr>
        <w:tblStyle w:val="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656"/>
        <w:gridCol w:w="2822"/>
        <w:gridCol w:w="3776"/>
      </w:tblGrid>
      <w:tr w14:paraId="41872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blHeader/>
          <w:jc w:val="center"/>
        </w:trPr>
        <w:tc>
          <w:tcPr>
            <w:tcW w:w="0" w:type="auto"/>
            <w:shd w:val="clear" w:color="auto" w:fill="auto"/>
            <w:tcMar>
              <w:top w:w="120" w:type="dxa"/>
              <w:left w:w="192" w:type="dxa"/>
              <w:bottom w:w="120" w:type="dxa"/>
              <w:right w:w="192" w:type="dxa"/>
            </w:tcMar>
            <w:vAlign w:val="center"/>
          </w:tcPr>
          <w:p w14:paraId="4600D22F">
            <w:pPr>
              <w:widowControl/>
              <w:spacing w:line="360" w:lineRule="auto"/>
              <w:jc w:val="left"/>
              <w:textAlignment w:val="top"/>
              <w:rPr>
                <w:rFonts w:ascii="仿宋" w:hAnsi="仿宋" w:eastAsia="仿宋" w:cs="仿宋"/>
                <w:b/>
                <w:bCs/>
                <w:spacing w:val="6"/>
                <w:sz w:val="20"/>
                <w:szCs w:val="20"/>
              </w:rPr>
            </w:pPr>
            <w:r>
              <w:rPr>
                <w:rFonts w:hint="eastAsia" w:ascii="仿宋" w:hAnsi="仿宋" w:eastAsia="仿宋" w:cs="仿宋"/>
                <w:b/>
                <w:bCs/>
                <w:spacing w:val="6"/>
                <w:kern w:val="0"/>
                <w:sz w:val="20"/>
                <w:szCs w:val="20"/>
                <w:lang w:bidi="ar"/>
              </w:rPr>
              <w:t>接口名称</w:t>
            </w:r>
          </w:p>
        </w:tc>
        <w:tc>
          <w:tcPr>
            <w:tcW w:w="0" w:type="auto"/>
            <w:shd w:val="clear" w:color="auto" w:fill="auto"/>
            <w:tcMar>
              <w:top w:w="120" w:type="dxa"/>
              <w:left w:w="192" w:type="dxa"/>
              <w:bottom w:w="120" w:type="dxa"/>
              <w:right w:w="192" w:type="dxa"/>
            </w:tcMar>
            <w:vAlign w:val="center"/>
          </w:tcPr>
          <w:p w14:paraId="100613D8">
            <w:pPr>
              <w:widowControl/>
              <w:spacing w:line="360" w:lineRule="auto"/>
              <w:jc w:val="left"/>
              <w:textAlignment w:val="top"/>
              <w:rPr>
                <w:rFonts w:ascii="仿宋" w:hAnsi="仿宋" w:eastAsia="仿宋" w:cs="仿宋"/>
                <w:b/>
                <w:bCs/>
                <w:spacing w:val="6"/>
                <w:sz w:val="20"/>
                <w:szCs w:val="20"/>
              </w:rPr>
            </w:pPr>
            <w:r>
              <w:rPr>
                <w:rFonts w:hint="eastAsia" w:ascii="仿宋" w:hAnsi="仿宋" w:eastAsia="仿宋" w:cs="仿宋"/>
                <w:b/>
                <w:bCs/>
                <w:spacing w:val="6"/>
                <w:kern w:val="0"/>
                <w:sz w:val="20"/>
                <w:szCs w:val="20"/>
                <w:lang w:bidi="ar"/>
              </w:rPr>
              <w:t>请求路径</w:t>
            </w:r>
          </w:p>
        </w:tc>
        <w:tc>
          <w:tcPr>
            <w:tcW w:w="0" w:type="auto"/>
            <w:shd w:val="clear" w:color="auto" w:fill="auto"/>
            <w:tcMar>
              <w:top w:w="120" w:type="dxa"/>
              <w:left w:w="192" w:type="dxa"/>
              <w:bottom w:w="120" w:type="dxa"/>
              <w:right w:w="192" w:type="dxa"/>
            </w:tcMar>
            <w:vAlign w:val="center"/>
          </w:tcPr>
          <w:p w14:paraId="09BCADCE">
            <w:pPr>
              <w:widowControl/>
              <w:spacing w:line="360" w:lineRule="auto"/>
              <w:jc w:val="left"/>
              <w:textAlignment w:val="top"/>
              <w:rPr>
                <w:rFonts w:ascii="仿宋" w:hAnsi="仿宋" w:eastAsia="仿宋" w:cs="仿宋"/>
                <w:b/>
                <w:bCs/>
                <w:spacing w:val="6"/>
                <w:sz w:val="20"/>
                <w:szCs w:val="20"/>
              </w:rPr>
            </w:pPr>
            <w:r>
              <w:rPr>
                <w:rFonts w:hint="eastAsia" w:ascii="仿宋" w:hAnsi="仿宋" w:eastAsia="仿宋" w:cs="仿宋"/>
                <w:b/>
                <w:bCs/>
                <w:spacing w:val="6"/>
                <w:kern w:val="0"/>
                <w:sz w:val="20"/>
                <w:szCs w:val="20"/>
                <w:lang w:bidi="ar"/>
              </w:rPr>
              <w:t>功能说明</w:t>
            </w:r>
          </w:p>
        </w:tc>
      </w:tr>
      <w:tr w14:paraId="18519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shd w:val="clear" w:color="auto" w:fill="auto"/>
            <w:tcMar>
              <w:top w:w="120" w:type="dxa"/>
              <w:left w:w="192" w:type="dxa"/>
              <w:bottom w:w="120" w:type="dxa"/>
              <w:right w:w="192" w:type="dxa"/>
            </w:tcMar>
            <w:vAlign w:val="center"/>
          </w:tcPr>
          <w:p w14:paraId="18E7E7B9">
            <w:pPr>
              <w:widowControl/>
              <w:spacing w:line="360" w:lineRule="auto"/>
              <w:jc w:val="left"/>
              <w:textAlignment w:val="top"/>
              <w:rPr>
                <w:rFonts w:ascii="仿宋" w:hAnsi="仿宋" w:eastAsia="仿宋" w:cs="仿宋"/>
                <w:spacing w:val="6"/>
                <w:sz w:val="20"/>
                <w:szCs w:val="20"/>
              </w:rPr>
            </w:pPr>
            <w:r>
              <w:rPr>
                <w:rFonts w:hint="eastAsia" w:ascii="仿宋" w:hAnsi="仿宋" w:eastAsia="仿宋" w:cs="仿宋"/>
                <w:spacing w:val="6"/>
                <w:kern w:val="0"/>
                <w:sz w:val="20"/>
                <w:szCs w:val="20"/>
                <w:lang w:bidi="ar"/>
              </w:rPr>
              <w:t>日常线索推送</w:t>
            </w:r>
          </w:p>
        </w:tc>
        <w:tc>
          <w:tcPr>
            <w:tcW w:w="0" w:type="auto"/>
            <w:shd w:val="clear" w:color="auto" w:fill="auto"/>
            <w:tcMar>
              <w:top w:w="120" w:type="dxa"/>
              <w:left w:w="192" w:type="dxa"/>
              <w:bottom w:w="120" w:type="dxa"/>
              <w:right w:w="192" w:type="dxa"/>
            </w:tcMar>
            <w:vAlign w:val="center"/>
          </w:tcPr>
          <w:p w14:paraId="06961F63">
            <w:pPr>
              <w:widowControl/>
              <w:spacing w:line="360" w:lineRule="auto"/>
              <w:jc w:val="left"/>
              <w:textAlignment w:val="top"/>
              <w:rPr>
                <w:rFonts w:ascii="仿宋" w:hAnsi="仿宋" w:eastAsia="仿宋" w:cs="仿宋"/>
                <w:spacing w:val="6"/>
                <w:sz w:val="20"/>
                <w:szCs w:val="20"/>
              </w:rPr>
            </w:pPr>
            <w:r>
              <w:rPr>
                <w:rStyle w:val="4"/>
                <w:rFonts w:hint="eastAsia" w:ascii="仿宋" w:hAnsi="仿宋" w:eastAsia="仿宋" w:cs="仿宋"/>
                <w:spacing w:val="6"/>
                <w:kern w:val="0"/>
                <w:szCs w:val="20"/>
                <w:lang w:bidi="ar"/>
              </w:rPr>
              <w:t>POST /qxdj/tzzrc/pushXS</w:t>
            </w:r>
          </w:p>
        </w:tc>
        <w:tc>
          <w:tcPr>
            <w:tcW w:w="0" w:type="auto"/>
            <w:shd w:val="clear" w:color="auto" w:fill="auto"/>
            <w:tcMar>
              <w:top w:w="120" w:type="dxa"/>
              <w:left w:w="192" w:type="dxa"/>
              <w:bottom w:w="120" w:type="dxa"/>
              <w:right w:w="192" w:type="dxa"/>
            </w:tcMar>
            <w:vAlign w:val="center"/>
          </w:tcPr>
          <w:p w14:paraId="0E902FC7">
            <w:pPr>
              <w:widowControl/>
              <w:spacing w:line="360" w:lineRule="auto"/>
              <w:jc w:val="left"/>
              <w:textAlignment w:val="top"/>
              <w:rPr>
                <w:rFonts w:ascii="仿宋" w:hAnsi="仿宋" w:eastAsia="仿宋" w:cs="仿宋"/>
                <w:spacing w:val="6"/>
                <w:sz w:val="20"/>
                <w:szCs w:val="20"/>
              </w:rPr>
            </w:pPr>
            <w:r>
              <w:rPr>
                <w:rFonts w:hint="eastAsia" w:ascii="仿宋" w:hAnsi="仿宋" w:eastAsia="仿宋" w:cs="仿宋"/>
                <w:spacing w:val="6"/>
                <w:kern w:val="0"/>
                <w:sz w:val="20"/>
                <w:szCs w:val="20"/>
                <w:lang w:bidi="ar"/>
              </w:rPr>
              <w:t>推送基层田长日常巡田发现问题线索</w:t>
            </w:r>
          </w:p>
        </w:tc>
      </w:tr>
      <w:tr w14:paraId="15056C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shd w:val="clear" w:color="auto" w:fill="auto"/>
            <w:tcMar>
              <w:top w:w="120" w:type="dxa"/>
              <w:left w:w="192" w:type="dxa"/>
              <w:bottom w:w="120" w:type="dxa"/>
              <w:right w:w="192" w:type="dxa"/>
            </w:tcMar>
            <w:vAlign w:val="center"/>
          </w:tcPr>
          <w:p w14:paraId="37C54510">
            <w:pPr>
              <w:widowControl/>
              <w:spacing w:line="360" w:lineRule="auto"/>
              <w:jc w:val="left"/>
              <w:textAlignment w:val="top"/>
              <w:rPr>
                <w:rFonts w:ascii="仿宋" w:hAnsi="仿宋" w:eastAsia="仿宋" w:cs="仿宋"/>
                <w:spacing w:val="6"/>
                <w:sz w:val="20"/>
                <w:szCs w:val="20"/>
              </w:rPr>
            </w:pPr>
            <w:r>
              <w:rPr>
                <w:rFonts w:hint="eastAsia" w:ascii="仿宋" w:hAnsi="仿宋" w:eastAsia="仿宋" w:cs="仿宋"/>
                <w:spacing w:val="6"/>
                <w:kern w:val="0"/>
                <w:sz w:val="20"/>
                <w:szCs w:val="20"/>
                <w:lang w:bidi="ar"/>
              </w:rPr>
              <w:t>日常任务推送</w:t>
            </w:r>
          </w:p>
        </w:tc>
        <w:tc>
          <w:tcPr>
            <w:tcW w:w="0" w:type="auto"/>
            <w:shd w:val="clear" w:color="auto" w:fill="auto"/>
            <w:tcMar>
              <w:top w:w="120" w:type="dxa"/>
              <w:left w:w="192" w:type="dxa"/>
              <w:bottom w:w="120" w:type="dxa"/>
              <w:right w:w="192" w:type="dxa"/>
            </w:tcMar>
            <w:vAlign w:val="center"/>
          </w:tcPr>
          <w:p w14:paraId="073CC77B">
            <w:pPr>
              <w:widowControl/>
              <w:spacing w:line="360" w:lineRule="auto"/>
              <w:jc w:val="left"/>
              <w:textAlignment w:val="top"/>
              <w:rPr>
                <w:rFonts w:ascii="仿宋" w:hAnsi="仿宋" w:eastAsia="仿宋" w:cs="仿宋"/>
                <w:spacing w:val="6"/>
                <w:sz w:val="20"/>
                <w:szCs w:val="20"/>
              </w:rPr>
            </w:pPr>
            <w:r>
              <w:rPr>
                <w:rStyle w:val="4"/>
                <w:rFonts w:hint="eastAsia" w:ascii="仿宋" w:hAnsi="仿宋" w:eastAsia="仿宋" w:cs="仿宋"/>
                <w:spacing w:val="6"/>
                <w:kern w:val="0"/>
                <w:szCs w:val="20"/>
                <w:lang w:bidi="ar"/>
              </w:rPr>
              <w:t>POST /qxdj/tzzrc/pushRW</w:t>
            </w:r>
          </w:p>
        </w:tc>
        <w:tc>
          <w:tcPr>
            <w:tcW w:w="0" w:type="auto"/>
            <w:shd w:val="clear" w:color="auto" w:fill="auto"/>
            <w:tcMar>
              <w:top w:w="120" w:type="dxa"/>
              <w:left w:w="192" w:type="dxa"/>
              <w:bottom w:w="120" w:type="dxa"/>
              <w:right w:w="192" w:type="dxa"/>
            </w:tcMar>
            <w:vAlign w:val="center"/>
          </w:tcPr>
          <w:p w14:paraId="01A72E5A">
            <w:pPr>
              <w:widowControl/>
              <w:spacing w:line="360" w:lineRule="auto"/>
              <w:jc w:val="left"/>
              <w:textAlignment w:val="top"/>
              <w:rPr>
                <w:rFonts w:ascii="仿宋" w:hAnsi="仿宋" w:eastAsia="仿宋" w:cs="仿宋"/>
                <w:spacing w:val="6"/>
                <w:sz w:val="20"/>
                <w:szCs w:val="20"/>
              </w:rPr>
            </w:pPr>
            <w:r>
              <w:rPr>
                <w:rFonts w:hint="eastAsia" w:ascii="仿宋" w:hAnsi="仿宋" w:eastAsia="仿宋" w:cs="仿宋"/>
                <w:spacing w:val="6"/>
                <w:kern w:val="0"/>
                <w:sz w:val="20"/>
                <w:szCs w:val="20"/>
                <w:lang w:bidi="ar"/>
              </w:rPr>
              <w:t>推送基层田长巡田任务执行过程数据</w:t>
            </w:r>
          </w:p>
        </w:tc>
      </w:tr>
      <w:tr w14:paraId="4C5C2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shd w:val="clear" w:color="auto" w:fill="auto"/>
            <w:tcMar>
              <w:top w:w="120" w:type="dxa"/>
              <w:left w:w="192" w:type="dxa"/>
              <w:bottom w:w="120" w:type="dxa"/>
              <w:right w:w="192" w:type="dxa"/>
            </w:tcMar>
            <w:vAlign w:val="center"/>
          </w:tcPr>
          <w:p w14:paraId="45F5EB46">
            <w:pPr>
              <w:widowControl/>
              <w:spacing w:line="360" w:lineRule="auto"/>
              <w:jc w:val="left"/>
              <w:textAlignment w:val="top"/>
              <w:rPr>
                <w:rFonts w:ascii="仿宋" w:hAnsi="仿宋" w:eastAsia="仿宋" w:cs="仿宋"/>
                <w:spacing w:val="6"/>
                <w:sz w:val="20"/>
                <w:szCs w:val="20"/>
              </w:rPr>
            </w:pPr>
            <w:r>
              <w:rPr>
                <w:rFonts w:hint="eastAsia" w:ascii="仿宋" w:hAnsi="仿宋" w:eastAsia="仿宋" w:cs="仿宋"/>
                <w:spacing w:val="6"/>
                <w:kern w:val="0"/>
                <w:sz w:val="20"/>
                <w:szCs w:val="20"/>
                <w:lang w:bidi="ar"/>
              </w:rPr>
              <w:t>专项线索推送</w:t>
            </w:r>
          </w:p>
        </w:tc>
        <w:tc>
          <w:tcPr>
            <w:tcW w:w="0" w:type="auto"/>
            <w:shd w:val="clear" w:color="auto" w:fill="auto"/>
            <w:tcMar>
              <w:top w:w="120" w:type="dxa"/>
              <w:left w:w="192" w:type="dxa"/>
              <w:bottom w:w="120" w:type="dxa"/>
              <w:right w:w="192" w:type="dxa"/>
            </w:tcMar>
            <w:vAlign w:val="center"/>
          </w:tcPr>
          <w:p w14:paraId="1763CF1A">
            <w:pPr>
              <w:widowControl/>
              <w:spacing w:line="360" w:lineRule="auto"/>
              <w:jc w:val="left"/>
              <w:textAlignment w:val="top"/>
              <w:rPr>
                <w:rFonts w:ascii="仿宋" w:hAnsi="仿宋" w:eastAsia="仿宋" w:cs="仿宋"/>
                <w:spacing w:val="6"/>
                <w:sz w:val="20"/>
                <w:szCs w:val="20"/>
              </w:rPr>
            </w:pPr>
            <w:r>
              <w:rPr>
                <w:rStyle w:val="4"/>
                <w:rFonts w:hint="eastAsia" w:ascii="仿宋" w:hAnsi="仿宋" w:eastAsia="仿宋" w:cs="仿宋"/>
                <w:spacing w:val="6"/>
                <w:kern w:val="0"/>
                <w:szCs w:val="20"/>
                <w:lang w:bidi="ar"/>
              </w:rPr>
              <w:t>POST /qxdj/tzzzx/pushXS</w:t>
            </w:r>
          </w:p>
        </w:tc>
        <w:tc>
          <w:tcPr>
            <w:tcW w:w="0" w:type="auto"/>
            <w:shd w:val="clear" w:color="auto" w:fill="auto"/>
            <w:tcMar>
              <w:top w:w="120" w:type="dxa"/>
              <w:left w:w="192" w:type="dxa"/>
              <w:bottom w:w="120" w:type="dxa"/>
              <w:right w:w="192" w:type="dxa"/>
            </w:tcMar>
            <w:vAlign w:val="center"/>
          </w:tcPr>
          <w:p w14:paraId="00729E1A">
            <w:pPr>
              <w:widowControl/>
              <w:spacing w:line="360" w:lineRule="auto"/>
              <w:jc w:val="left"/>
              <w:textAlignment w:val="top"/>
              <w:rPr>
                <w:rFonts w:ascii="仿宋" w:hAnsi="仿宋" w:eastAsia="仿宋" w:cs="仿宋"/>
                <w:spacing w:val="6"/>
                <w:sz w:val="20"/>
                <w:szCs w:val="20"/>
              </w:rPr>
            </w:pPr>
            <w:r>
              <w:rPr>
                <w:rFonts w:hint="eastAsia" w:ascii="仿宋" w:hAnsi="仿宋" w:eastAsia="仿宋" w:cs="仿宋"/>
                <w:spacing w:val="6"/>
                <w:kern w:val="0"/>
                <w:sz w:val="20"/>
                <w:szCs w:val="20"/>
                <w:lang w:bidi="ar"/>
              </w:rPr>
              <w:t>推送专项巡田行动问题线索</w:t>
            </w:r>
          </w:p>
        </w:tc>
      </w:tr>
      <w:tr w14:paraId="659DB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0" w:type="auto"/>
            <w:shd w:val="clear" w:color="auto" w:fill="auto"/>
            <w:tcMar>
              <w:top w:w="120" w:type="dxa"/>
              <w:left w:w="192" w:type="dxa"/>
              <w:bottom w:w="120" w:type="dxa"/>
              <w:right w:w="192" w:type="dxa"/>
            </w:tcMar>
            <w:vAlign w:val="center"/>
          </w:tcPr>
          <w:p w14:paraId="07264649">
            <w:pPr>
              <w:widowControl/>
              <w:spacing w:line="360" w:lineRule="auto"/>
              <w:jc w:val="left"/>
              <w:textAlignment w:val="top"/>
              <w:rPr>
                <w:rFonts w:ascii="仿宋" w:hAnsi="仿宋" w:eastAsia="仿宋" w:cs="仿宋"/>
                <w:spacing w:val="6"/>
                <w:sz w:val="20"/>
                <w:szCs w:val="20"/>
              </w:rPr>
            </w:pPr>
            <w:r>
              <w:rPr>
                <w:rFonts w:hint="eastAsia" w:ascii="仿宋" w:hAnsi="仿宋" w:eastAsia="仿宋" w:cs="仿宋"/>
                <w:spacing w:val="6"/>
                <w:kern w:val="0"/>
                <w:sz w:val="20"/>
                <w:szCs w:val="20"/>
                <w:lang w:bidi="ar"/>
              </w:rPr>
              <w:t>推送状态查询</w:t>
            </w:r>
          </w:p>
        </w:tc>
        <w:tc>
          <w:tcPr>
            <w:tcW w:w="0" w:type="auto"/>
            <w:shd w:val="clear" w:color="auto" w:fill="auto"/>
            <w:tcMar>
              <w:top w:w="120" w:type="dxa"/>
              <w:left w:w="192" w:type="dxa"/>
              <w:bottom w:w="120" w:type="dxa"/>
              <w:right w:w="192" w:type="dxa"/>
            </w:tcMar>
            <w:vAlign w:val="center"/>
          </w:tcPr>
          <w:p w14:paraId="5BAB18D9">
            <w:pPr>
              <w:widowControl/>
              <w:spacing w:line="360" w:lineRule="auto"/>
              <w:jc w:val="left"/>
              <w:textAlignment w:val="top"/>
              <w:rPr>
                <w:rFonts w:ascii="仿宋" w:hAnsi="仿宋" w:eastAsia="仿宋" w:cs="仿宋"/>
                <w:spacing w:val="6"/>
                <w:sz w:val="20"/>
                <w:szCs w:val="20"/>
              </w:rPr>
            </w:pPr>
            <w:r>
              <w:rPr>
                <w:rStyle w:val="4"/>
                <w:rFonts w:hint="eastAsia" w:ascii="仿宋" w:hAnsi="仿宋" w:eastAsia="仿宋" w:cs="仿宋"/>
                <w:spacing w:val="6"/>
                <w:kern w:val="0"/>
                <w:szCs w:val="20"/>
                <w:lang w:bidi="ar"/>
              </w:rPr>
              <w:t>POST /qxdj/queryStage</w:t>
            </w:r>
          </w:p>
        </w:tc>
        <w:tc>
          <w:tcPr>
            <w:tcW w:w="0" w:type="auto"/>
            <w:shd w:val="clear" w:color="auto" w:fill="auto"/>
            <w:tcMar>
              <w:top w:w="120" w:type="dxa"/>
              <w:left w:w="192" w:type="dxa"/>
              <w:bottom w:w="120" w:type="dxa"/>
              <w:right w:w="192" w:type="dxa"/>
            </w:tcMar>
            <w:vAlign w:val="center"/>
          </w:tcPr>
          <w:p w14:paraId="085DF136">
            <w:pPr>
              <w:widowControl/>
              <w:spacing w:line="360" w:lineRule="auto"/>
              <w:jc w:val="left"/>
              <w:textAlignment w:val="top"/>
              <w:rPr>
                <w:rFonts w:ascii="仿宋" w:hAnsi="仿宋" w:eastAsia="仿宋" w:cs="仿宋"/>
                <w:spacing w:val="6"/>
                <w:sz w:val="20"/>
                <w:szCs w:val="20"/>
              </w:rPr>
            </w:pPr>
            <w:r>
              <w:rPr>
                <w:rFonts w:hint="eastAsia" w:ascii="仿宋" w:hAnsi="仿宋" w:eastAsia="仿宋" w:cs="仿宋"/>
                <w:spacing w:val="6"/>
                <w:kern w:val="0"/>
                <w:sz w:val="20"/>
                <w:szCs w:val="20"/>
                <w:lang w:bidi="ar"/>
              </w:rPr>
              <w:t>查询已推送数据的处理状态</w:t>
            </w:r>
          </w:p>
        </w:tc>
      </w:tr>
    </w:tbl>
    <w:p w14:paraId="17E31EA7">
      <w:pPr>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3）数据推送格式</w:t>
      </w:r>
    </w:p>
    <w:p w14:paraId="3D6B1682">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日常线索与专项线索：每条线索为一个文件夹（以线索ID命名），内含info.json及附件。info.json须包含来源信息（source.key、source.name）、线索属性（id、问题编码、问题类型、问题描述、耕地图斑id、线索处置状态、五级行政区代码及名称、创建人及时间、领取人、外业填报人、巡查距离等）、空间几何（Polygon，CGCS2000坐标）及附件信息（文件名、类型、拍摄位置、方位角、照片类型、采集时间）。</w:t>
      </w:r>
    </w:p>
    <w:p w14:paraId="42F24E47">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日常任务：每条任务为一个文件夹（以任务ID命名），内含info.json。须包含任务信息（id、状态、五级行政区、领取人、外业填报人、巡查时间、巡查距离）及轨迹点（经纬度、记录时间）。</w:t>
      </w:r>
    </w:p>
    <w:p w14:paraId="6B67A259">
      <w:pPr>
        <w:spacing w:line="360" w:lineRule="auto"/>
        <w:ind w:firstLine="402" w:firstLineChars="200"/>
        <w:jc w:val="left"/>
        <w:outlineLvl w:val="1"/>
        <w:rPr>
          <w:rFonts w:ascii="仿宋" w:hAnsi="仿宋" w:eastAsia="仿宋" w:cs="仿宋"/>
          <w:b/>
          <w:bCs/>
          <w:sz w:val="20"/>
          <w:szCs w:val="20"/>
        </w:rPr>
      </w:pPr>
      <w:r>
        <w:rPr>
          <w:rFonts w:ascii="仿宋" w:hAnsi="仿宋" w:eastAsia="仿宋" w:cs="仿宋"/>
          <w:b/>
          <w:bCs/>
          <w:sz w:val="20"/>
          <w:szCs w:val="20"/>
        </w:rPr>
        <w:t>（4）</w:t>
      </w:r>
      <w:r>
        <w:rPr>
          <w:rFonts w:hint="eastAsia" w:ascii="仿宋" w:hAnsi="仿宋" w:eastAsia="仿宋" w:cs="仿宋"/>
          <w:b/>
          <w:bCs/>
          <w:sz w:val="20"/>
          <w:szCs w:val="20"/>
        </w:rPr>
        <w:t>三维化适配</w:t>
      </w:r>
    </w:p>
    <w:p w14:paraId="3B72AFAE">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在三维环境下，新增三维场景下的基础通用工具，包括坡度量测、地块坡度查询、贴地面积量算、集中连片度分析、开挖模拟分析、典型场景快速定位、历史影像追溯、图层条件查询渲染、坐标拐点批量落图等。其中，1）坡度查询功能支持地块点击检索，按照地块内面积占比最优原则返回1—5级坡度分级结果；2）集中连片度分析采用“图斑面积与最近邻距离平方之比”方法计算单图斑连片指标，连片度的阈值需支持自行设定，低于该值判定为不连片；3）图层条件查询渲染可依据目标图层自定义字段筛选条件，支持结果图斑列表查看、汇总统计、动态渲染等；4）坐标拐点落图功能兼容shp、txt、kml等多格式数据源，可实现点、线、面要素在一张图中叠加落图可视化。</w:t>
      </w:r>
    </w:p>
    <w:p w14:paraId="536145E8">
      <w:pPr>
        <w:spacing w:line="360" w:lineRule="auto"/>
        <w:ind w:firstLine="400" w:firstLineChars="200"/>
        <w:jc w:val="left"/>
        <w:rPr>
          <w:rFonts w:ascii="仿宋_GB2312" w:hAnsi="仿宋_GB2312" w:eastAsia="仿宋_GB2312" w:cs="仿宋_GB2312"/>
          <w:sz w:val="32"/>
          <w:szCs w:val="32"/>
        </w:rPr>
      </w:pPr>
      <w:r>
        <w:rPr>
          <w:rFonts w:hint="eastAsia" w:ascii="仿宋" w:hAnsi="仿宋" w:eastAsia="仿宋" w:cs="仿宋"/>
          <w:sz w:val="20"/>
          <w:szCs w:val="20"/>
        </w:rPr>
        <w:t>集成以上基础算子，结合“项目建设共管”“辅助决策”模块需要，完成业务场景的三维化适配改造，提升业务应用的准确性与直观性。</w:t>
      </w:r>
    </w:p>
    <w:p w14:paraId="15796E80">
      <w:pPr>
        <w:adjustRightInd w:val="0"/>
        <w:snapToGrid w:val="0"/>
        <w:spacing w:line="360" w:lineRule="auto"/>
        <w:ind w:firstLine="402" w:firstLineChars="200"/>
        <w:outlineLvl w:val="1"/>
        <w:rPr>
          <w:rFonts w:ascii="仿宋" w:hAnsi="仿宋" w:eastAsia="仿宋" w:cs="仿宋"/>
          <w:b/>
          <w:bCs/>
          <w:sz w:val="20"/>
          <w:szCs w:val="20"/>
        </w:rPr>
      </w:pPr>
      <w:r>
        <w:rPr>
          <w:rFonts w:hint="eastAsia" w:ascii="仿宋" w:hAnsi="仿宋" w:eastAsia="仿宋" w:cs="仿宋"/>
          <w:b/>
          <w:bCs/>
          <w:sz w:val="20"/>
          <w:szCs w:val="20"/>
        </w:rPr>
        <w:t>3.田长制日常支撑</w:t>
      </w:r>
    </w:p>
    <w:p w14:paraId="51C401DD">
      <w:pPr>
        <w:adjustRightInd w:val="0"/>
        <w:snapToGrid w:val="0"/>
        <w:spacing w:line="360" w:lineRule="auto"/>
        <w:ind w:firstLine="400" w:firstLineChars="200"/>
        <w:rPr>
          <w:rFonts w:ascii="仿宋" w:hAnsi="仿宋" w:eastAsia="仿宋" w:cs="仿宋"/>
          <w:sz w:val="20"/>
          <w:szCs w:val="20"/>
        </w:rPr>
      </w:pPr>
      <w:r>
        <w:rPr>
          <w:rFonts w:hint="eastAsia" w:ascii="仿宋" w:hAnsi="仿宋" w:eastAsia="仿宋" w:cs="仿宋"/>
          <w:sz w:val="20"/>
          <w:szCs w:val="20"/>
        </w:rPr>
        <w:t>根据省田长制办公室、省自然资源厅耕地保护监督处工作需要，完成季度督帮调研支撑、田长制管理工作支撑、相关文表编制，以及相关临时交办事宜。</w:t>
      </w:r>
    </w:p>
    <w:p w14:paraId="7ED0FDC7">
      <w:pPr>
        <w:adjustRightInd w:val="0"/>
        <w:snapToGrid w:val="0"/>
        <w:spacing w:line="360" w:lineRule="auto"/>
        <w:ind w:firstLine="402" w:firstLineChars="200"/>
        <w:outlineLvl w:val="0"/>
        <w:rPr>
          <w:rFonts w:ascii="仿宋" w:hAnsi="仿宋" w:eastAsia="仿宋" w:cs="仿宋"/>
          <w:b/>
          <w:bCs/>
          <w:sz w:val="20"/>
          <w:szCs w:val="20"/>
        </w:rPr>
      </w:pPr>
      <w:r>
        <w:rPr>
          <w:rFonts w:hint="eastAsia" w:ascii="仿宋" w:hAnsi="仿宋" w:eastAsia="仿宋" w:cs="仿宋"/>
          <w:b/>
          <w:bCs/>
          <w:sz w:val="20"/>
          <w:szCs w:val="20"/>
        </w:rPr>
        <w:t>三、指标要求</w:t>
      </w:r>
    </w:p>
    <w:p w14:paraId="55D77A05">
      <w:pPr>
        <w:spacing w:line="360" w:lineRule="auto"/>
        <w:ind w:firstLine="402" w:firstLineChars="200"/>
        <w:jc w:val="left"/>
        <w:outlineLvl w:val="1"/>
        <w:rPr>
          <w:rFonts w:ascii="仿宋" w:hAnsi="仿宋" w:eastAsia="仿宋" w:cs="仿宋"/>
          <w:b/>
          <w:bCs/>
          <w:sz w:val="20"/>
          <w:szCs w:val="20"/>
        </w:rPr>
      </w:pPr>
      <w:r>
        <w:rPr>
          <w:rFonts w:hint="eastAsia" w:ascii="仿宋" w:hAnsi="仿宋" w:eastAsia="仿宋" w:cs="仿宋"/>
          <w:b/>
          <w:bCs/>
          <w:sz w:val="20"/>
          <w:szCs w:val="20"/>
        </w:rPr>
        <w:t>1.卫星遥感正射影像</w:t>
      </w:r>
    </w:p>
    <w:p w14:paraId="1954851B">
      <w:pPr>
        <w:spacing w:line="360" w:lineRule="auto"/>
        <w:ind w:firstLine="402" w:firstLineChars="200"/>
        <w:jc w:val="left"/>
        <w:outlineLvl w:val="1"/>
        <w:rPr>
          <w:rFonts w:ascii="仿宋" w:hAnsi="仿宋" w:eastAsia="仿宋" w:cs="仿宋"/>
          <w:b/>
          <w:bCs/>
          <w:sz w:val="20"/>
          <w:szCs w:val="20"/>
        </w:rPr>
      </w:pPr>
      <w:r>
        <w:rPr>
          <w:rFonts w:hint="eastAsia" w:ascii="仿宋" w:hAnsi="仿宋" w:eastAsia="仿宋" w:cs="仿宋"/>
          <w:b/>
          <w:bCs/>
          <w:sz w:val="20"/>
          <w:szCs w:val="20"/>
        </w:rPr>
        <w:t>（1）数学基础</w:t>
      </w:r>
    </w:p>
    <w:p w14:paraId="3D426033">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平面基准：采用2000国家大地坐标系，平面坐标单位为“米”。</w:t>
      </w:r>
    </w:p>
    <w:p w14:paraId="64A7F950">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高程基准：采用1985国家高程基准，高程系统为正常高，高程值单位为“米”。</w:t>
      </w:r>
    </w:p>
    <w:p w14:paraId="285FCD09">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投影与分带方式：采用高斯-克吕格投影，按3°分带投影，成果数据不加带号。</w:t>
      </w:r>
    </w:p>
    <w:p w14:paraId="5895C59E">
      <w:pPr>
        <w:spacing w:line="360" w:lineRule="auto"/>
        <w:ind w:firstLine="402" w:firstLineChars="200"/>
        <w:jc w:val="left"/>
        <w:outlineLvl w:val="1"/>
        <w:rPr>
          <w:rFonts w:ascii="仿宋" w:hAnsi="仿宋" w:eastAsia="仿宋" w:cs="仿宋"/>
          <w:b/>
          <w:bCs/>
          <w:sz w:val="20"/>
          <w:szCs w:val="20"/>
        </w:rPr>
      </w:pPr>
      <w:r>
        <w:rPr>
          <w:rFonts w:hint="eastAsia" w:ascii="仿宋" w:hAnsi="仿宋" w:eastAsia="仿宋" w:cs="仿宋"/>
          <w:b/>
          <w:bCs/>
          <w:sz w:val="20"/>
          <w:szCs w:val="20"/>
        </w:rPr>
        <w:t>（2）精度要求</w:t>
      </w:r>
    </w:p>
    <w:p w14:paraId="1833C3C2">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卫星遥感正射影像地物点相对于陕西省三调正射影像数据上同名点的中误差不大于表3-1中的指标。限差为中误差的2倍。不同景重叠区域误差不大于中误差。整景正射影像成果平面精度要求如下表3-1所示：</w:t>
      </w:r>
    </w:p>
    <w:p w14:paraId="7CC68A52">
      <w:pPr>
        <w:widowControl/>
        <w:spacing w:line="360" w:lineRule="auto"/>
        <w:jc w:val="center"/>
        <w:rPr>
          <w:rFonts w:ascii="仿宋" w:hAnsi="仿宋" w:eastAsia="仿宋" w:cs="仿宋"/>
          <w:sz w:val="20"/>
          <w:szCs w:val="20"/>
        </w:rPr>
      </w:pPr>
      <w:r>
        <w:rPr>
          <w:rFonts w:hint="eastAsia" w:ascii="仿宋" w:hAnsi="仿宋" w:eastAsia="仿宋" w:cs="仿宋"/>
          <w:kern w:val="0"/>
          <w:sz w:val="20"/>
          <w:szCs w:val="20"/>
          <w:lang w:bidi="ar"/>
        </w:rPr>
        <w:t>表3-1 卫星遥感正射影像成果平面精度要求</w:t>
      </w:r>
    </w:p>
    <w:tbl>
      <w:tblPr>
        <w:tblStyle w:val="2"/>
        <w:tblW w:w="7248" w:type="dxa"/>
        <w:jc w:val="center"/>
        <w:tblLayout w:type="autofit"/>
        <w:tblCellMar>
          <w:top w:w="0" w:type="dxa"/>
          <w:left w:w="108" w:type="dxa"/>
          <w:bottom w:w="0" w:type="dxa"/>
          <w:right w:w="108" w:type="dxa"/>
        </w:tblCellMar>
      </w:tblPr>
      <w:tblGrid>
        <w:gridCol w:w="4416"/>
        <w:gridCol w:w="1416"/>
        <w:gridCol w:w="1416"/>
      </w:tblGrid>
      <w:tr w14:paraId="0694A49A">
        <w:tblPrEx>
          <w:tblCellMar>
            <w:top w:w="0" w:type="dxa"/>
            <w:left w:w="108" w:type="dxa"/>
            <w:bottom w:w="0" w:type="dxa"/>
            <w:right w:w="108" w:type="dxa"/>
          </w:tblCellMar>
        </w:tblPrEx>
        <w:trPr>
          <w:trHeight w:val="873" w:hRule="atLeast"/>
          <w:jc w:val="center"/>
        </w:trPr>
        <w:tc>
          <w:tcPr>
            <w:tcW w:w="0" w:type="auto"/>
            <w:tcBorders>
              <w:top w:val="single" w:color="000000" w:sz="4" w:space="0"/>
              <w:left w:val="single" w:color="000000" w:sz="4" w:space="0"/>
              <w:bottom w:val="single" w:color="000000" w:sz="4" w:space="0"/>
              <w:right w:val="single" w:color="000000" w:sz="4" w:space="0"/>
              <w:tl2br w:val="single" w:color="000000" w:sz="4" w:space="0"/>
            </w:tcBorders>
            <w:shd w:val="clear" w:color="auto" w:fill="auto"/>
            <w:noWrap/>
            <w:vAlign w:val="center"/>
          </w:tcPr>
          <w:p w14:paraId="56156479">
            <w:pPr>
              <w:widowControl/>
              <w:spacing w:line="360" w:lineRule="auto"/>
              <w:jc w:val="right"/>
              <w:textAlignment w:val="center"/>
              <w:rPr>
                <w:rFonts w:ascii="仿宋" w:hAnsi="仿宋" w:eastAsia="仿宋" w:cs="仿宋"/>
                <w:kern w:val="0"/>
                <w:sz w:val="20"/>
                <w:szCs w:val="20"/>
                <w:lang w:bidi="ar"/>
              </w:rPr>
            </w:pPr>
            <w:r>
              <w:rPr>
                <w:rFonts w:hint="eastAsia" w:ascii="仿宋" w:hAnsi="仿宋" w:eastAsia="仿宋" w:cs="仿宋"/>
                <w:kern w:val="0"/>
                <w:sz w:val="20"/>
                <w:szCs w:val="20"/>
                <w:lang w:bidi="ar"/>
              </w:rPr>
              <w:t>地形类别</w:t>
            </w:r>
          </w:p>
          <w:p w14:paraId="1C1609AE">
            <w:pPr>
              <w:widowControl/>
              <w:spacing w:line="360" w:lineRule="auto"/>
              <w:jc w:val="left"/>
              <w:textAlignment w:val="center"/>
              <w:rPr>
                <w:rFonts w:ascii="仿宋" w:hAnsi="仿宋" w:eastAsia="仿宋" w:cs="仿宋"/>
                <w:sz w:val="20"/>
                <w:szCs w:val="20"/>
              </w:rPr>
            </w:pPr>
            <w:r>
              <w:rPr>
                <w:rFonts w:hint="eastAsia" w:ascii="仿宋" w:hAnsi="仿宋" w:eastAsia="仿宋" w:cs="仿宋"/>
                <w:kern w:val="0"/>
                <w:sz w:val="20"/>
                <w:szCs w:val="20"/>
                <w:lang w:bidi="ar"/>
              </w:rPr>
              <w:t>采样间隔</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55DB0">
            <w:pPr>
              <w:widowControl/>
              <w:spacing w:line="360" w:lineRule="auto"/>
              <w:jc w:val="center"/>
              <w:textAlignment w:val="center"/>
              <w:rPr>
                <w:rFonts w:ascii="仿宋" w:hAnsi="仿宋" w:eastAsia="仿宋" w:cs="仿宋"/>
                <w:sz w:val="20"/>
                <w:szCs w:val="20"/>
              </w:rPr>
            </w:pPr>
            <w:r>
              <w:rPr>
                <w:rFonts w:hint="eastAsia" w:ascii="仿宋" w:hAnsi="仿宋" w:eastAsia="仿宋" w:cs="仿宋"/>
                <w:kern w:val="0"/>
                <w:sz w:val="20"/>
                <w:szCs w:val="20"/>
                <w:lang w:bidi="ar"/>
              </w:rPr>
              <w:t>平地、丘陵地</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988698">
            <w:pPr>
              <w:widowControl/>
              <w:spacing w:line="360" w:lineRule="auto"/>
              <w:jc w:val="center"/>
              <w:textAlignment w:val="center"/>
              <w:rPr>
                <w:rFonts w:ascii="仿宋" w:hAnsi="仿宋" w:eastAsia="仿宋" w:cs="仿宋"/>
                <w:sz w:val="20"/>
                <w:szCs w:val="20"/>
              </w:rPr>
            </w:pPr>
            <w:r>
              <w:rPr>
                <w:rFonts w:hint="eastAsia" w:ascii="仿宋" w:hAnsi="仿宋" w:eastAsia="仿宋" w:cs="仿宋"/>
                <w:kern w:val="0"/>
                <w:sz w:val="20"/>
                <w:szCs w:val="20"/>
                <w:lang w:bidi="ar"/>
              </w:rPr>
              <w:t>山地、高山地</w:t>
            </w:r>
          </w:p>
        </w:tc>
      </w:tr>
      <w:tr w14:paraId="77D63805">
        <w:tblPrEx>
          <w:tblCellMar>
            <w:top w:w="0" w:type="dxa"/>
            <w:left w:w="108" w:type="dxa"/>
            <w:bottom w:w="0" w:type="dxa"/>
            <w:right w:w="108" w:type="dxa"/>
          </w:tblCellMar>
        </w:tblPrEx>
        <w:trPr>
          <w:trHeight w:val="285"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C785A2">
            <w:pPr>
              <w:widowControl/>
              <w:spacing w:line="360" w:lineRule="auto"/>
              <w:jc w:val="left"/>
              <w:textAlignment w:val="center"/>
              <w:rPr>
                <w:rFonts w:ascii="仿宋" w:hAnsi="仿宋" w:eastAsia="仿宋" w:cs="仿宋"/>
                <w:sz w:val="20"/>
                <w:szCs w:val="20"/>
              </w:rPr>
            </w:pPr>
            <w:r>
              <w:rPr>
                <w:rFonts w:hint="eastAsia" w:ascii="仿宋" w:hAnsi="仿宋" w:eastAsia="仿宋" w:cs="仿宋"/>
                <w:kern w:val="0"/>
                <w:sz w:val="20"/>
                <w:szCs w:val="20"/>
                <w:lang w:bidi="ar"/>
              </w:rPr>
              <w:t>1米级（包括1米、0.7米、0.8米、0.5米等）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03157">
            <w:pPr>
              <w:widowControl/>
              <w:spacing w:line="360" w:lineRule="auto"/>
              <w:jc w:val="center"/>
              <w:textAlignment w:val="center"/>
              <w:rPr>
                <w:rFonts w:ascii="仿宋" w:hAnsi="仿宋" w:eastAsia="仿宋" w:cs="仿宋"/>
                <w:sz w:val="20"/>
                <w:szCs w:val="20"/>
              </w:rPr>
            </w:pPr>
            <w:r>
              <w:rPr>
                <w:rFonts w:hint="eastAsia" w:ascii="仿宋" w:hAnsi="仿宋" w:eastAsia="仿宋" w:cs="仿宋"/>
                <w:kern w:val="0"/>
                <w:sz w:val="20"/>
                <w:szCs w:val="20"/>
                <w:lang w:bidi="ar"/>
              </w:rPr>
              <w:t>2米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0FE30">
            <w:pPr>
              <w:widowControl/>
              <w:spacing w:line="360" w:lineRule="auto"/>
              <w:jc w:val="center"/>
              <w:textAlignment w:val="center"/>
              <w:rPr>
                <w:rFonts w:ascii="仿宋" w:hAnsi="仿宋" w:eastAsia="仿宋" w:cs="仿宋"/>
                <w:sz w:val="20"/>
                <w:szCs w:val="20"/>
              </w:rPr>
            </w:pPr>
            <w:r>
              <w:rPr>
                <w:rFonts w:hint="eastAsia" w:ascii="仿宋" w:hAnsi="仿宋" w:eastAsia="仿宋" w:cs="仿宋"/>
                <w:kern w:val="0"/>
                <w:sz w:val="20"/>
                <w:szCs w:val="20"/>
                <w:lang w:bidi="ar"/>
              </w:rPr>
              <w:t>3米</w:t>
            </w:r>
          </w:p>
        </w:tc>
      </w:tr>
      <w:tr w14:paraId="1BCBC00E">
        <w:tblPrEx>
          <w:tblCellMar>
            <w:top w:w="0" w:type="dxa"/>
            <w:left w:w="108" w:type="dxa"/>
            <w:bottom w:w="0" w:type="dxa"/>
            <w:right w:w="108" w:type="dxa"/>
          </w:tblCellMar>
        </w:tblPrEx>
        <w:trPr>
          <w:trHeight w:val="27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9B80F3">
            <w:pPr>
              <w:widowControl/>
              <w:spacing w:line="360" w:lineRule="auto"/>
              <w:jc w:val="left"/>
              <w:textAlignment w:val="center"/>
              <w:rPr>
                <w:rFonts w:ascii="仿宋" w:hAnsi="仿宋" w:eastAsia="仿宋" w:cs="仿宋"/>
                <w:sz w:val="20"/>
                <w:szCs w:val="20"/>
              </w:rPr>
            </w:pPr>
            <w:r>
              <w:rPr>
                <w:rFonts w:hint="eastAsia" w:ascii="仿宋" w:hAnsi="仿宋" w:eastAsia="仿宋" w:cs="仿宋"/>
                <w:kern w:val="0"/>
                <w:sz w:val="20"/>
                <w:szCs w:val="20"/>
                <w:lang w:bidi="ar"/>
              </w:rPr>
              <w:t>2米级（包括2米、2.1米、2.5米等）</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AE07F">
            <w:pPr>
              <w:widowControl/>
              <w:spacing w:line="360" w:lineRule="auto"/>
              <w:jc w:val="center"/>
              <w:textAlignment w:val="center"/>
              <w:rPr>
                <w:rFonts w:ascii="仿宋" w:hAnsi="仿宋" w:eastAsia="仿宋" w:cs="仿宋"/>
                <w:sz w:val="20"/>
                <w:szCs w:val="20"/>
              </w:rPr>
            </w:pPr>
            <w:r>
              <w:rPr>
                <w:rFonts w:hint="eastAsia" w:ascii="仿宋" w:hAnsi="仿宋" w:eastAsia="仿宋" w:cs="仿宋"/>
                <w:kern w:val="0"/>
                <w:sz w:val="20"/>
                <w:szCs w:val="20"/>
                <w:lang w:bidi="ar"/>
              </w:rPr>
              <w:t>5米</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B09DD6">
            <w:pPr>
              <w:widowControl/>
              <w:spacing w:line="360" w:lineRule="auto"/>
              <w:jc w:val="center"/>
              <w:textAlignment w:val="center"/>
              <w:rPr>
                <w:rFonts w:ascii="仿宋" w:hAnsi="仿宋" w:eastAsia="仿宋" w:cs="仿宋"/>
                <w:sz w:val="20"/>
                <w:szCs w:val="20"/>
              </w:rPr>
            </w:pPr>
            <w:r>
              <w:rPr>
                <w:rFonts w:hint="eastAsia" w:ascii="仿宋" w:hAnsi="仿宋" w:eastAsia="仿宋" w:cs="仿宋"/>
                <w:kern w:val="0"/>
                <w:sz w:val="20"/>
                <w:szCs w:val="20"/>
                <w:lang w:bidi="ar"/>
              </w:rPr>
              <w:t>8米</w:t>
            </w:r>
          </w:p>
        </w:tc>
      </w:tr>
    </w:tbl>
    <w:p w14:paraId="70A2C0F6">
      <w:pPr>
        <w:spacing w:line="360" w:lineRule="auto"/>
        <w:ind w:firstLine="402" w:firstLineChars="200"/>
        <w:jc w:val="left"/>
        <w:outlineLvl w:val="1"/>
        <w:rPr>
          <w:rFonts w:ascii="仿宋" w:hAnsi="仿宋" w:eastAsia="仿宋" w:cs="仿宋"/>
          <w:b/>
          <w:bCs/>
          <w:sz w:val="20"/>
          <w:szCs w:val="20"/>
        </w:rPr>
      </w:pPr>
      <w:r>
        <w:rPr>
          <w:rFonts w:hint="eastAsia" w:ascii="仿宋" w:hAnsi="仿宋" w:eastAsia="仿宋" w:cs="仿宋"/>
          <w:b/>
          <w:bCs/>
          <w:sz w:val="20"/>
          <w:szCs w:val="20"/>
        </w:rPr>
        <w:t>2.遥感监测图斑</w:t>
      </w:r>
    </w:p>
    <w:p w14:paraId="5399A028">
      <w:pPr>
        <w:spacing w:line="360" w:lineRule="auto"/>
        <w:ind w:firstLine="402" w:firstLineChars="200"/>
        <w:jc w:val="left"/>
        <w:outlineLvl w:val="1"/>
        <w:rPr>
          <w:rFonts w:ascii="仿宋" w:hAnsi="仿宋" w:eastAsia="仿宋" w:cs="仿宋"/>
          <w:b/>
          <w:bCs/>
          <w:sz w:val="20"/>
          <w:szCs w:val="20"/>
        </w:rPr>
      </w:pPr>
      <w:r>
        <w:rPr>
          <w:rFonts w:hint="eastAsia" w:ascii="仿宋" w:hAnsi="仿宋" w:eastAsia="仿宋" w:cs="仿宋"/>
          <w:b/>
          <w:bCs/>
          <w:sz w:val="20"/>
          <w:szCs w:val="20"/>
        </w:rPr>
        <w:t>（1）数学基础</w:t>
      </w:r>
    </w:p>
    <w:p w14:paraId="0C997FE0">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采用2000国家大地坐标系，坐标单位为“度”。</w:t>
      </w:r>
    </w:p>
    <w:p w14:paraId="0ACC8974">
      <w:pPr>
        <w:spacing w:line="360" w:lineRule="auto"/>
        <w:ind w:firstLine="402" w:firstLineChars="200"/>
        <w:jc w:val="left"/>
        <w:outlineLvl w:val="1"/>
        <w:rPr>
          <w:rFonts w:ascii="仿宋" w:hAnsi="仿宋" w:eastAsia="仿宋" w:cs="仿宋"/>
          <w:b/>
          <w:bCs/>
          <w:kern w:val="0"/>
          <w:sz w:val="20"/>
          <w:szCs w:val="20"/>
          <w:lang w:bidi="ar"/>
        </w:rPr>
      </w:pPr>
      <w:r>
        <w:rPr>
          <w:rFonts w:hint="eastAsia" w:ascii="仿宋" w:hAnsi="仿宋" w:eastAsia="仿宋" w:cs="仿宋"/>
          <w:b/>
          <w:bCs/>
          <w:sz w:val="20"/>
          <w:szCs w:val="20"/>
        </w:rPr>
        <w:t>（2）精度要求</w:t>
      </w:r>
    </w:p>
    <w:p w14:paraId="5687E53E">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遥感监测图斑边界相对于遥感影像上明显同名地物位移不得大于2个像素；特殊情况下，如薄云薄雪覆盖、高层建筑物或树木遮挡、阴影区等，位移不得大于4个像素。</w:t>
      </w:r>
    </w:p>
    <w:p w14:paraId="4680E64C">
      <w:pPr>
        <w:spacing w:line="360" w:lineRule="auto"/>
        <w:ind w:firstLine="402" w:firstLineChars="200"/>
        <w:jc w:val="left"/>
        <w:outlineLvl w:val="1"/>
        <w:rPr>
          <w:rFonts w:ascii="仿宋" w:hAnsi="仿宋" w:eastAsia="仿宋" w:cs="仿宋"/>
          <w:b/>
          <w:bCs/>
          <w:sz w:val="20"/>
          <w:szCs w:val="20"/>
        </w:rPr>
      </w:pPr>
      <w:r>
        <w:rPr>
          <w:rFonts w:hint="eastAsia" w:ascii="仿宋" w:hAnsi="仿宋" w:eastAsia="仿宋" w:cs="仿宋"/>
          <w:b/>
          <w:bCs/>
          <w:sz w:val="20"/>
          <w:szCs w:val="20"/>
        </w:rPr>
        <w:t>（3）采集指标</w:t>
      </w:r>
    </w:p>
    <w:p w14:paraId="46ED781B">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变化特征为建设用地或设施农用地的图斑采集面积指标为200㎡（0.3亩），变化特征为非耕农用地（不含设施农用地）或耕地的图斑采集面积指标为400㎡（0.6亩），变化特征为未利用地的图斑采集面积指标为600㎡（0.9亩）。</w:t>
      </w:r>
    </w:p>
    <w:p w14:paraId="0CD74B0A">
      <w:pPr>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3.一体化管理场景</w:t>
      </w:r>
    </w:p>
    <w:p w14:paraId="77C6E4E9">
      <w:pPr>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（1）数学基础</w:t>
      </w:r>
    </w:p>
    <w:p w14:paraId="210C9F1A">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信息化场景接入数据统一采用国家标准2000国家大地坐标系（CGCS2000），高程基准采用1985国家高程基准。</w:t>
      </w:r>
    </w:p>
    <w:p w14:paraId="1F273F42">
      <w:pPr>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（2）功能模块技术指标</w:t>
      </w:r>
    </w:p>
    <w:p w14:paraId="571445B8">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网络稳定的情况下，常规操作和典型业务场景下的关键页面加载时间应小于3秒，用户操作指令响应时间应小于5秒，计算量较小的功能运行时间应小于10秒，计算量较大的功能运行时间应小于1分钟，计算量特别大的功能运行时间不应超过10分钟。</w:t>
      </w:r>
    </w:p>
    <w:p w14:paraId="46245D48">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2）坡度分析支持以度为单位输出地块坡度级别(1/2/3/4/5)结果，分析格网尺寸需至少支持2m×2m，适用于地形级和城市级实景三维数据。</w:t>
      </w:r>
    </w:p>
    <w:p w14:paraId="6327BEC8">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3）贴地面积量算支持沿地表起伏进行面积量测，量算结果与理论参考值之间的相对误差不超过5%，支持平方米和亩两种单位输出，单次量算响应时间不超过3秒。</w:t>
      </w:r>
    </w:p>
    <w:p w14:paraId="0100DC8D">
      <w:pPr>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4）开挖模拟分析支持自定义开挖范围、开挖深度（精度为±0.3m）和堆载区域，模拟结果以三维剖切视图和土方量估算报告（含填挖方体积，体积计算精度不低于93%）两种形式输出，单次模拟计算响应时间不超过10秒。</w:t>
      </w:r>
    </w:p>
    <w:p w14:paraId="3C394F35">
      <w:pPr>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（3）三维数据服务技术指标</w:t>
      </w:r>
    </w:p>
    <w:p w14:paraId="7C050E0A">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三维数据服务发布满足以下性能指标：服务瓦片并发访问加载时间不超过3秒，服务接口响应时间不超过2秒，数据存储容量支持PB级扩展。影像数据格式兼容GeoTIFF、IMG等常用格式，矢量数据格式兼容Shapefile、GeoJSON、txt等。</w:t>
      </w:r>
    </w:p>
    <w:p w14:paraId="5CA03704">
      <w:pPr>
        <w:adjustRightInd w:val="0"/>
        <w:snapToGrid w:val="0"/>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四、项目执行依据</w:t>
      </w:r>
    </w:p>
    <w:p w14:paraId="1D7AEF23">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1.《中华人民共和国土地管理法》（2019年第三次修正 2020年1月1日起施行）；</w:t>
      </w:r>
    </w:p>
    <w:p w14:paraId="6DD1952A">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2.《中华人民共和国土地管理法实施条例》（2021年9月1日起施行）；</w:t>
      </w:r>
    </w:p>
    <w:p w14:paraId="5DC26F8E">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3.《永久基本农田保护红线管理办法》（中华人民共和国自然资源部 中华人民共和国农业农村部 令 第17号）；</w:t>
      </w:r>
    </w:p>
    <w:p w14:paraId="7C962401">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4.《陕西省自然资源厅办公室关于印发〈发挥“四早”内部联动机制作用推动日常耕地保护工作措施〉的通知》（陕自然资办发〔2025〕150号）；</w:t>
      </w:r>
    </w:p>
    <w:p w14:paraId="1970CA96">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5.《中共陕西省委办公厅 陕西省人民政府办公厅印发（陕西省关于全面建立耕地保护田长制的实施方案）的通知》（陕办发〔2022〕10号）；</w:t>
      </w:r>
    </w:p>
    <w:p w14:paraId="2379336C">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6.《陕西省自然资源厅 陕西省农业农村厅 陕西省林业局关于严格耕地用途管制的实施意见》（陕自然资发〔2022〕52号）；</w:t>
      </w:r>
    </w:p>
    <w:p w14:paraId="45C79C2C">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7</w:t>
      </w:r>
      <w:r>
        <w:rPr>
          <w:rFonts w:ascii="仿宋" w:hAnsi="仿宋" w:eastAsia="仿宋" w:cs="仿宋"/>
          <w:sz w:val="20"/>
          <w:szCs w:val="20"/>
        </w:rPr>
        <w:t>.</w:t>
      </w:r>
      <w:r>
        <w:rPr>
          <w:rFonts w:hint="eastAsia" w:ascii="仿宋" w:hAnsi="仿宋" w:eastAsia="仿宋" w:cs="仿宋"/>
          <w:sz w:val="20"/>
          <w:szCs w:val="20"/>
        </w:rPr>
        <w:t>《陕西省自然资源厅 陕西省农业农村厅关于印发&lt;陕西省耕地、永久基本农田和高标准农田一体化管理规则&gt;的通知》（陕自然资规〔2025〕1760号）；</w:t>
      </w:r>
    </w:p>
    <w:p w14:paraId="6D28D7DA">
      <w:pPr>
        <w:adjustRightInd w:val="0"/>
        <w:snapToGrid w:val="0"/>
        <w:spacing w:line="360" w:lineRule="auto"/>
        <w:ind w:firstLine="400" w:firstLineChars="200"/>
        <w:jc w:val="left"/>
        <w:rPr>
          <w:rFonts w:ascii="仿宋" w:hAnsi="仿宋" w:eastAsia="仿宋" w:cs="仿宋"/>
          <w:sz w:val="20"/>
          <w:szCs w:val="20"/>
        </w:rPr>
      </w:pPr>
      <w:r>
        <w:rPr>
          <w:rFonts w:ascii="仿宋" w:hAnsi="仿宋" w:eastAsia="仿宋" w:cs="仿宋"/>
          <w:sz w:val="20"/>
          <w:szCs w:val="20"/>
        </w:rPr>
        <w:t>8</w:t>
      </w:r>
      <w:r>
        <w:rPr>
          <w:rFonts w:hint="eastAsia" w:ascii="仿宋" w:hAnsi="仿宋" w:eastAsia="仿宋" w:cs="仿宋"/>
          <w:sz w:val="20"/>
          <w:szCs w:val="20"/>
        </w:rPr>
        <w:t>.GB/T 2260-2007《中华人民共和国行政区划代码》；</w:t>
      </w:r>
    </w:p>
    <w:p w14:paraId="751014EF">
      <w:pPr>
        <w:adjustRightInd w:val="0"/>
        <w:snapToGrid w:val="0"/>
        <w:spacing w:line="360" w:lineRule="auto"/>
        <w:ind w:firstLine="400" w:firstLineChars="200"/>
        <w:jc w:val="left"/>
        <w:rPr>
          <w:rFonts w:ascii="仿宋" w:hAnsi="仿宋" w:eastAsia="仿宋" w:cs="仿宋"/>
          <w:sz w:val="20"/>
          <w:szCs w:val="20"/>
        </w:rPr>
      </w:pPr>
      <w:r>
        <w:rPr>
          <w:rFonts w:ascii="仿宋" w:hAnsi="仿宋" w:eastAsia="仿宋" w:cs="仿宋"/>
          <w:sz w:val="20"/>
          <w:szCs w:val="20"/>
        </w:rPr>
        <w:t>9</w:t>
      </w:r>
      <w:r>
        <w:rPr>
          <w:rFonts w:hint="eastAsia" w:ascii="仿宋" w:hAnsi="仿宋" w:eastAsia="仿宋" w:cs="仿宋"/>
          <w:sz w:val="20"/>
          <w:szCs w:val="20"/>
        </w:rPr>
        <w:t>.GB/T 21010-2017《土地利用现状分类》；</w:t>
      </w:r>
    </w:p>
    <w:p w14:paraId="47692C47">
      <w:pPr>
        <w:adjustRightInd w:val="0"/>
        <w:snapToGrid w:val="0"/>
        <w:spacing w:line="360" w:lineRule="auto"/>
        <w:ind w:firstLine="400" w:firstLineChars="200"/>
        <w:jc w:val="left"/>
        <w:rPr>
          <w:rFonts w:ascii="仿宋" w:hAnsi="仿宋" w:eastAsia="仿宋" w:cs="仿宋"/>
          <w:sz w:val="20"/>
          <w:szCs w:val="20"/>
        </w:rPr>
      </w:pPr>
      <w:r>
        <w:rPr>
          <w:rFonts w:ascii="仿宋" w:hAnsi="仿宋" w:eastAsia="仿宋" w:cs="仿宋"/>
          <w:sz w:val="20"/>
          <w:szCs w:val="20"/>
        </w:rPr>
        <w:t>10</w:t>
      </w:r>
      <w:r>
        <w:rPr>
          <w:rFonts w:hint="eastAsia" w:ascii="仿宋" w:hAnsi="仿宋" w:eastAsia="仿宋" w:cs="仿宋"/>
          <w:sz w:val="20"/>
          <w:szCs w:val="20"/>
        </w:rPr>
        <w:t>.CH/T 1015.3-2007《基础地理信息数字产品1:10000 1:50000生产技术规程 第3部分：数字正射影像图（DOM）》；</w:t>
      </w:r>
    </w:p>
    <w:p w14:paraId="7EDB7487">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w:t>
      </w:r>
      <w:r>
        <w:rPr>
          <w:rFonts w:ascii="仿宋" w:hAnsi="仿宋" w:eastAsia="仿宋" w:cs="仿宋"/>
          <w:sz w:val="20"/>
          <w:szCs w:val="20"/>
        </w:rPr>
        <w:t>1</w:t>
      </w:r>
      <w:r>
        <w:rPr>
          <w:rFonts w:hint="eastAsia" w:ascii="仿宋" w:hAnsi="仿宋" w:eastAsia="仿宋" w:cs="仿宋"/>
          <w:sz w:val="20"/>
          <w:szCs w:val="20"/>
        </w:rPr>
        <w:t>.CH/T 9009.3-2010《基础地理信息数字成果1:5000 1:10000 1:25000 1:50000 1:100000数字正射影像图》；</w:t>
      </w:r>
    </w:p>
    <w:p w14:paraId="103817E2">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w:t>
      </w:r>
      <w:r>
        <w:rPr>
          <w:rFonts w:ascii="仿宋" w:hAnsi="仿宋" w:eastAsia="仿宋" w:cs="仿宋"/>
          <w:sz w:val="20"/>
          <w:szCs w:val="20"/>
        </w:rPr>
        <w:t>2</w:t>
      </w:r>
      <w:r>
        <w:rPr>
          <w:rFonts w:hint="eastAsia" w:ascii="仿宋" w:hAnsi="仿宋" w:eastAsia="仿宋" w:cs="仿宋"/>
          <w:sz w:val="20"/>
          <w:szCs w:val="20"/>
        </w:rPr>
        <w:t>.GB/T 17941-2008《数字测绘成果质量要求》；</w:t>
      </w:r>
    </w:p>
    <w:p w14:paraId="7187B4C8">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w:t>
      </w:r>
      <w:r>
        <w:rPr>
          <w:rFonts w:ascii="仿宋" w:hAnsi="仿宋" w:eastAsia="仿宋" w:cs="仿宋"/>
          <w:sz w:val="20"/>
          <w:szCs w:val="20"/>
        </w:rPr>
        <w:t>3</w:t>
      </w:r>
      <w:r>
        <w:rPr>
          <w:rFonts w:hint="eastAsia" w:ascii="仿宋" w:hAnsi="仿宋" w:eastAsia="仿宋" w:cs="仿宋"/>
          <w:sz w:val="20"/>
          <w:szCs w:val="20"/>
        </w:rPr>
        <w:t>.GB/T 24356-2023《测绘成果质量检查与验收》；</w:t>
      </w:r>
    </w:p>
    <w:p w14:paraId="14063962">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w:t>
      </w:r>
      <w:r>
        <w:rPr>
          <w:rFonts w:ascii="仿宋" w:hAnsi="仿宋" w:eastAsia="仿宋" w:cs="仿宋"/>
          <w:sz w:val="20"/>
          <w:szCs w:val="20"/>
        </w:rPr>
        <w:t>4</w:t>
      </w:r>
      <w:r>
        <w:rPr>
          <w:rFonts w:hint="eastAsia" w:ascii="仿宋" w:hAnsi="仿宋" w:eastAsia="仿宋" w:cs="仿宋"/>
          <w:sz w:val="20"/>
          <w:szCs w:val="20"/>
        </w:rPr>
        <w:t>.GB/T 18316-2008《数字测绘成果质量检查与验收》；</w:t>
      </w:r>
    </w:p>
    <w:p w14:paraId="3B8D3DAD">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w:t>
      </w:r>
      <w:r>
        <w:rPr>
          <w:rFonts w:ascii="仿宋" w:hAnsi="仿宋" w:eastAsia="仿宋" w:cs="仿宋"/>
          <w:sz w:val="20"/>
          <w:szCs w:val="20"/>
        </w:rPr>
        <w:t>5</w:t>
      </w:r>
      <w:r>
        <w:rPr>
          <w:rFonts w:hint="eastAsia" w:ascii="仿宋" w:hAnsi="仿宋" w:eastAsia="仿宋" w:cs="仿宋"/>
          <w:sz w:val="20"/>
          <w:szCs w:val="20"/>
        </w:rPr>
        <w:t>.GB/T 9386-2008《计算机软件测试文档编制规范》；</w:t>
      </w:r>
    </w:p>
    <w:p w14:paraId="08E26D45">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w:t>
      </w:r>
      <w:r>
        <w:rPr>
          <w:rFonts w:ascii="仿宋" w:hAnsi="仿宋" w:eastAsia="仿宋" w:cs="仿宋"/>
          <w:sz w:val="20"/>
          <w:szCs w:val="20"/>
        </w:rPr>
        <w:t>6</w:t>
      </w:r>
      <w:r>
        <w:rPr>
          <w:rFonts w:hint="eastAsia" w:ascii="仿宋" w:hAnsi="仿宋" w:eastAsia="仿宋" w:cs="仿宋"/>
          <w:sz w:val="20"/>
          <w:szCs w:val="20"/>
        </w:rPr>
        <w:t>.GB 17859-1999《计算机信息系统安全保护等级划分准则》；</w:t>
      </w:r>
    </w:p>
    <w:p w14:paraId="732864ED">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w:t>
      </w:r>
      <w:r>
        <w:rPr>
          <w:rFonts w:ascii="仿宋" w:hAnsi="仿宋" w:eastAsia="仿宋" w:cs="仿宋"/>
          <w:sz w:val="20"/>
          <w:szCs w:val="20"/>
        </w:rPr>
        <w:t>7</w:t>
      </w:r>
      <w:r>
        <w:rPr>
          <w:rFonts w:hint="eastAsia" w:ascii="仿宋" w:hAnsi="仿宋" w:eastAsia="仿宋" w:cs="仿宋"/>
          <w:sz w:val="20"/>
          <w:szCs w:val="20"/>
        </w:rPr>
        <w:t>.GB/T 15532-2008《计算机软件测试规范》；</w:t>
      </w:r>
    </w:p>
    <w:p w14:paraId="65C4D7CA">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w:t>
      </w:r>
      <w:r>
        <w:rPr>
          <w:rFonts w:ascii="仿宋" w:hAnsi="仿宋" w:eastAsia="仿宋" w:cs="仿宋"/>
          <w:sz w:val="20"/>
          <w:szCs w:val="20"/>
        </w:rPr>
        <w:t>8</w:t>
      </w:r>
      <w:r>
        <w:rPr>
          <w:rFonts w:hint="eastAsia" w:ascii="仿宋" w:hAnsi="仿宋" w:eastAsia="仿宋" w:cs="仿宋"/>
          <w:sz w:val="20"/>
          <w:szCs w:val="20"/>
        </w:rPr>
        <w:t>.GB/T 28035-2011《软件系统验收规范》；</w:t>
      </w:r>
    </w:p>
    <w:p w14:paraId="07C285B3">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w:t>
      </w:r>
      <w:r>
        <w:rPr>
          <w:rFonts w:ascii="仿宋" w:hAnsi="仿宋" w:eastAsia="仿宋" w:cs="仿宋"/>
          <w:sz w:val="20"/>
          <w:szCs w:val="20"/>
        </w:rPr>
        <w:t>9</w:t>
      </w:r>
      <w:r>
        <w:rPr>
          <w:rFonts w:hint="eastAsia" w:ascii="仿宋" w:hAnsi="仿宋" w:eastAsia="仿宋" w:cs="仿宋"/>
          <w:sz w:val="20"/>
          <w:szCs w:val="20"/>
        </w:rPr>
        <w:t>.《国土变更调查技术要求》（2026年度适用）；</w:t>
      </w:r>
    </w:p>
    <w:p w14:paraId="6FFF6B4D">
      <w:pPr>
        <w:adjustRightInd w:val="0"/>
        <w:snapToGrid w:val="0"/>
        <w:spacing w:line="360" w:lineRule="auto"/>
        <w:ind w:firstLine="400" w:firstLineChars="200"/>
        <w:jc w:val="left"/>
        <w:rPr>
          <w:rFonts w:ascii="仿宋" w:hAnsi="仿宋" w:eastAsia="仿宋" w:cs="仿宋"/>
          <w:sz w:val="20"/>
          <w:szCs w:val="20"/>
        </w:rPr>
      </w:pPr>
      <w:r>
        <w:rPr>
          <w:rFonts w:ascii="仿宋" w:hAnsi="仿宋" w:eastAsia="仿宋" w:cs="仿宋"/>
          <w:sz w:val="20"/>
          <w:szCs w:val="20"/>
        </w:rPr>
        <w:t>20</w:t>
      </w:r>
      <w:r>
        <w:rPr>
          <w:rFonts w:hint="eastAsia" w:ascii="仿宋" w:hAnsi="仿宋" w:eastAsia="仿宋" w:cs="仿宋"/>
          <w:sz w:val="20"/>
          <w:szCs w:val="20"/>
        </w:rPr>
        <w:t>.《第三次全国国土调查工作分类地类认定细则》（2019年4月）。</w:t>
      </w:r>
    </w:p>
    <w:p w14:paraId="6BFC2424">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上述所列规范标准，在项目执行期内，如有更新，以最新现行规范标准执行。</w:t>
      </w:r>
    </w:p>
    <w:p w14:paraId="5EAD9066">
      <w:pPr>
        <w:adjustRightInd w:val="0"/>
        <w:snapToGrid w:val="0"/>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五、工作要求</w:t>
      </w:r>
    </w:p>
    <w:p w14:paraId="40F2773C">
      <w:pPr>
        <w:adjustRightInd w:val="0"/>
        <w:snapToGrid w:val="0"/>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1.保密与安全要求</w:t>
      </w:r>
    </w:p>
    <w:p w14:paraId="1BF034BC">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（1）供应商须严格遵守《中华人民共和国数据安全法》《中华人民共和国网络安全法》《中华人民共和国保守国家秘密法》等相关法律法规，确保相关数据安全和信息安全。</w:t>
      </w:r>
    </w:p>
    <w:p w14:paraId="1B41E71D">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（2）供应商须对项目涉及的所有基础数据、过程资料及成果文件承担保密责任，未经采购方同意不得向任何第三方复制。</w:t>
      </w:r>
    </w:p>
    <w:p w14:paraId="1D1B4855">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（3）供应商须在项目结束后，按照采购人要求，对所有相关数据、文档、成果及存储介质进行清理、移交或销毁。</w:t>
      </w:r>
    </w:p>
    <w:p w14:paraId="7045B388">
      <w:pPr>
        <w:adjustRightInd w:val="0"/>
        <w:snapToGrid w:val="0"/>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2.人员配置要求</w:t>
      </w:r>
    </w:p>
    <w:p w14:paraId="6179739F">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（1）为保障项目质量管控与实施落地，供应商配备的项目负责人须具备测绘相关专业副高级（含）以上职称，统筹负责项目的整体设计和实施，满足项目全周期统筹管控需求。</w:t>
      </w:r>
    </w:p>
    <w:p w14:paraId="0AF07629">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（2）为保障项目高效推进、按期完成，满足遥感监测监管、一体化场景建设和日常支撑的需要，供应商需组建专项服务团队，投入本项目遥感监测监管、日常支撑的工作人员不少于</w:t>
      </w:r>
      <w:r>
        <w:rPr>
          <w:rFonts w:ascii="仿宋" w:hAnsi="仿宋" w:eastAsia="仿宋" w:cs="仿宋"/>
          <w:sz w:val="20"/>
          <w:szCs w:val="20"/>
        </w:rPr>
        <w:t>60</w:t>
      </w:r>
      <w:r>
        <w:rPr>
          <w:rFonts w:hint="eastAsia" w:ascii="仿宋" w:hAnsi="仿宋" w:eastAsia="仿宋" w:cs="仿宋"/>
          <w:sz w:val="20"/>
          <w:szCs w:val="20"/>
        </w:rPr>
        <w:t>人；供应商应根据项目情况随时增配人员，保障监测监管、软件研发、日常支撑等任务同步推进。</w:t>
      </w:r>
    </w:p>
    <w:p w14:paraId="490E82AD">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w:t>
      </w:r>
      <w:r>
        <w:rPr>
          <w:rFonts w:ascii="仿宋" w:hAnsi="仿宋" w:eastAsia="仿宋" w:cs="仿宋"/>
          <w:sz w:val="20"/>
          <w:szCs w:val="20"/>
        </w:rPr>
        <w:t>3</w:t>
      </w:r>
      <w:r>
        <w:rPr>
          <w:rFonts w:hint="eastAsia" w:ascii="仿宋" w:hAnsi="仿宋" w:eastAsia="仿宋" w:cs="仿宋"/>
          <w:sz w:val="20"/>
          <w:szCs w:val="20"/>
        </w:rPr>
        <w:t>）投标方需承诺本项目拟投入人员的真实性，如需更换人员，需经采购人同意，并且更换人员与原人员具有同等或以上的资质。</w:t>
      </w:r>
    </w:p>
    <w:p w14:paraId="4CEB55BC">
      <w:pPr>
        <w:adjustRightInd w:val="0"/>
        <w:snapToGrid w:val="0"/>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3.成果交付要求</w:t>
      </w:r>
    </w:p>
    <w:p w14:paraId="6F430135">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供应商须严格按照双月周期结束当日交付批次遥感监测成果，并于服务期限前完成耕地、永久基本农田和高标准农田一体化管理场景建设的交付使用。</w:t>
      </w:r>
    </w:p>
    <w:p w14:paraId="2481CEE7">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所有成果须符合国家及行业相关标准，通过采购人组织的验收。若成果存在缺陷或不符合要求，供应商须在采购方规定时限内整改完善。</w:t>
      </w:r>
    </w:p>
    <w:p w14:paraId="36592A9B">
      <w:pPr>
        <w:adjustRightInd w:val="0"/>
        <w:snapToGrid w:val="0"/>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4.成果验收要求</w:t>
      </w:r>
    </w:p>
    <w:p w14:paraId="20740326">
      <w:pPr>
        <w:adjustRightInd w:val="0"/>
        <w:snapToGrid w:val="0"/>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（1）数据成果</w:t>
      </w:r>
    </w:p>
    <w:p w14:paraId="72BE2776">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数据成果须完整齐全、格式规范，影像精度、数据精度等各项指标均满足项目指标要求。</w:t>
      </w:r>
    </w:p>
    <w:p w14:paraId="6E609B5C">
      <w:pPr>
        <w:adjustRightInd w:val="0"/>
        <w:snapToGrid w:val="0"/>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（2）软件成果</w:t>
      </w:r>
    </w:p>
    <w:p w14:paraId="3FA05AF4">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软件成果须功能齐全、稳定可靠，满足相关管理部门的应用需求。</w:t>
      </w:r>
    </w:p>
    <w:p w14:paraId="7D3C1F5E">
      <w:pPr>
        <w:adjustRightInd w:val="0"/>
        <w:snapToGrid w:val="0"/>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（3）文档成果</w:t>
      </w:r>
    </w:p>
    <w:p w14:paraId="32C8E611">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文档成果须完整齐全、内容真实准确、逻辑规范清晰，符合项目归档与验收要求。</w:t>
      </w:r>
    </w:p>
    <w:p w14:paraId="5B5F166F">
      <w:pPr>
        <w:adjustRightInd w:val="0"/>
        <w:snapToGrid w:val="0"/>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六、预期成果</w:t>
      </w:r>
    </w:p>
    <w:p w14:paraId="3C067FDF">
      <w:pPr>
        <w:adjustRightInd w:val="0"/>
        <w:snapToGrid w:val="0"/>
        <w:spacing w:line="360" w:lineRule="auto"/>
        <w:ind w:firstLine="402" w:firstLineChars="200"/>
        <w:jc w:val="left"/>
        <w:rPr>
          <w:rFonts w:ascii="仿宋" w:hAnsi="仿宋" w:eastAsia="仿宋" w:cs="仿宋"/>
          <w:b/>
          <w:bCs/>
          <w:sz w:val="20"/>
          <w:szCs w:val="20"/>
        </w:rPr>
      </w:pPr>
      <w:bookmarkStart w:id="2" w:name="_Toc28021"/>
      <w:bookmarkStart w:id="3" w:name="_Toc99445506"/>
      <w:bookmarkStart w:id="4" w:name="_Toc21390"/>
      <w:bookmarkStart w:id="5" w:name="_Toc29820"/>
      <w:bookmarkStart w:id="6" w:name="_Toc106122786"/>
      <w:bookmarkStart w:id="7" w:name="_Toc6617"/>
      <w:bookmarkStart w:id="8" w:name="_Toc99444911"/>
      <w:bookmarkStart w:id="9" w:name="_Toc99445464"/>
      <w:bookmarkStart w:id="10" w:name="_Toc99445151"/>
      <w:bookmarkStart w:id="11" w:name="_Toc99445073"/>
      <w:bookmarkStart w:id="12" w:name="_Toc106122787"/>
      <w:bookmarkStart w:id="13" w:name="_Toc99445507"/>
      <w:bookmarkStart w:id="14" w:name="_Toc99445074"/>
      <w:bookmarkStart w:id="15" w:name="_Toc25373"/>
      <w:bookmarkStart w:id="16" w:name="_Toc561"/>
      <w:bookmarkStart w:id="17" w:name="_Toc99445465"/>
      <w:bookmarkStart w:id="18" w:name="_Toc99444912"/>
      <w:bookmarkStart w:id="19" w:name="_Toc17173"/>
      <w:bookmarkStart w:id="20" w:name="_Toc99445152"/>
      <w:r>
        <w:rPr>
          <w:rFonts w:hint="eastAsia" w:ascii="仿宋" w:hAnsi="仿宋" w:eastAsia="仿宋" w:cs="仿宋"/>
          <w:b/>
          <w:bCs/>
          <w:sz w:val="20"/>
          <w:szCs w:val="20"/>
        </w:rPr>
        <w:t>1.数据成果</w:t>
      </w:r>
      <w:bookmarkEnd w:id="2"/>
      <w:bookmarkEnd w:id="3"/>
      <w:bookmarkEnd w:id="4"/>
      <w:bookmarkEnd w:id="5"/>
      <w:bookmarkEnd w:id="6"/>
      <w:bookmarkEnd w:id="7"/>
      <w:bookmarkEnd w:id="8"/>
      <w:bookmarkEnd w:id="9"/>
      <w:bookmarkEnd w:id="10"/>
      <w:bookmarkEnd w:id="11"/>
    </w:p>
    <w:p w14:paraId="749088A6">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（1）常态化遥感监测监管成果（含卫星遥感正射影像、各类监测图斑、小影像、统计报表、分析报告等）；</w:t>
      </w:r>
    </w:p>
    <w:p w14:paraId="556D3E5C">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（2）田长制日常支撑成果（含各项日常支撑工作成果）。</w:t>
      </w:r>
    </w:p>
    <w:p w14:paraId="613FA010">
      <w:pPr>
        <w:adjustRightInd w:val="0"/>
        <w:snapToGrid w:val="0"/>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2.软件成果</w:t>
      </w:r>
    </w:p>
    <w:p w14:paraId="5DBB977F">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动态监测预警体系成果（含一体化管理场景、田长制综合巡查监管场景等）。</w:t>
      </w:r>
    </w:p>
    <w:p w14:paraId="3ADFCAAB">
      <w:pPr>
        <w:adjustRightInd w:val="0"/>
        <w:snapToGrid w:val="0"/>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3.文档成果</w:t>
      </w:r>
      <w:bookmarkEnd w:id="12"/>
      <w:bookmarkEnd w:id="13"/>
      <w:bookmarkEnd w:id="14"/>
      <w:bookmarkEnd w:id="15"/>
      <w:bookmarkEnd w:id="16"/>
      <w:bookmarkEnd w:id="17"/>
      <w:bookmarkEnd w:id="18"/>
      <w:bookmarkEnd w:id="19"/>
      <w:bookmarkEnd w:id="20"/>
    </w:p>
    <w:p w14:paraId="6B43FEEB">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（1）项目实施方案；</w:t>
      </w:r>
    </w:p>
    <w:p w14:paraId="59E58AC5">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（2）项目专业技术设计书；</w:t>
      </w:r>
    </w:p>
    <w:p w14:paraId="518D0C5A">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（3）项目技术总结；</w:t>
      </w:r>
    </w:p>
    <w:p w14:paraId="35E81C27">
      <w:pPr>
        <w:adjustRightInd w:val="0"/>
        <w:snapToGrid w:val="0"/>
        <w:spacing w:line="360" w:lineRule="auto"/>
        <w:ind w:firstLine="400" w:firstLineChars="200"/>
        <w:jc w:val="left"/>
        <w:rPr>
          <w:rFonts w:ascii="仿宋" w:hAnsi="仿宋" w:eastAsia="仿宋" w:cs="仿宋"/>
          <w:sz w:val="20"/>
          <w:szCs w:val="20"/>
        </w:rPr>
      </w:pPr>
      <w:r>
        <w:rPr>
          <w:rFonts w:hint="eastAsia" w:ascii="仿宋" w:hAnsi="仿宋" w:eastAsia="仿宋" w:cs="仿宋"/>
          <w:sz w:val="20"/>
          <w:szCs w:val="20"/>
        </w:rPr>
        <w:t>（4）项目工作总结。</w:t>
      </w:r>
    </w:p>
    <w:p w14:paraId="6F633D1D">
      <w:pPr>
        <w:adjustRightInd w:val="0"/>
        <w:snapToGrid w:val="0"/>
        <w:spacing w:line="360" w:lineRule="auto"/>
        <w:ind w:firstLine="402" w:firstLineChars="200"/>
        <w:jc w:val="left"/>
        <w:rPr>
          <w:rFonts w:ascii="仿宋" w:hAnsi="仿宋" w:eastAsia="仿宋" w:cs="仿宋"/>
          <w:b/>
          <w:bCs/>
          <w:sz w:val="20"/>
          <w:szCs w:val="20"/>
        </w:rPr>
      </w:pPr>
      <w:r>
        <w:rPr>
          <w:rFonts w:hint="eastAsia" w:ascii="仿宋" w:hAnsi="仿宋" w:eastAsia="仿宋" w:cs="仿宋"/>
          <w:b/>
          <w:bCs/>
          <w:sz w:val="20"/>
          <w:szCs w:val="20"/>
        </w:rPr>
        <w:t>七、服务期限</w:t>
      </w:r>
    </w:p>
    <w:p w14:paraId="7A854991">
      <w:r>
        <w:rPr>
          <w:rFonts w:hint="eastAsia" w:ascii="仿宋" w:hAnsi="仿宋" w:eastAsia="仿宋" w:cs="仿宋"/>
          <w:sz w:val="20"/>
          <w:szCs w:val="20"/>
        </w:rPr>
        <w:t>2026年12月31日前完成。</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C914266"/>
    <w:multiLevelType w:val="singleLevel"/>
    <w:tmpl w:val="CC914266"/>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725441"/>
    <w:rsid w:val="4C7254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TML Code"/>
    <w:basedOn w:val="3"/>
    <w:qFormat/>
    <w:uiPriority w:val="0"/>
    <w:rPr>
      <w:rFonts w:ascii="Courier New" w:hAnsi="Courier New"/>
      <w:sz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2026-07-28T09:41:00Z</dcterms:created>
  <dc:creator>德仁招标</dc:creator>
  <cp:lastModifiedBy>德仁招标</cp:lastModifiedBy>
  <dcterms:modified xsi:type="dcterms:W3CDTF">2026-07-28T09:41:29Z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BD1B4CA530844504909AC85A63F245F6_11</vt:lpwstr>
  </property>
  <property fmtid="{D5CDD505-2E9C-101B-9397-08002B2CF9AE}" pid="4" name="KSOTemplateDocerSaveRecord">
    <vt:lpwstr>eyJoZGlkIjoiNzNmNDZlOGE4YzBiODhkNTY3NTdiYjNiMTljZmEwZTciLCJ1c2VySWQiOiIyNzQ5OTcwMTQifQ==</vt:lpwstr>
  </property>
</Properties>
</file>