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版本号：HXGJXM2026-ZC-GK100620260513001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离子减薄仪(二次)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HXGJXM2026-ZC-GK1006</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离子减薄仪(二次)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离子减薄仪(二次)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为提升学校全课程体系的教学实验平台水平，建立现代分析测试中心微纳加工教学模块，拟采购透射电子显微镜制备样品用离子减薄仪1台套。具体要求详见招标文件第三章。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障资金凭证）（法定代表人直接参加投标，须提供法定代表人身份证明及身份证复印件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pPr>
        <w:pStyle w:val="null3"/>
      </w:pPr>
      <w:r>
        <w:rPr>
          <w:rFonts w:ascii="仿宋_GB2312" w:hAnsi="仿宋_GB2312" w:cs="仿宋_GB2312" w:eastAsia="仿宋_GB2312"/>
        </w:rPr>
        <w:t>3、进口产品授权：所投产品为进口产品的，（1）厂家直投：提供制造厂家声明函（格式自拟）；（2）代理商：须提供所投进口产品的制造厂家授权书或总代理商授权书。（注：如提供总代理商授权书的须同时提供该总代理商具有有效授权权限的相关证明文件，证明文件需能显示产品制造厂家对所投产品授权链条的完整性。）国产产品不需要提供。</w:t>
      </w:r>
    </w:p>
    <w:p>
      <w:pPr>
        <w:pStyle w:val="null3"/>
      </w:pPr>
      <w:r>
        <w:rPr>
          <w:rFonts w:ascii="仿宋_GB2312" w:hAnsi="仿宋_GB2312" w:cs="仿宋_GB2312" w:eastAsia="仿宋_GB2312"/>
        </w:rPr>
        <w:t>4、投标保证金：投标保证金缴纳凭证或担保机构出具的保函。</w:t>
      </w:r>
    </w:p>
    <w:p>
      <w:pPr>
        <w:pStyle w:val="null3"/>
      </w:pPr>
      <w:r>
        <w:rPr>
          <w:rFonts w:ascii="仿宋_GB2312" w:hAnsi="仿宋_GB2312" w:cs="仿宋_GB2312" w:eastAsia="仿宋_GB2312"/>
        </w:rPr>
        <w:t>5、非联合体：本项目不接受联合体投标。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张宝育、康敏茹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 。在签订政府采购合同前，中标供应商向采购人缴纳履约保证金，最终验收合格后采购人无息退还。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代理服务费收费标准：采购预算在80万元（含）以上400万元（不含）以下，参照《招标代理服务收费暂行办法》（计价格[2002]1980号）文件及（发改办价格[2011]534号）规定收费标准下浮20%向中标人收取。 开户名称：华夏国际项目管理（西安）有限公司第一分公司 银行账号：78620188000199459 开户行：中国光大银行股份有限公司西安科技六路支行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 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2.若设备验收不合格，乙方应在收到甲方书面通知后 20 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 3.验收依据：招标文件、投标文件及技术澄清文件（函）），《购置合同》（包括合同的配置清单、技术规格资料、技术协议、补充协议等）、装运单据（包括航空、铁路、公路、轮船、邮寄和快递等运单）和装箱清单、报关单据、商检证书等。 4.验收流程： （1）到货初检（采购人、中标人共同参与）： 检查外包装完整性、防伪标识、运输损伤情况； 核对货物型号、数量、规格是否与合同一致； 检查随机文件（合格证、说明书、保修卡等）。 （2）安装调试验收： 按照合同的配置清单、技术规格资料、技术协议、补充协议等进行安装调试； 调试记录完整。 （3）性能测试验收（关键指标实测）： 连续运行120小时无故障； （4）最终验收： 设备安装调试完毕、正常运行3个月后。签署《验收报告》，产品保修期自验收合格之日起算，由中标人提供产品保修文件。 5.中标供应商货物经过双方检验认可后，签署验收报告，产品保修期自验收合格之日起算，由中标供应商提供产品保修文件。当满足以下条件时，采购人才向中标供应商签发货物验收报告： （1）中标供应商已按照合同规定提供了全部产品及完整的技术资料。 （2）货物符合招标文件和投标文件技术规格要求，性能满足要求。 （3）货物具备产品合格证。 （4）货物合格证明； （5）装箱单； （6）货物使用说明书及操作手册（中英文）；（所投产品为进口产品时提供） （7）进口货物报关单；（所投产品为进口产品时提供） （8）其它资料。 6.验收依据： （1）招标文件、投标文件、澄清表（函）； （2）合同及附件文本； （3）国家相应的标准、规范。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联系人：张宝育、康敏茹</w:t>
      </w:r>
    </w:p>
    <w:p>
      <w:pPr>
        <w:pStyle w:val="null3"/>
      </w:pPr>
      <w:r>
        <w:rPr>
          <w:rFonts w:ascii="仿宋_GB2312" w:hAnsi="仿宋_GB2312" w:cs="仿宋_GB2312" w:eastAsia="仿宋_GB2312"/>
        </w:rPr>
        <w:t>联系电话： 029-88899970-808</w:t>
      </w:r>
    </w:p>
    <w:p>
      <w:pPr>
        <w:pStyle w:val="null3"/>
      </w:pPr>
      <w:r>
        <w:rPr>
          <w:rFonts w:ascii="仿宋_GB2312" w:hAnsi="仿宋_GB2312" w:cs="仿宋_GB2312" w:eastAsia="仿宋_GB2312"/>
        </w:rPr>
        <w:t>地址：西安市莲湖区二环南路西段202号九座花园16楼1605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学校全课程体系的教学实验平台水平，建立现代分析测试中心微纳加工教学模块，拟采购透射电子显微镜制备样品用离子减薄仪1台套，仪器用途：金属、陶瓷、玻璃、薄膜、水硬性无机胶凝材料等各种固体材料的TEM样品的制备，FIB制备样品损伤修复抛光，达到透射电镜观察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离子减薄仪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标的名称：离子减薄仪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 工作条件</w:t>
            </w:r>
          </w:p>
          <w:p>
            <w:pPr>
              <w:pStyle w:val="null3"/>
            </w:pPr>
            <w:r>
              <w:rPr>
                <w:rFonts w:ascii="仿宋_GB2312" w:hAnsi="仿宋_GB2312" w:cs="仿宋_GB2312" w:eastAsia="仿宋_GB2312"/>
              </w:rPr>
              <w:t>1</w:t>
            </w:r>
            <w:r>
              <w:rPr>
                <w:rFonts w:ascii="仿宋_GB2312" w:hAnsi="仿宋_GB2312" w:cs="仿宋_GB2312" w:eastAsia="仿宋_GB2312"/>
              </w:rPr>
              <w:t>.1 电力供应：220V（10%），50Hz</w:t>
            </w:r>
          </w:p>
          <w:p>
            <w:pPr>
              <w:pStyle w:val="null3"/>
            </w:pPr>
            <w:r>
              <w:rPr>
                <w:rFonts w:ascii="仿宋_GB2312" w:hAnsi="仿宋_GB2312" w:cs="仿宋_GB2312" w:eastAsia="仿宋_GB2312"/>
                <w:sz w:val="21"/>
                <w:color w:val="000000"/>
              </w:rPr>
              <w:t>1</w:t>
            </w:r>
            <w:r>
              <w:rPr>
                <w:rFonts w:ascii="仿宋_GB2312" w:hAnsi="仿宋_GB2312" w:cs="仿宋_GB2312" w:eastAsia="仿宋_GB2312"/>
              </w:rPr>
              <w:t>.2 工作温度：15℃-25℃；工作湿度：&lt; 60%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w:t>
            </w:r>
            <w:r>
              <w:rPr>
                <w:rFonts w:ascii="仿宋_GB2312" w:hAnsi="仿宋_GB2312" w:cs="仿宋_GB2312" w:eastAsia="仿宋_GB2312"/>
              </w:rPr>
              <w:t>. 技术要求</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.1.离子枪：两支独立可调节的全电磁线圈聚焦氩离子枪，无永磁体，离子枪无任何耗材；</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 xml:space="preserve"> </w:t>
            </w:r>
            <w:r>
              <w:rPr>
                <w:rFonts w:ascii="仿宋_GB2312" w:hAnsi="仿宋_GB2312" w:cs="仿宋_GB2312" w:eastAsia="仿宋_GB2312"/>
              </w:rPr>
              <w:t>离子枪调节范围：工作角度不小于</w:t>
            </w:r>
            <w:r>
              <w:rPr>
                <w:rFonts w:ascii="仿宋_GB2312" w:hAnsi="仿宋_GB2312" w:cs="仿宋_GB2312" w:eastAsia="仿宋_GB2312"/>
              </w:rPr>
              <w:t>-15° ~ +10°，可调节，调节步进：≤1°；</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 加速电压范围：具备低能力和高能量离子束，低能量≤ 100eV，高能量≥</w:t>
            </w:r>
            <w:r>
              <w:rPr>
                <w:rFonts w:ascii="仿宋_GB2312" w:hAnsi="仿宋_GB2312" w:cs="仿宋_GB2312" w:eastAsia="仿宋_GB2312"/>
              </w:rPr>
              <w:t>1</w:t>
            </w:r>
            <w:r>
              <w:rPr>
                <w:rFonts w:ascii="仿宋_GB2312" w:hAnsi="仿宋_GB2312" w:cs="仿宋_GB2312" w:eastAsia="仿宋_GB2312"/>
              </w:rPr>
              <w:t>0 KeV；，满足高电压快速减薄，低电压精细修复，步进≤0.1keV；</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 xml:space="preserve"> </w:t>
            </w:r>
            <w:r>
              <w:rPr>
                <w:rFonts w:ascii="仿宋_GB2312" w:hAnsi="仿宋_GB2312" w:cs="仿宋_GB2312" w:eastAsia="仿宋_GB2312"/>
              </w:rPr>
              <w:t>光束直径：</w:t>
            </w:r>
            <w:r>
              <w:rPr>
                <w:rFonts w:ascii="仿宋_GB2312" w:hAnsi="仿宋_GB2312" w:cs="仿宋_GB2312" w:eastAsia="仿宋_GB2312"/>
              </w:rPr>
              <w:t>300μm到5mm，可连续调节；</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 xml:space="preserve"> </w:t>
            </w:r>
            <w:r>
              <w:rPr>
                <w:rFonts w:ascii="仿宋_GB2312" w:hAnsi="仿宋_GB2312" w:cs="仿宋_GB2312" w:eastAsia="仿宋_GB2312"/>
              </w:rPr>
              <w:t>离子电流密度：</w:t>
            </w:r>
            <w:r>
              <w:rPr>
                <w:rFonts w:ascii="仿宋_GB2312" w:hAnsi="仿宋_GB2312" w:cs="仿宋_GB2312" w:eastAsia="仿宋_GB2312"/>
              </w:rPr>
              <w:t>≥ 10 mA/cm</w:t>
            </w:r>
            <w:r>
              <w:rPr>
                <w:rFonts w:ascii="仿宋_GB2312" w:hAnsi="仿宋_GB2312" w:cs="仿宋_GB2312" w:eastAsia="仿宋_GB2312"/>
                <w:sz w:val="20"/>
                <w:vertAlign w:val="superscript"/>
              </w:rPr>
              <w:t>2</w:t>
            </w:r>
            <w:r>
              <w:rPr>
                <w:rFonts w:ascii="仿宋_GB2312" w:hAnsi="仿宋_GB2312" w:cs="仿宋_GB2312" w:eastAsia="仿宋_GB2312"/>
              </w:rPr>
              <w:t>，连续可调。可选择单个或者两个离子枪工作，每个离子枪都有独立法拉第杯直接检测电子束流值，检测精度：</w:t>
            </w:r>
            <w:r>
              <w:rPr>
                <w:rFonts w:ascii="仿宋_GB2312" w:hAnsi="仿宋_GB2312" w:cs="仿宋_GB2312" w:eastAsia="仿宋_GB2312"/>
              </w:rPr>
              <w:t>≤0.1μA；</w:t>
            </w:r>
          </w:p>
          <w:p>
            <w:pPr>
              <w:pStyle w:val="null3"/>
            </w:pPr>
            <w:r>
              <w:rPr>
                <w:rFonts w:ascii="仿宋_GB2312" w:hAnsi="仿宋_GB2312" w:cs="仿宋_GB2312" w:eastAsia="仿宋_GB2312"/>
              </w:rPr>
              <w:t>2</w:t>
            </w:r>
            <w:r>
              <w:rPr>
                <w:rFonts w:ascii="仿宋_GB2312" w:hAnsi="仿宋_GB2312" w:cs="仿宋_GB2312" w:eastAsia="仿宋_GB2312"/>
              </w:rPr>
              <w:t>.6 真空系统：配置双级泵，无油机械泵和不低于80L/s涡轮分子泵，真空度优于4×10</w:t>
            </w:r>
            <w:r>
              <w:rPr>
                <w:rFonts w:ascii="仿宋_GB2312" w:hAnsi="仿宋_GB2312" w:cs="仿宋_GB2312" w:eastAsia="仿宋_GB2312"/>
                <w:vertAlign w:val="superscript"/>
              </w:rPr>
              <w:t>-4</w:t>
            </w:r>
            <w:r>
              <w:rPr>
                <w:rFonts w:ascii="仿宋_GB2312" w:hAnsi="仿宋_GB2312" w:cs="仿宋_GB2312" w:eastAsia="仿宋_GB2312"/>
              </w:rPr>
              <w:t xml:space="preserve"> </w:t>
            </w:r>
            <w:r>
              <w:rPr>
                <w:rFonts w:ascii="仿宋_GB2312" w:hAnsi="仿宋_GB2312" w:cs="仿宋_GB2312" w:eastAsia="仿宋_GB2312"/>
              </w:rPr>
              <w:t>Pa；</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 xml:space="preserve"> </w:t>
            </w:r>
            <w:r>
              <w:rPr>
                <w:rFonts w:ascii="仿宋_GB2312" w:hAnsi="仿宋_GB2312" w:cs="仿宋_GB2312" w:eastAsia="仿宋_GB2312"/>
              </w:rPr>
              <w:t>试样台：位置校正</w:t>
            </w:r>
            <w:r>
              <w:rPr>
                <w:rFonts w:ascii="仿宋_GB2312" w:hAnsi="仿宋_GB2312" w:cs="仿宋_GB2312" w:eastAsia="仿宋_GB2312"/>
              </w:rPr>
              <w:t>±0.5cm，能够水平360度连续旋转，同时可进行摇摆，摇摆角度：±0~180°；</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 xml:space="preserve"> </w:t>
            </w:r>
            <w:r>
              <w:rPr>
                <w:rFonts w:ascii="仿宋_GB2312" w:hAnsi="仿宋_GB2312" w:cs="仿宋_GB2312" w:eastAsia="仿宋_GB2312"/>
              </w:rPr>
              <w:t>用户界面：触摸屏内嵌式用户界面，具备配方式自动加工功能，同时具备黑匣子事件记录器，可记录仪器故障信息，为设备后续维修提供精准判断依据；</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.9 配备预换样室设计，换样时间小于1min；</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.10 减薄速度：≥40μm/Hr(Cu)；</w:t>
            </w:r>
          </w:p>
          <w:p>
            <w:pPr>
              <w:pStyle w:val="null3"/>
            </w:pPr>
            <w:r>
              <w:rPr>
                <w:rFonts w:ascii="仿宋_GB2312" w:hAnsi="仿宋_GB2312" w:cs="仿宋_GB2312" w:eastAsia="仿宋_GB2312"/>
              </w:rPr>
              <w:t>2</w:t>
            </w:r>
            <w:r>
              <w:rPr>
                <w:rFonts w:ascii="仿宋_GB2312" w:hAnsi="仿宋_GB2312" w:cs="仿宋_GB2312" w:eastAsia="仿宋_GB2312"/>
              </w:rPr>
              <w:t>.11 控制系统：可实现配方编程控制，触屏尺寸</w:t>
            </w:r>
            <w:r>
              <w:rPr>
                <w:rFonts w:ascii="仿宋_GB2312" w:hAnsi="仿宋_GB2312" w:cs="仿宋_GB2312" w:eastAsia="仿宋_GB2312"/>
              </w:rPr>
              <w:t>≥</w:t>
            </w:r>
            <w:r>
              <w:rPr>
                <w:rFonts w:ascii="仿宋_GB2312" w:hAnsi="仿宋_GB2312" w:cs="仿宋_GB2312" w:eastAsia="仿宋_GB2312"/>
              </w:rPr>
              <w:t>10英寸；</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.12 具备系统自检功能及事件记录器，实时诊断设备状态及设备操作记录；</w:t>
            </w:r>
          </w:p>
          <w:p>
            <w:pPr>
              <w:pStyle w:val="null3"/>
            </w:pPr>
            <w:r>
              <w:rPr>
                <w:rFonts w:ascii="仿宋_GB2312" w:hAnsi="仿宋_GB2312" w:cs="仿宋_GB2312" w:eastAsia="仿宋_GB2312"/>
              </w:rPr>
              <w:t>2</w:t>
            </w:r>
            <w:r>
              <w:rPr>
                <w:rFonts w:ascii="仿宋_GB2312" w:hAnsi="仿宋_GB2312" w:cs="仿宋_GB2312" w:eastAsia="仿宋_GB2312"/>
              </w:rPr>
              <w:t>.13 配备专业光学显微镜，放大倍数≥40。</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.14 配备液氮冷台及控温系统，温度调节范围-170℃~室温连续可调，控温精度≤±1℃，一次加注可持续制冷</w:t>
            </w:r>
            <w:r>
              <w:rPr>
                <w:rFonts w:ascii="仿宋_GB2312" w:hAnsi="仿宋_GB2312" w:cs="仿宋_GB2312" w:eastAsia="仿宋_GB2312"/>
              </w:rPr>
              <w:t>≥</w:t>
            </w:r>
            <w:r>
              <w:rPr>
                <w:rFonts w:ascii="仿宋_GB2312" w:hAnsi="仿宋_GB2312" w:cs="仿宋_GB2312" w:eastAsia="仿宋_GB2312"/>
              </w:rPr>
              <w:t>15小</w:t>
            </w:r>
            <w:r>
              <w:rPr>
                <w:rFonts w:ascii="仿宋_GB2312" w:hAnsi="仿宋_GB2312" w:cs="仿宋_GB2312" w:eastAsia="仿宋_GB2312"/>
              </w:rPr>
              <w:t>时。</w:t>
            </w:r>
          </w:p>
          <w:p>
            <w:pPr>
              <w:pStyle w:val="null3"/>
            </w:pPr>
            <w:r>
              <w:rPr>
                <w:rFonts w:ascii="仿宋_GB2312" w:hAnsi="仿宋_GB2312" w:cs="仿宋_GB2312" w:eastAsia="仿宋_GB2312"/>
              </w:rPr>
              <w:t>2.15 可对 FIB 制备的透射样品进行抛光。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w:t>
            </w:r>
            <w:r>
              <w:rPr>
                <w:rFonts w:ascii="仿宋_GB2312" w:hAnsi="仿宋_GB2312" w:cs="仿宋_GB2312" w:eastAsia="仿宋_GB2312"/>
              </w:rPr>
              <w:t>. 附属设备</w:t>
            </w:r>
          </w:p>
          <w:p>
            <w:pPr>
              <w:pStyle w:val="null3"/>
            </w:pPr>
            <w:r>
              <w:rPr>
                <w:rFonts w:ascii="仿宋_GB2312" w:hAnsi="仿宋_GB2312" w:cs="仿宋_GB2312" w:eastAsia="仿宋_GB2312"/>
              </w:rPr>
              <w:t>3</w:t>
            </w:r>
            <w:r>
              <w:rPr>
                <w:rFonts w:ascii="仿宋_GB2312" w:hAnsi="仿宋_GB2312" w:cs="仿宋_GB2312" w:eastAsia="仿宋_GB2312"/>
              </w:rPr>
              <w:t>.1 电解抛光仪</w:t>
            </w:r>
          </w:p>
          <w:p>
            <w:pPr>
              <w:pStyle w:val="null3"/>
            </w:pPr>
            <w:r>
              <w:rPr>
                <w:rFonts w:ascii="仿宋_GB2312" w:hAnsi="仿宋_GB2312" w:cs="仿宋_GB2312" w:eastAsia="仿宋_GB2312"/>
              </w:rPr>
              <w:t>3</w:t>
            </w:r>
            <w:r>
              <w:rPr>
                <w:rFonts w:ascii="仿宋_GB2312" w:hAnsi="仿宋_GB2312" w:cs="仿宋_GB2312" w:eastAsia="仿宋_GB2312"/>
              </w:rPr>
              <w:t>.1.1 可对试样进行抛光及腐蚀，具有电流电压双显示功能；</w:t>
            </w:r>
          </w:p>
          <w:p>
            <w:pPr>
              <w:pStyle w:val="null3"/>
            </w:pPr>
            <w:r>
              <w:rPr>
                <w:rFonts w:ascii="仿宋_GB2312" w:hAnsi="仿宋_GB2312" w:cs="仿宋_GB2312" w:eastAsia="仿宋_GB2312"/>
              </w:rPr>
              <w:t>3</w:t>
            </w:r>
            <w:r>
              <w:rPr>
                <w:rFonts w:ascii="仿宋_GB2312" w:hAnsi="仿宋_GB2312" w:cs="仿宋_GB2312" w:eastAsia="仿宋_GB2312"/>
              </w:rPr>
              <w:t>.1.2 输出电压：0-60V</w:t>
            </w:r>
            <w:r>
              <w:rPr>
                <w:rFonts w:ascii="仿宋_GB2312" w:hAnsi="仿宋_GB2312" w:cs="仿宋_GB2312" w:eastAsia="仿宋_GB2312"/>
              </w:rPr>
              <w:t>；</w:t>
            </w:r>
            <w:r>
              <w:rPr>
                <w:rFonts w:ascii="仿宋_GB2312" w:hAnsi="仿宋_GB2312" w:cs="仿宋_GB2312" w:eastAsia="仿宋_GB2312"/>
              </w:rPr>
              <w:t>输出电流：</w:t>
            </w:r>
            <w:r>
              <w:rPr>
                <w:rFonts w:ascii="仿宋_GB2312" w:hAnsi="仿宋_GB2312" w:cs="仿宋_GB2312" w:eastAsia="仿宋_GB2312"/>
              </w:rPr>
              <w:t>0-6A。</w:t>
            </w:r>
          </w:p>
          <w:p>
            <w:pPr>
              <w:pStyle w:val="null3"/>
            </w:pPr>
            <w:r>
              <w:rPr>
                <w:rFonts w:ascii="仿宋_GB2312" w:hAnsi="仿宋_GB2312" w:cs="仿宋_GB2312" w:eastAsia="仿宋_GB2312"/>
              </w:rPr>
              <w:t>3</w:t>
            </w:r>
            <w:r>
              <w:rPr>
                <w:rFonts w:ascii="仿宋_GB2312" w:hAnsi="仿宋_GB2312" w:cs="仿宋_GB2312" w:eastAsia="仿宋_GB2312"/>
              </w:rPr>
              <w:t>.2 真空冷镶嵌机</w:t>
            </w:r>
          </w:p>
          <w:p>
            <w:pPr>
              <w:pStyle w:val="null3"/>
            </w:pPr>
            <w:r>
              <w:rPr>
                <w:rFonts w:ascii="仿宋_GB2312" w:hAnsi="仿宋_GB2312" w:cs="仿宋_GB2312" w:eastAsia="仿宋_GB2312"/>
              </w:rPr>
              <w:t>3</w:t>
            </w:r>
            <w:r>
              <w:rPr>
                <w:rFonts w:ascii="仿宋_GB2312" w:hAnsi="仿宋_GB2312" w:cs="仿宋_GB2312" w:eastAsia="仿宋_GB2312"/>
              </w:rPr>
              <w:t>.2.1 用于各种样品的冷镶嵌，载样旋转盘直径：≥Ø230mm；</w:t>
            </w:r>
          </w:p>
          <w:p>
            <w:pPr>
              <w:pStyle w:val="null3"/>
            </w:pPr>
            <w:r>
              <w:rPr>
                <w:rFonts w:ascii="仿宋_GB2312" w:hAnsi="仿宋_GB2312" w:cs="仿宋_GB2312" w:eastAsia="仿宋_GB2312"/>
              </w:rPr>
              <w:t>3</w:t>
            </w:r>
            <w:r>
              <w:rPr>
                <w:rFonts w:ascii="仿宋_GB2312" w:hAnsi="仿宋_GB2312" w:cs="仿宋_GB2312" w:eastAsia="仿宋_GB2312"/>
              </w:rPr>
              <w:t>.2.2 最大真空度：≤-0.08MPa；</w:t>
            </w:r>
          </w:p>
          <w:p>
            <w:pPr>
              <w:pStyle w:val="null3"/>
            </w:pPr>
            <w:r>
              <w:rPr>
                <w:rFonts w:ascii="仿宋_GB2312" w:hAnsi="仿宋_GB2312" w:cs="仿宋_GB2312" w:eastAsia="仿宋_GB2312"/>
              </w:rPr>
              <w:t>3</w:t>
            </w:r>
            <w:r>
              <w:rPr>
                <w:rFonts w:ascii="仿宋_GB2312" w:hAnsi="仿宋_GB2312" w:cs="仿宋_GB2312" w:eastAsia="仿宋_GB2312"/>
              </w:rPr>
              <w:t>.3 真空干燥箱</w:t>
            </w:r>
          </w:p>
          <w:p>
            <w:pPr>
              <w:pStyle w:val="null3"/>
            </w:pPr>
            <w:r>
              <w:rPr>
                <w:rFonts w:ascii="仿宋_GB2312" w:hAnsi="仿宋_GB2312" w:cs="仿宋_GB2312" w:eastAsia="仿宋_GB2312"/>
              </w:rPr>
              <w:t>3</w:t>
            </w:r>
            <w:r>
              <w:rPr>
                <w:rFonts w:ascii="仿宋_GB2312" w:hAnsi="仿宋_GB2312" w:cs="仿宋_GB2312" w:eastAsia="仿宋_GB2312"/>
              </w:rPr>
              <w:t>.3.1 容量≥50L，真空度≤133Pa；</w:t>
            </w:r>
          </w:p>
          <w:p>
            <w:pPr>
              <w:pStyle w:val="null3"/>
            </w:pPr>
            <w:r>
              <w:rPr>
                <w:rFonts w:ascii="仿宋_GB2312" w:hAnsi="仿宋_GB2312" w:cs="仿宋_GB2312" w:eastAsia="仿宋_GB2312"/>
              </w:rPr>
              <w:t>3</w:t>
            </w:r>
            <w:r>
              <w:rPr>
                <w:rFonts w:ascii="仿宋_GB2312" w:hAnsi="仿宋_GB2312" w:cs="仿宋_GB2312" w:eastAsia="仿宋_GB2312"/>
              </w:rPr>
              <w:t>.3.2 温控范围满足：10～250℃；</w:t>
            </w:r>
          </w:p>
          <w:p>
            <w:pPr>
              <w:pStyle w:val="null3"/>
            </w:pPr>
            <w:r>
              <w:rPr>
                <w:rFonts w:ascii="仿宋_GB2312" w:hAnsi="仿宋_GB2312" w:cs="仿宋_GB2312" w:eastAsia="仿宋_GB2312"/>
              </w:rPr>
              <w:t>3</w:t>
            </w:r>
            <w:r>
              <w:rPr>
                <w:rFonts w:ascii="仿宋_GB2312" w:hAnsi="仿宋_GB2312" w:cs="仿宋_GB2312" w:eastAsia="仿宋_GB2312"/>
              </w:rPr>
              <w:t>.4 高性能离子溅射镀膜仪</w:t>
            </w:r>
          </w:p>
          <w:p>
            <w:pPr>
              <w:pStyle w:val="null3"/>
            </w:pPr>
            <w:r>
              <w:rPr>
                <w:rFonts w:ascii="仿宋_GB2312" w:hAnsi="仿宋_GB2312" w:cs="仿宋_GB2312" w:eastAsia="仿宋_GB2312"/>
              </w:rPr>
              <w:t>3</w:t>
            </w:r>
            <w:r>
              <w:rPr>
                <w:rFonts w:ascii="仿宋_GB2312" w:hAnsi="仿宋_GB2312" w:cs="仿宋_GB2312" w:eastAsia="仿宋_GB2312"/>
              </w:rPr>
              <w:t>.4.1 通过单点触摸操作预设配置镀膜程序；</w:t>
            </w:r>
          </w:p>
          <w:p>
            <w:pPr>
              <w:pStyle w:val="null3"/>
            </w:pPr>
            <w:r>
              <w:rPr>
                <w:rFonts w:ascii="仿宋_GB2312" w:hAnsi="仿宋_GB2312" w:cs="仿宋_GB2312" w:eastAsia="仿宋_GB2312"/>
              </w:rPr>
              <w:t>3</w:t>
            </w:r>
            <w:r>
              <w:rPr>
                <w:rFonts w:ascii="仿宋_GB2312" w:hAnsi="仿宋_GB2312" w:cs="仿宋_GB2312" w:eastAsia="仿宋_GB2312"/>
              </w:rPr>
              <w:t>.4.2 溅射头采用铰链式；</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.4.3 配备安全互锁装置；</w:t>
            </w:r>
          </w:p>
          <w:p>
            <w:pPr>
              <w:pStyle w:val="null3"/>
            </w:pPr>
            <w:r>
              <w:rPr>
                <w:rFonts w:ascii="仿宋_GB2312" w:hAnsi="仿宋_GB2312" w:cs="仿宋_GB2312" w:eastAsia="仿宋_GB2312"/>
              </w:rPr>
              <w:t>3</w:t>
            </w:r>
            <w:r>
              <w:rPr>
                <w:rFonts w:ascii="仿宋_GB2312" w:hAnsi="仿宋_GB2312" w:cs="仿宋_GB2312" w:eastAsia="仿宋_GB2312"/>
              </w:rPr>
              <w:t>.4.4 带内爆防护装置和顶板的可拆卸式腔室；</w:t>
            </w:r>
          </w:p>
          <w:p>
            <w:pPr>
              <w:pStyle w:val="null3"/>
            </w:pPr>
            <w:r>
              <w:rPr>
                <w:rFonts w:ascii="仿宋_GB2312" w:hAnsi="仿宋_GB2312" w:cs="仿宋_GB2312" w:eastAsia="仿宋_GB2312"/>
              </w:rPr>
              <w:t>3</w:t>
            </w:r>
            <w:r>
              <w:rPr>
                <w:rFonts w:ascii="仿宋_GB2312" w:hAnsi="仿宋_GB2312" w:cs="仿宋_GB2312" w:eastAsia="仿宋_GB2312"/>
              </w:rPr>
              <w:t>.4.5 可快速更换腔室以避免溅射不同材质靶材时交叉污染；</w:t>
            </w:r>
          </w:p>
          <w:p>
            <w:pPr>
              <w:pStyle w:val="null3"/>
            </w:pPr>
            <w:r>
              <w:rPr>
                <w:rFonts w:ascii="仿宋_GB2312" w:hAnsi="仿宋_GB2312" w:cs="仿宋_GB2312" w:eastAsia="仿宋_GB2312"/>
              </w:rPr>
              <w:t>3.4.6 最大样品直径≥50mm；</w:t>
            </w:r>
          </w:p>
          <w:p>
            <w:pPr>
              <w:pStyle w:val="null3"/>
            </w:pPr>
            <w:r>
              <w:rPr>
                <w:rFonts w:ascii="仿宋_GB2312" w:hAnsi="仿宋_GB2312" w:cs="仿宋_GB2312" w:eastAsia="仿宋_GB2312"/>
              </w:rPr>
              <w:t>3.4.7 靶材：配备  Ø57 mm Pt靶2块。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600"/>
            </w:pPr>
            <w:r>
              <w:rPr>
                <w:rFonts w:ascii="仿宋_GB2312" w:hAnsi="仿宋_GB2312" w:cs="仿宋_GB2312" w:eastAsia="仿宋_GB2312"/>
              </w:rPr>
              <w:t>备注：</w:t>
            </w:r>
            <w:r>
              <w:rPr>
                <w:rFonts w:ascii="仿宋_GB2312" w:hAnsi="仿宋_GB2312" w:cs="仿宋_GB2312" w:eastAsia="仿宋_GB2312"/>
              </w:rPr>
              <w:t>标</w:t>
            </w:r>
            <w:r>
              <w:rPr>
                <w:rFonts w:ascii="仿宋_GB2312" w:hAnsi="仿宋_GB2312" w:cs="仿宋_GB2312" w:eastAsia="仿宋_GB2312"/>
                <w:sz w:val="22"/>
              </w:rPr>
              <w:t>★</w:t>
            </w:r>
            <w:r>
              <w:rPr>
                <w:rFonts w:ascii="仿宋_GB2312" w:hAnsi="仿宋_GB2312" w:cs="仿宋_GB2312" w:eastAsia="仿宋_GB2312"/>
              </w:rPr>
              <w:t>项，</w:t>
            </w:r>
            <w:r>
              <w:rPr>
                <w:rFonts w:ascii="仿宋_GB2312" w:hAnsi="仿宋_GB2312" w:cs="仿宋_GB2312" w:eastAsia="仿宋_GB2312"/>
              </w:rPr>
              <w:t>必须</w:t>
            </w:r>
            <w:r>
              <w:rPr>
                <w:rFonts w:ascii="仿宋_GB2312" w:hAnsi="仿宋_GB2312" w:cs="仿宋_GB2312" w:eastAsia="仿宋_GB2312"/>
              </w:rPr>
              <w:t>提供佐证材料，</w:t>
            </w:r>
            <w:r>
              <w:rPr>
                <w:rFonts w:ascii="仿宋_GB2312" w:hAnsi="仿宋_GB2312" w:cs="仿宋_GB2312" w:eastAsia="仿宋_GB2312"/>
              </w:rPr>
              <w:t>否则视为无效投标。佐证材料</w:t>
            </w:r>
            <w:r>
              <w:rPr>
                <w:rFonts w:ascii="仿宋_GB2312" w:hAnsi="仿宋_GB2312" w:cs="仿宋_GB2312" w:eastAsia="仿宋_GB2312"/>
              </w:rPr>
              <w:t>包括</w:t>
            </w:r>
            <w:r>
              <w:rPr>
                <w:rFonts w:ascii="仿宋_GB2312" w:hAnsi="仿宋_GB2312" w:cs="仿宋_GB2312" w:eastAsia="仿宋_GB2312"/>
              </w:rPr>
              <w:t>但</w:t>
            </w:r>
            <w:r>
              <w:rPr>
                <w:rFonts w:ascii="仿宋_GB2312" w:hAnsi="仿宋_GB2312" w:cs="仿宋_GB2312" w:eastAsia="仿宋_GB2312"/>
              </w:rPr>
              <w:t>不限于</w:t>
            </w:r>
            <w:r>
              <w:rPr>
                <w:rFonts w:ascii="仿宋_GB2312" w:hAnsi="仿宋_GB2312" w:cs="仿宋_GB2312" w:eastAsia="仿宋_GB2312"/>
              </w:rPr>
              <w:t>产品</w:t>
            </w:r>
            <w:r>
              <w:rPr>
                <w:rFonts w:ascii="仿宋_GB2312" w:hAnsi="仿宋_GB2312" w:cs="仿宋_GB2312" w:eastAsia="仿宋_GB2312"/>
              </w:rPr>
              <w:t>说明书</w:t>
            </w:r>
            <w:r>
              <w:rPr>
                <w:rFonts w:ascii="仿宋_GB2312" w:hAnsi="仿宋_GB2312" w:cs="仿宋_GB2312" w:eastAsia="仿宋_GB2312"/>
              </w:rPr>
              <w:t>或产品</w:t>
            </w:r>
            <w:r>
              <w:rPr>
                <w:rFonts w:ascii="仿宋_GB2312" w:hAnsi="仿宋_GB2312" w:cs="仿宋_GB2312" w:eastAsia="仿宋_GB2312"/>
              </w:rPr>
              <w:t>彩页或</w:t>
            </w:r>
            <w:r>
              <w:rPr>
                <w:rFonts w:ascii="仿宋_GB2312" w:hAnsi="仿宋_GB2312" w:cs="仿宋_GB2312" w:eastAsia="仿宋_GB2312"/>
              </w:rPr>
              <w:t>官网截图或</w:t>
            </w:r>
            <w:r>
              <w:rPr>
                <w:rFonts w:ascii="仿宋_GB2312" w:hAnsi="仿宋_GB2312" w:cs="仿宋_GB2312" w:eastAsia="仿宋_GB2312"/>
              </w:rPr>
              <w:t>测试结果等。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国产设备：合同签订后，30个日历日完成供货、安装、调试完成并交付使用。 进口设备：合同签订后，90个日历日完成供货、安装、调试完成并交付使用。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西安理工大学金花校区现代分析测试中心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国产产品：合同签订后，乙方按照合同规定期限内供货、调试完成，经甲方最终验收合格并签署《验收合格确认书》后7个工作日内，向乙方支付全部合同款项。乙方应在甲方付款前，向甲方开具全额合法有效的增值税专用发票。 进口产品：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日内，支付合同总金额的100.00%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 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2.若设备验收不合格，乙方应在收到甲方书面通知后 20 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 3.验收依据：招标文件、投标文件及技术澄清文件（函）），《购置合同》（包括合同的配置清单、技术规格资料、技术协议、补充协议等）、装运单据（包括航空、铁路、公路、轮船、邮寄和快递等运单）和装箱清单、报关单据、商检证书等。 4.验收流程： （1）到货初检（采购人、中标人共同参与）： 检查外包装完整性、防伪标识、运输损伤情况； 核对货物型号、数量、规格是否与合同一致； 检查随机文件（合格证、说明书、保修卡等）。 （2）安装调试验收： 按照合同的配置清单、技术规格资料、技术协议、补充协议等进行安装调试； 调试记录完整。 （3）性能测试验收（关键指标实测）： 连续运行120小时无故障； （4）最终验收： 设备安装调试完毕、正常运行3个月后。签署《验收报告》，产品保修期自验收合格之日起算，由中标人提供产品保修文件。 5.中标供应商货物经过双方检验认可后，签署验收报告，产品保修期自验收合格之日起算，由中标供应商提供产品保修文件。当满足以下条件时，采购人才向中标供应商签发货物验收报告： （1）中标供应商已按照合同规定提供了全部产品及完整的技术资料。 （2）货物符合招标文件和投标文件技术规格要求，性能满足要求。 （3）货物具备产品合格证。 （4）货物合格证明； （5）装箱单； （6）货物使用说明书及操作手册（中英文）；（所投产品为进口产品时提供） （7）进口货物报关单；（所投产品为进口产品时提供） （8）其它资料。 6.验收依据： （1）招标文件、投标文件、澄清表（函）；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1.合同标的物必须为全新未使用过的、来源合法，符合国家或有关行业质量标准，且完全符合本合同及附件约定的技术参数、规格型号要求。 2.合同标的物自验收合格之日起质保期不低于 1 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 3.质保期自甲方在货物质量验收合格之日起计算。质保期内出现任何非人为故意损坏的质量问题，由乙方负责维修或更换，并承担维修或更换的全部费用。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 2.甲乙双方必须遵守本合同并执行合同中的各项规定，保证本合同的正常履行； 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4.未按合同要求提供设备或提供的设备质量或规格不能满足技术要求，甲方有权终止合同并对乙方违约行为进行追究，同时按政府采购法的有关规定进行相应的处罚； 5.若乙方发生延迟交货，每延迟1日，应向甲方支付合同总金额1‰的违约金；延迟超过15日的，甲方有权单方解除合同，并要求乙方支付合同总金额20%的违约金，如该违约金不足以弥补甲方损失的，乙方还应予以赔偿。 6.招标文件、投标文件规定的其他违约情形； 7.其他：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 解决争议的方法： 合同履行过程中出现争议时，由双方友好协商解决。协商不成，向甲方所在地有管辖权的人民法院提起诉讼。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其他要求因电子投标系统限制，内容详见附件。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(1)主体资格：提供合格有效的法人或者其他组织的营业执 照等证明文件，自然人的身份证明； 供应商是法人或其他组织的应提供营业执照等证明文件，供应商是自然人的应提供有效的自然人身份证明。 (2)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 (3)税收证明：提供递交投标文件截止之日前一年内任意一个月的依法缴纳税收的完税证明，完税证明应有税务机关或代收机关的公章或业务专用章。依法免税或无须缴纳税收的供应商，应提供相应证明文件。 (4)社保证明：提供投标截止日前一年内已缴存的至少一个月的社会保障资金缴存单据或社保机构开具的社会保险参保缴费情况证明，依法不需要缴纳社会保障资金的单位应提供相关证明材料。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其他资料.docx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其他资料.docx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障资金凭证）（法定代表人直接参加投标，须提供法定代表人身份证明及身份证复印件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进口产品授权</w:t>
            </w:r>
          </w:p>
        </w:tc>
        <w:tc>
          <w:tcPr>
            <w:tcW w:type="dxa" w:w="3322"/>
          </w:tcPr>
          <w:p>
            <w:pPr>
              <w:pStyle w:val="null3"/>
            </w:pPr>
            <w:r>
              <w:rPr>
                <w:rFonts w:ascii="仿宋_GB2312" w:hAnsi="仿宋_GB2312" w:cs="仿宋_GB2312" w:eastAsia="仿宋_GB2312"/>
              </w:rPr>
              <w:t>所投产品为进口产品的，（1）厂家直投：提供制造厂家声明函（格式自拟）；（2）代理商：须提供所投进口产品的制造厂家授权书或总代理商授权书。（注：如提供总代理商授权书的须同时提供该总代理商具有有效授权权限的相关证明文件，证明文件需能显示产品制造厂家对所投产品授权链条的完整性。）国产产品不需要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投标文件签署盖章符合招标文件要求</w:t>
            </w:r>
          </w:p>
        </w:tc>
        <w:tc>
          <w:tcPr>
            <w:tcW w:type="dxa" w:w="1661"/>
          </w:tcPr>
          <w:p>
            <w:pPr>
              <w:pStyle w:val="null3"/>
            </w:pPr>
            <w:r>
              <w:rPr>
                <w:rFonts w:ascii="仿宋_GB2312" w:hAnsi="仿宋_GB2312" w:cs="仿宋_GB2312" w:eastAsia="仿宋_GB2312"/>
              </w:rPr>
              <w:t>开标一览表 投标报价表.docx 中小企业声明函 供应商承诺书.docx 资格证明文件.docx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开标一览表 投标报价表.docx 中小企业声明函 供应商承诺书.docx 资格证明文件.docx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按招标文件要求报价，不得提交选择性报价，且每轮报价不超过采购预算金额及最高限价。</w:t>
            </w:r>
          </w:p>
        </w:tc>
        <w:tc>
          <w:tcPr>
            <w:tcW w:type="dxa" w:w="1661"/>
          </w:tcPr>
          <w:p>
            <w:pPr>
              <w:pStyle w:val="null3"/>
            </w:pPr>
            <w:r>
              <w:rPr>
                <w:rFonts w:ascii="仿宋_GB2312" w:hAnsi="仿宋_GB2312" w:cs="仿宋_GB2312" w:eastAsia="仿宋_GB2312"/>
              </w:rPr>
              <w:t>开标一览表 投标报价表.docx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投标方案说明书.docx 开标一览表 投标函 中小企业声明函 残疾人福利性单位声明函 标的清单 其他资料.docx 投标文件封面 供应商承诺书.docx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投标方案说明书.docx 开标一览表 投标函 中小企业声明函 残疾人福利性单位声明函 标的清单 其他资料.docx 投标文件封面 供应商承诺书.docx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投标方案说明书.docx 投标报价表.docx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投标报价表.docx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应满足招标文件中要求的保修期</w:t>
            </w:r>
          </w:p>
        </w:tc>
        <w:tc>
          <w:tcPr>
            <w:tcW w:type="dxa" w:w="1661"/>
          </w:tcPr>
          <w:p>
            <w:pPr>
              <w:pStyle w:val="null3"/>
            </w:pPr>
            <w:r>
              <w:rPr>
                <w:rFonts w:ascii="仿宋_GB2312" w:hAnsi="仿宋_GB2312" w:cs="仿宋_GB2312" w:eastAsia="仿宋_GB2312"/>
              </w:rPr>
              <w:t>投标报价表.docx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 投标报价表.docx 中小企业声明函 资格证明文件.docx 供应商承诺书.docx 技术规格响应表.docx 投标方案说明书.docx 投标函 残疾人福利性单位声明函 标的清单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技术参数与性能指标</w:t>
            </w:r>
          </w:p>
        </w:tc>
        <w:tc>
          <w:tcPr>
            <w:tcW w:type="dxa" w:w="2492"/>
          </w:tcPr>
          <w:p>
            <w:pPr>
              <w:pStyle w:val="null3"/>
            </w:pPr>
            <w:r>
              <w:rPr>
                <w:rFonts w:ascii="仿宋_GB2312" w:hAnsi="仿宋_GB2312" w:cs="仿宋_GB2312" w:eastAsia="仿宋_GB2312"/>
              </w:rPr>
              <w:t>（1）标▲项（6项）：完全满足招标文件要求计24分，每负偏离1项扣4分； （2）除标★和▲项外的21项：完全满足招标文件要求计14分；每负偏离1项扣0.67分； （备注：（1）标▲项：须提供参数佐证材料，包括产品说明书或技术说明书或产品检测报告或产品彩页或官网截图或测试结果等，予以证明其技术参数的响应性；（2）非标▲项：以“技术规格响应表”中的响应内容为准认定其响应性。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技术规格响应表.docx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根据项目实际需求提供完整详细的项目实施方案。内容包含：①供货运输方案；②安装调试方案；③人员配备方案；④应急预案。 二、评审标准 1、完整性：方案须全面，对评审内容中的各项要求有详细描述； 2、可实施性、针对性：方案能够紧扣项目实际情况，实施步骤清晰、合理、内容科学且有针对性； 三、赋分依据（满分8分） ①供货运输方案：每完全满足一个评审标准得1分，满分2分； ②安装调试方案:每完全满足一个评审标准得1分，满分2分； ③人员配备方案:每完全满足一个评审标准得1分，满分2分； ④应急预案:每完全满足一个评审标准得1分，满分2分。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一、评审内容 根据项目实际需求提供售后服务方案。内容包含：①售后服务机构及人员（提供机构及人员信息及联系方式）；②售后服务内容及保障措施；③响应时间及方式。 二、评审标准 1、完整性：内容全面，对评审内容中的各项要求描述详细； 2、针对性及可实施性：方案能够紧扣项目实际情况，实施步骤清晰，内容科学合理。 三、赋分依据（满分6分） ①售后服务机构及人员（提供机构及人员信息及联系方式）：每完全满足一个评审标准得1分，满分2分； ②售后服务内容及保障措施：每完全满足一个评审标准得1分，满分2分； ③响应时间及方式:每完全满足一个评审标准得1分，满分2分。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根据项目实际需求，提供完整详细的项目培训方案。内容包含：①培训计划安排；②产品的安装调试培训；③日常操作及维护培训；④排除故障培训等。 二、评审标准 1、完整性：内容全面，对评审内容中的各项要求有详细描述； 2、针对性及可实施性：方案能够紧扣项目实际情况，实施步骤清晰，内容科学合理。 三、赋分依据（满分8分） ①培训计划安排：每完全满足一个评审标准得1分，满分2分； ②产品的安装调试培训:每完全满足一个评审标准得1分，满分2分； ③日常操作及维护培训:每完全满足一个评审标准得1分，满分2分； ④排除故障培训:每完全满足一个评审标准得1分，满分2分。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质保期高于招标文件要求（1年）的，每增加1年得1分（自甲方在货物质量验收合格之日起计算），最高得2分。无承诺不得分。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投标人针对本项目提供有利于本项目开展的其它承诺(例如:1.增值服务，包括①配备专业应用工程师对接使用人，随时提供样品测试/方法开发支持、定制制样方案指导，得1分；②设备寿命周期内每季度提供至少1次免费预防性维护服务，并提供承诺书（格式自拟）得1分。两项要求全部满足得2分。2.人性化设计，具备系统自检功能及事件记录器，能够实时诊断设备状态及设备操作记录，最大程度保护设备使用安全，得1分)。每提供一项内容全面详细、阐述条理清晰详尽、符合本项目采购需求的承诺，得1分，满分3分，有某一项不完整或不符合实际要求或不满足采购要求或套用其他项目内容的扣（0-1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提供所投产品2023年1月至今（以合同签订时间为准）项目业绩（投标供应商或制造厂商业绩均可），每提供一份计1分，满分共5分。 备注：业绩证明以投标文件中所附合同及对应货款发票（任意金额一张）复印件并加盖公章或电子印章为准，以上两种证明材料同时提供方可得分，否则不得分。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1、经初审合格的投标文件，通过符合性审查的投标报价为有效投标价。对符合政策性扣减的有效投标报价进行政策性扣减，并依据扣减后的价格（评审价格）进行价格评审。 2、有效最低报价为基准价得30分。 3、按（有效最低报价/有效投标报价）×30的公式计算其得分。 4、投标报价不完整的，不进入评标基准价的计算，本项得0分。 注：1、小微企业、监狱企业或残疾人福利性单位产品，在供应商原始报价基础上给予10%的扣除后，再参与价格评审。对于本国产品，在供应商原始报价基础上计算，给予20%的价格扣除，用扣除后的价格参与评审。 2、对于非专门面向中小企业的采购项目，既有本国产品也有非本国产品参与竞争，且提供本国产品的供应商同时为小微企业的，应按照《国务院办公厅关于在政府采购中实施本国产品标准及相关政策的通知》（国办发〔2025〕34 号）、《政府采购促进中小企业发展管理办法》、《财政部关于进一步加大政府采购支持中小企业力度的通知》规定，对该供应商的产品同时给予支持本国产品和小微企业产品的价格评审优惠。相关价格评审扣除优惠，均应该在供应商原始报价基础上计算，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投标报价表.docx</w:t>
            </w:r>
          </w:p>
          <w:p>
            <w:pPr>
              <w:pStyle w:val="null3"/>
            </w:pPr>
            <w:r>
              <w:rPr>
                <w:rFonts w:ascii="仿宋_GB2312" w:hAnsi="仿宋_GB2312" w:cs="仿宋_GB2312" w:eastAsia="仿宋_GB2312"/>
              </w:rPr>
              <w:t>资格证明文件.docx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详见附件：西安理工大学重大设备更新项目设备采购合同.docx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