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9299A">
      <w:pPr>
        <w:pStyle w:val="2"/>
        <w:shd w:val="clear" w:color="auto" w:fill="FFFFFF"/>
        <w:spacing w:beforeAutospacing="0" w:afterAutospacing="0" w:line="360" w:lineRule="auto"/>
        <w:ind w:firstLine="420"/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  <w:t>投标方案说明书</w:t>
      </w:r>
    </w:p>
    <w:p w14:paraId="676DC6DE">
      <w:pPr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</w:pPr>
    </w:p>
    <w:p w14:paraId="79732F40">
      <w:pPr>
        <w:pStyle w:val="2"/>
        <w:spacing w:beforeAutospacing="0" w:afterAutospacing="0" w:line="480" w:lineRule="atLeast"/>
        <w:ind w:firstLine="42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（供应商按招标文件的要求，依据第五章评标办法5.6.2评分标准相关内容编写，格式自拟）</w:t>
      </w:r>
    </w:p>
    <w:p w14:paraId="5DD6E3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A2576"/>
    <w:rsid w:val="343A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2026-04-17T06:58:00Z</dcterms:created>
  <dc:creator>华夏国际-招标部</dc:creator>
  <cp:lastModifiedBy>华夏国际-招标部</cp:lastModifiedBy>
  <dcterms:modified xsi:type="dcterms:W3CDTF">2026-04-17T06:58:26Z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B1AA4F54235044698BDF8748AF2B8C92_11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