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版本号：YYZFCG竞争性磋商（2026）98号20260812001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灯炉滩小学屋面防水及校园围墙维修工程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YYZFCG竞争性磋商（2026）98号</w:t>
      </w:r>
      <w:r>
        <w:br/>
      </w:r>
      <w:r>
        <w:br/>
      </w:r>
      <w:r>
        <w:br/>
      </w:r>
    </w:p>
    <w:p>
      <w:pPr>
        <w:pStyle w:val="null3"/>
        <w:jc w:val="center"/>
        <w:outlineLvl w:val="2"/>
      </w:pPr>
      <w:r>
        <w:rPr>
          <w:rFonts w:ascii="仿宋_GB2312" w:hAnsi="仿宋_GB2312" w:cs="仿宋_GB2312" w:eastAsia="仿宋_GB2312"/>
          <w:sz w:val="28"/>
          <w:b/>
        </w:rPr>
        <w:t>榆阳区岔河则乡中心小学</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榆阳区岔河则乡中心小学</w:t>
      </w:r>
      <w:r>
        <w:rPr>
          <w:rFonts w:ascii="仿宋_GB2312" w:hAnsi="仿宋_GB2312" w:cs="仿宋_GB2312" w:eastAsia="仿宋_GB2312"/>
        </w:rPr>
        <w:t>委托，拟对</w:t>
      </w:r>
      <w:r>
        <w:rPr>
          <w:rFonts w:ascii="仿宋_GB2312" w:hAnsi="仿宋_GB2312" w:cs="仿宋_GB2312" w:eastAsia="仿宋_GB2312"/>
        </w:rPr>
        <w:t>灯炉滩小学屋面防水及校园围墙维修工程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YYZFCG竞争性磋商（2026）98号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灯炉滩小学屋面防水及校园围墙维修工程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灯炉滩小学屋面防水及校园围墙维修工程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采购包1（灯炉滩小学屋面防水及校园围墙维修工程）：属于专门面向中小企业采购。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1、有效的主体资格证明：供应商为响应招标并参加投标的合法注册的企业法人、事业法人或其他组织。企业法 人应提供合法有效的标识有统一社会信用代码的营业执照副本；事业法人应提供事业 单位法人证书；其他组织应提供国家规定合法登记证明文件。</w:t>
      </w:r>
    </w:p>
    <w:p>
      <w:pPr>
        <w:pStyle w:val="null3"/>
      </w:pPr>
      <w:r>
        <w:rPr>
          <w:rFonts w:ascii="仿宋_GB2312" w:hAnsi="仿宋_GB2312" w:cs="仿宋_GB2312" w:eastAsia="仿宋_GB2312"/>
        </w:rPr>
        <w:t>2、法定代表人委托授权书：法定代表人参加投标的，提供本人身份证复印件；法定代表人授权他人参加投标的，提供《法定代表人授权委托书》，格式自拟。</w:t>
      </w:r>
    </w:p>
    <w:p>
      <w:pPr>
        <w:pStyle w:val="null3"/>
      </w:pPr>
      <w:r>
        <w:rPr>
          <w:rFonts w:ascii="仿宋_GB2312" w:hAnsi="仿宋_GB2312" w:cs="仿宋_GB2312" w:eastAsia="仿宋_GB2312"/>
        </w:rPr>
        <w:t>3、本项目不接受联合体投标：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p>
      <w:pPr>
        <w:pStyle w:val="null3"/>
      </w:pPr>
      <w:r>
        <w:rPr>
          <w:rFonts w:ascii="仿宋_GB2312" w:hAnsi="仿宋_GB2312" w:cs="仿宋_GB2312" w:eastAsia="仿宋_GB2312"/>
        </w:rPr>
        <w:t>4、商业信用：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若供应商自行提供查询结果的，仍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p>
      <w:pPr>
        <w:pStyle w:val="null3"/>
      </w:pPr>
      <w:r>
        <w:rPr>
          <w:rFonts w:ascii="仿宋_GB2312" w:hAnsi="仿宋_GB2312" w:cs="仿宋_GB2312" w:eastAsia="仿宋_GB2312"/>
        </w:rPr>
        <w:t>5、资质要求：本次资格要求投标人为独立承担民事责任能力的法人或其他组织，需提供统一社会信用代码的营业执照(副本)，具备【建筑工程施工总承包三级】及以上资质，及安全生产许可证；并在人员、设备、资金等方面具备相应的能力。投标人拟派项目负责人具备【建筑工程二级注册建造师】及以上执业资格及安全生产考核合格证书，且未担任其他在建工程项目的项目负责人。</w:t>
      </w:r>
    </w:p>
    <w:p>
      <w:pPr>
        <w:pStyle w:val="null3"/>
      </w:pPr>
      <w:r>
        <w:rPr>
          <w:rFonts w:ascii="仿宋_GB2312" w:hAnsi="仿宋_GB2312" w:cs="仿宋_GB2312" w:eastAsia="仿宋_GB2312"/>
        </w:rPr>
        <w:t>6、本项目全部面向中小企业采购：本项目全部面向中小企业采购，投标人应填写《中小企业声明函(服务)》项目全部面向中小企业采购，投标人应填写《中小企业声明函(服务)》</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榆阳区岔河则乡中心小学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岔河则乡</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榆阳区岔河则乡中心小学经办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13649123444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榆阳区政务服务中心325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0912-3518917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采购包1：382,539.26元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榆阳区岔河则乡中心小学</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榆阳区岔河则乡中心小学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榆阳区岔河则乡中心小学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承包人承诺在发包人使用响应所有产品时不会因知识产权或产品所有权等问题引起的第三方索赔或其他要求，由此给发包人造成的一切损失都应由承包人承担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榆阳区岔河则乡中心小学</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联系人：乔老师</w:t>
      </w:r>
    </w:p>
    <w:p>
      <w:pPr>
        <w:pStyle w:val="null3"/>
      </w:pPr>
      <w:r>
        <w:rPr>
          <w:rFonts w:ascii="仿宋_GB2312" w:hAnsi="仿宋_GB2312" w:cs="仿宋_GB2312" w:eastAsia="仿宋_GB2312"/>
        </w:rPr>
        <w:t>联系电话：18991083162</w:t>
      </w:r>
    </w:p>
    <w:p>
      <w:pPr>
        <w:pStyle w:val="null3"/>
      </w:pPr>
      <w:r>
        <w:rPr>
          <w:rFonts w:ascii="仿宋_GB2312" w:hAnsi="仿宋_GB2312" w:cs="仿宋_GB2312" w:eastAsia="仿宋_GB2312"/>
        </w:rPr>
        <w:t>地址：榆阳区政务服务中心325室</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382,539.26</w:t>
      </w:r>
    </w:p>
    <w:p>
      <w:pPr>
        <w:pStyle w:val="null3"/>
      </w:pPr>
      <w:r>
        <w:rPr>
          <w:rFonts w:ascii="仿宋_GB2312" w:hAnsi="仿宋_GB2312" w:cs="仿宋_GB2312" w:eastAsia="仿宋_GB2312"/>
        </w:rPr>
        <w:t>采购包最高限价（元）: 382,539.26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382539.26</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382,539.26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标的名称：382539.26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00" w:after="120"/>
              <w:jc w:val="left"/>
              <w:outlineLvl w:val="2"/>
            </w:pPr>
            <w:r>
              <w:rPr>
                <w:rFonts w:ascii="仿宋_GB2312" w:hAnsi="仿宋_GB2312" w:cs="仿宋_GB2312" w:eastAsia="仿宋_GB2312"/>
                <w:sz w:val="21"/>
                <w:b/>
              </w:rPr>
              <w:t xml:space="preserve">  工程用料须符合要求、国家标准、行业标准。</w:t>
            </w:r>
            <w:r>
              <w:rPr>
                <w:rFonts w:ascii="仿宋_GB2312" w:hAnsi="仿宋_GB2312" w:cs="仿宋_GB2312" w:eastAsia="仿宋_GB2312"/>
                <w:sz w:val="21"/>
                <w:b/>
              </w:rPr>
              <w:t>屋面防水工程、墙体维修工程的材料和质量符合国家标准行业标准。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不低于国家相关验收的合格标准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按照国家相关规定执行。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 人应提供合法有效的标识有统一社会信用代码的营业执照副本；事业法人应提供事业 单位法人证书；其他组织应提供国家规定合法登记证明文件。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法定代表人参加投标的，提供本人身份证复印件；法定代表人授权他人参加投标的，提供《法定代表人授权委托书》，格式自拟。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投标人按《投标（响应）函》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商业信用</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投标人按《投标（响应）函》承诺）；对列入失信被执行人、重大税收违法案件当事人名单、政府采购严重违法失信行为记录名单及其他不符合《中华人民共和国政府采购法》第二十二条规定条件的将拒绝其参与政府采购活动。投标人按《投标（响应）函》承诺，无需提供信用信息查询结果。若供应商自行提供查询结果的，仍以评审当天采购人查询结果为准。因查询渠道网站原因导致查无供应商信息的，不认定供应商资格审查不合格；评审结束后，通过其他渠道发现供应商存在不良信用记录的，不认定为资格审查错误，将依照有关规定进行调查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本次资格要求投标人为独立承担民事责任能力的法人或其他组织，需提供统一社会信用代码的营业执照(副本)，具备【建筑工程施工总承包三级】及以上资质，及安全生产许可证；并在人员、设备、资金等方面具备相应的能力。投标人拟派项目负责人具备【建筑工程二级注册建造师】及以上执业资格及安全生产考核合格证书，且未担任其他在建工程项目的项目负责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本项目全部面向中小企业采购</w:t>
            </w:r>
          </w:p>
        </w:tc>
        <w:tc>
          <w:tcPr>
            <w:tcW w:type="dxa" w:w="3322"/>
          </w:tcPr>
          <w:p>
            <w:pPr>
              <w:pStyle w:val="null3"/>
            </w:pPr>
            <w:r>
              <w:rPr>
                <w:rFonts w:ascii="仿宋_GB2312" w:hAnsi="仿宋_GB2312" w:cs="仿宋_GB2312" w:eastAsia="仿宋_GB2312"/>
              </w:rPr>
              <w:t>本项目全部面向中小企业采购，投标人应填写《中小企业声明函(服务)》项目全部面向中小企业采购，投标人应填写《中小企业声明函(服务)》</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w:t>
            </w:r>
          </w:p>
        </w:tc>
        <w:tc>
          <w:tcPr>
            <w:tcW w:type="dxa" w:w="3322"/>
          </w:tcPr>
          <w:p>
            <w:pPr>
              <w:pStyle w:val="null3"/>
            </w:pPr>
            <w:r>
              <w:rPr>
                <w:rFonts w:ascii="仿宋_GB2312" w:hAnsi="仿宋_GB2312" w:cs="仿宋_GB2312" w:eastAsia="仿宋_GB2312"/>
              </w:rPr>
              <w:t>响应文件语言符合磋商文件要求。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均按磋商文件要求盖章（评分标准中要求提供的证明材料除外）。</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响应文件应包含以下内容： （1）资格证明文件； （2）符合性证明文件； （3）投标方案。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（3）计量单位、报价货币均符合磋商文件要求；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完全理解并接受对合格投标人、合格的服务要求，实质性要求没有负偏离。</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理解并作出承诺</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确保文明施工环境保护的组织措施</w:t>
            </w:r>
          </w:p>
        </w:tc>
        <w:tc>
          <w:tcPr>
            <w:tcW w:type="dxa" w:w="2492"/>
          </w:tcPr>
          <w:p>
            <w:pPr>
              <w:pStyle w:val="null3"/>
            </w:pPr>
            <w:r>
              <w:rPr>
                <w:rFonts w:ascii="仿宋_GB2312" w:hAnsi="仿宋_GB2312" w:cs="仿宋_GB2312" w:eastAsia="仿宋_GB2312"/>
              </w:rPr>
              <w:t>措施全面、完整，能从多方面确保文明施工、并提出相关解决和防治措施（不限于对减少 灰尘、控制噪音等方面）可达到环境保护要求的得6分； 措施基本全面、有一定的可行性 , 能基本满足文明施工等环境保护要求的得4分； 措施存在较大不合理性、内容简单、没 有针对性的简单的得2分；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质量管理的技术措施</w:t>
            </w:r>
          </w:p>
        </w:tc>
        <w:tc>
          <w:tcPr>
            <w:tcW w:type="dxa" w:w="2492"/>
          </w:tcPr>
          <w:p>
            <w:pPr>
              <w:pStyle w:val="null3"/>
            </w:pPr>
            <w:r>
              <w:rPr>
                <w:rFonts w:ascii="仿宋_GB2312" w:hAnsi="仿宋_GB2312" w:cs="仿宋_GB2312" w:eastAsia="仿宋_GB2312"/>
              </w:rPr>
              <w:t>针对质量控制主要节点（不限于防水层施工、结构加固、水电改造等），有详细技术措施 得6分，不完整、不详细得3分，没有针对性不得分.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确保安全生产保证措施</w:t>
            </w:r>
          </w:p>
        </w:tc>
        <w:tc>
          <w:tcPr>
            <w:tcW w:type="dxa" w:w="2492"/>
          </w:tcPr>
          <w:p>
            <w:pPr>
              <w:pStyle w:val="null3"/>
            </w:pPr>
            <w:r>
              <w:rPr>
                <w:rFonts w:ascii="仿宋_GB2312" w:hAnsi="仿宋_GB2312" w:cs="仿宋_GB2312" w:eastAsia="仿宋_GB2312"/>
              </w:rPr>
              <w:t>措施完整全面，能够从多方面保证安全生产，且合理性、可行。 其中（1）有明确的安全 管理人员和责任管理制度得2分； （2）有详细的维修的风险安全措施（如老旧瓷砖坠落 、人行安全通道防护等）得2分； （3）有必要的安全设施设备（包括但不限于安全帽、 安全带、护栏等，并设置清晰的安全警示牌）得1分； （4）有完整的针对本维修工程的 安全交底得1分； 以上不完整、不详细，没有针对性不得分。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针对本项目可能出现的问题及重大故障有详细分析，（包括但不限于因施工造成的水、电 、通信的中断抢修及人为因素等情况）分析全面，应急措施和解决方案具有全面的分析， 应急措施和解决方案较强合理性和可行性的得4分； 针对本项目可能出现的问题及重大故 障有基本全面的分析，但没有针对性的得2分； 未提供或明显不符合本项目施工内容的的 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拟派本项目人员</w:t>
            </w:r>
          </w:p>
        </w:tc>
        <w:tc>
          <w:tcPr>
            <w:tcW w:type="dxa" w:w="2492"/>
          </w:tcPr>
          <w:p>
            <w:pPr>
              <w:pStyle w:val="null3"/>
            </w:pPr>
            <w:r>
              <w:rPr>
                <w:rFonts w:ascii="仿宋_GB2312" w:hAnsi="仿宋_GB2312" w:cs="仿宋_GB2312" w:eastAsia="仿宋_GB2312"/>
              </w:rPr>
              <w:t>一、评审内容 投标人针对本项目提供的人员及保障方案，方案包含：①人员职责明确、分 工清晰；②岗位职责制度及考核办法；③人员经验丰富。 二、评审标准 1 、方案须全面、 完整，对评审内容中的各项要求有详细描述； 2 、方案能够紧扣本项目实际情况，针对本 项目内容编写。 三、赋分依据 ①人员职责明确、分工清晰：每完全满足一个评审标准得2 .5分，满分5分； ②岗位职责制度及考核办法：每完全满足一个评审标准得2分，满分4分 ; ③人员经验丰富：每完全满足一个评审标准得1分，满分2分。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针对实际需求，在保证完成本项目的基础上，对降低工程造价或缩短施工周期提供实质性 承诺，任意提供一条得3分，满分3分，不提供不得分。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提供近五年（2021年1月1日及以后）同类项目业绩，1个业绩计3分，最高计6分。需附 合同复印件，所提供业绩以合同签订时间为准。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供应商对工期时限、工程质量及进度、实施过程中沟通、协调及管理方案等内容作出质量 承诺书： 承诺书内容全面、且从多个角度明确地做出承诺的得4分； 承诺书简单、不全面 得2分；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供应商针对本项目提供完整、合理、详细的改造施工方案，方案需包含： ( 1）施工方案及施工工艺；（2）确保文明施工、环境保护的组织措施；（3）确保安全生 产的技术组织措施；（4）确保工程质量的技术组织措施；（5）施工进度表或施工网络图 ；（6）工期保障措施（对工期的技术组织措施及施工进度计划措施，需包括施工进度表 或施工网络图做出详细、具体的说明）。 二、评审标准 1 、方案须全面、完整，对评审 内 容中的各项要求有详细描述； 2 、方案能够紧扣本项目实际情况，针对本项目内容编 写； 3 、方案切合本项目实际情况，提出步骤清晰、合理的方案。 三、赋分依据 ①施工 方案及 施工工艺：每完全满足一个评审标准得2分，基本满足一个评审标准得1 .5分，不 满足一个 评审标准得0分，满分4分； ②确保文明施工、环境保护的组织措施：每完全满 足一个评 审标准得2 .5分，基本满足一个评审标准得2分，不满足一个评审标准得0分， 满分5 .5分 ; ③确保安全生产的技术组织措施：每完全满足一个评审标准得 2.5分，基本 满足一个评 审标准得2分，不满足一个评审标准得0分，满分5.5分； ④确保工程质量的 技术组织措施 ：每完全满足一个评审标准得 2.5分，基本满足一个评审标准得2分，不满 足一个评审标 准得0分，满分5 .5分； ⑤施工进度表或施工网络图：完全满足评审标准得1分，基本满 足评审标准得0.5分，不满足评审标准得0分，满分1.5分。 ⑥工期保障措施：每完全 满足一个评审标 准得1分，基本满足一个评审标准得0 .5分，不满足一个评审标准得0分，满分2分。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满足磋商文件要求且最后报价的最低报价（落实政府采购政策进行价 格调整的，以调整后 的价格计算）为基准价得30分，其他各供应商的 报价得分按下列公式计算：（评标基准 价/最后磋商报价） ×30% ×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详见附件：榆阳区岔河则乡灯炉滩小学屋面防水及校园围墙维修工程合同.docx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