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版本号：ZJS-2026-00620260524002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西乡县子午镇回龙村蚕室改造提升项目建设部分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ZJS-2026-006</w:t>
      </w:r>
      <w:r>
        <w:br/>
      </w:r>
      <w:r>
        <w:br/>
      </w:r>
      <w:r>
        <w:br/>
      </w:r>
    </w:p>
    <w:p>
      <w:pPr>
        <w:pStyle w:val="null3"/>
        <w:jc w:val="center"/>
        <w:outlineLvl w:val="2"/>
      </w:pPr>
      <w:r>
        <w:rPr>
          <w:rFonts w:ascii="仿宋_GB2312" w:hAnsi="仿宋_GB2312" w:cs="仿宋_GB2312" w:eastAsia="仿宋_GB2312"/>
          <w:sz w:val="28"/>
          <w:b/>
        </w:rPr>
        <w:t>西乡县子午镇人民政府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西乡县子午镇人民政府</w:t>
      </w:r>
      <w:r>
        <w:rPr>
          <w:rFonts w:ascii="仿宋_GB2312" w:hAnsi="仿宋_GB2312" w:cs="仿宋_GB2312" w:eastAsia="仿宋_GB2312"/>
        </w:rPr>
        <w:t>委托，拟对</w:t>
      </w:r>
      <w:r>
        <w:rPr>
          <w:rFonts w:ascii="仿宋_GB2312" w:hAnsi="仿宋_GB2312" w:cs="仿宋_GB2312" w:eastAsia="仿宋_GB2312"/>
        </w:rPr>
        <w:t>西乡县子午镇回龙村蚕室改造提升项目建设部分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ZJS-2026-006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西乡县子午镇回龙村蚕室改造提升项目建设部分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西乡县子午镇回龙村蚕室改造提升项目建设部分，详见磋商文件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采购包1（回龙村蚕室改造提升）：属于专门面向中小企业采购。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市政公用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有市政公用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供应商需在项目电子化交易系统中按要求上传相应证明文件并进行电子签章；</w:t>
      </w:r>
    </w:p>
    <w:p>
      <w:pPr>
        <w:pStyle w:val="null3"/>
      </w:pPr>
      <w:r>
        <w:rPr>
          <w:rFonts w:ascii="仿宋_GB2312" w:hAnsi="仿宋_GB2312" w:cs="仿宋_GB2312" w:eastAsia="仿宋_GB2312"/>
        </w:rPr>
        <w:t>7、非联合体投标声明：本项目不接受联合体投标，供应商需提供非联合体书面声明。供应商需在项目电子化交易系统中按要求上传相应证明文件并进行电子签章；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西乡县子午镇人民政府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陕西省汉中市西乡县子午镇三花石街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西乡县子午镇人民政府经办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0916-6388001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陕西省西安市未央区陕西省西安市经济技术开发区凤城七路凤城庭院20号1栋2单元7层1号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182 9266 6395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西乡县子午镇人民政府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西乡县子午镇人民政府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西乡县子午镇人民政府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 9266 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406,000.00</w:t>
      </w:r>
    </w:p>
    <w:p>
      <w:pPr>
        <w:pStyle w:val="null3"/>
      </w:pPr>
      <w:r>
        <w:rPr>
          <w:rFonts w:ascii="仿宋_GB2312" w:hAnsi="仿宋_GB2312" w:cs="仿宋_GB2312" w:eastAsia="仿宋_GB2312"/>
        </w:rPr>
        <w:t>采购包最高限价（元）: 406,000.00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回龙村蚕室改造提升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标的名称：回龙村蚕室改造提升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1.主要建设内容为：完成工程量清单所有内容。</w:t>
            </w:r>
          </w:p>
          <w:p>
            <w:pPr>
              <w:pStyle w:val="null3"/>
            </w:pPr>
            <w:r>
              <w:rPr>
                <w:rFonts w:ascii="仿宋_GB2312" w:hAnsi="仿宋_GB2312" w:cs="仿宋_GB2312" w:eastAsia="仿宋_GB2312"/>
                <w:sz w:val="24"/>
                <w:color w:val="000000"/>
              </w:rPr>
              <w:t>2.工期：60日历天。</w:t>
            </w:r>
          </w:p>
          <w:p>
            <w:pPr>
              <w:pStyle w:val="null3"/>
              <w:jc w:val="both"/>
            </w:pPr>
            <w:r>
              <w:rPr>
                <w:rFonts w:ascii="仿宋_GB2312" w:hAnsi="仿宋_GB2312" w:cs="仿宋_GB2312" w:eastAsia="仿宋_GB2312"/>
                <w:sz w:val="24"/>
                <w:color w:val="000000"/>
              </w:rPr>
              <w:t>3.质量标准：达到验收合格标准。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达到验收合格标准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技术服务合同条款及其他商务要求应答表 响应函 施工组织设计.docx 汉中市政府采购供应商资格承诺函.docx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供应商应具备建设行政主管部门颁发的市政公用工程施工总承包三级（含三级）及其以上资质，具有有效的安全生产许可证，供应商需在项目电子化交易系统中按要求上传相应证明文件并进行电子签章；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有市政公用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施工方法（工艺）；③施工次序；④应急方案； ⑤施工准备：技术准备、材料准备、机械准备、机具准备、劳动力准备等；1.施工方案完整、有针对性，完全满足项目实际需求得8-10分；2.方案基本完整，存在少量可优化细节得5-7分；3.方案针对性不足，存在关键内容遗漏或前后矛盾得3-4分；4.施工方案有较大缺陷，影响方案整体连贯性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施工质量的检验制度；②确保质量的技术组织措施；③施工质量控制措施等。1.措施科学合理、可操作性强，完全覆盖项目质量控制点得8-10分；2.措施基本完善，存在少量细节待优化得5-7分；3.措施针对性不足，关键环节管控缺失得3-4分；4.措施照搬通用模板，与项目实际不匹配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 ①安全生产管理制度；②安全施工措施；③安全应急预案；④安全生产教育等。1.安全管理体系健全，措施全面可行，完全满足项目安全管控要求得7-10分；2.措施基本完善，存在少量细节待优化得4-6分；3.措施针对性不足，关键风险点管控缺失得2-3分；4.措施照搬通用模板，与项目实际不匹配得0-1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工期保证措施具体可行，完全满足项目工期要求得6-8分；2.进度计划合理，工期保证措施基本到位得3-5分；3.进度计划不合理，或工期措施与项目脱节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根据供应商制定的文明施工措施计划进行综合评审。内容包含但不限于： ①文明施工管理目标及技术措施；②文明施工现场管理：材料管理、防扰民措施等。1.措施科学合理、可操作性强，完全满足项目文明施工及环保要求得6-8分；2.措施基本完善，存在少量细节待优化得3-5分；3.措施照搬通用模板，与项目实际不匹配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针对本项目编制完善的资源配置计划进行综合评审。内容包含但不限于：①施工机械设备投入计划；②主要施工材料供应计划。③劳动力资源配置计划等。1.人员、材料、机械设备配置与项目规模、工期匹配度高，计划科学合理得4-5分；2.资源配置方案完整，基本满足项目需求得2-3分；3.资源配置存在少量不足，部分设备/人员计划待完善得0-1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质量保修承诺完整、合理及后续服务条款具体、可行得3-5分；质量保修承诺含糊及后续服务条款基本可行得0-2分；未提供不得分。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根据供应商提供的项目组织管理机构配备进行综合评审。1、机构设置合理完善，人员配备齐全，技术经验丰富，人员专业性强，完全满足项目需求得8-10分； 2、机构设置合理，人员配备齐全，且具备从业经验，满足项目需求得5-7分；3、机构设置非专门针对本项目 ，人员配备、技术经验有缺陷的得3-4分；4、机构设置、人员配备不完整，或无相关经验的得0-2分；5、未提供不得分。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供应商提供2023年至今类似项目业绩，每提供一份得2分，此项最高得4分；评审依据：业绩以合同或（中标）成交通知书加盖公章的复印件为依据，未提供不得分。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详见附件：政府采购建设合同格式.docx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