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版本号：ZCSP-渭南市-2026-00154-ZK26（CG）01011120260526003</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渭南市政协机关驾驶员服务采购项目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ZCSP-渭南市-2026-00154-ZK26（CG）010111</w:t>
      </w:r>
      <w:r>
        <w:br/>
      </w:r>
      <w:r>
        <w:br/>
      </w:r>
      <w:r>
        <w:br/>
      </w:r>
    </w:p>
    <w:p>
      <w:pPr>
        <w:pStyle w:val="null3"/>
        <w:jc w:val="center"/>
        <w:outlineLvl w:val="2"/>
      </w:pPr>
      <w:r>
        <w:rPr>
          <w:rFonts w:ascii="仿宋_GB2312" w:hAnsi="仿宋_GB2312" w:cs="仿宋_GB2312" w:eastAsia="仿宋_GB2312"/>
          <w:sz w:val="28"/>
          <w:b/>
        </w:rPr>
        <w:t>中国人民政治协商会议陕西省渭南市委员会办公室</w:t>
      </w:r>
    </w:p>
    <w:p>
      <w:pPr>
        <w:pStyle w:val="null3"/>
        <w:jc w:val="center"/>
        <w:outlineLvl w:val="2"/>
      </w:pPr>
      <w:r>
        <w:rPr>
          <w:rFonts w:ascii="仿宋_GB2312" w:hAnsi="仿宋_GB2312" w:cs="仿宋_GB2312" w:eastAsia="仿宋_GB2312"/>
          <w:sz w:val="28"/>
          <w:b/>
        </w:rPr>
        <w:t>正凯建设项目管理有限公司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2026年05月26日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正凯建设项目管理有限公司</w:t>
      </w:r>
      <w:r>
        <w:rPr>
          <w:rFonts w:ascii="仿宋_GB2312" w:hAnsi="仿宋_GB2312" w:cs="仿宋_GB2312" w:eastAsia="仿宋_GB2312"/>
        </w:rPr>
        <w:t>（以下简称“代理机构”）受</w:t>
      </w:r>
      <w:r>
        <w:rPr>
          <w:rFonts w:ascii="仿宋_GB2312" w:hAnsi="仿宋_GB2312" w:cs="仿宋_GB2312" w:eastAsia="仿宋_GB2312"/>
        </w:rPr>
        <w:t>中国人民政治协商会议陕西省渭南市委员会办公室</w:t>
      </w:r>
      <w:r>
        <w:rPr>
          <w:rFonts w:ascii="仿宋_GB2312" w:hAnsi="仿宋_GB2312" w:cs="仿宋_GB2312" w:eastAsia="仿宋_GB2312"/>
        </w:rPr>
        <w:t>委托，拟对</w:t>
      </w:r>
      <w:r>
        <w:rPr>
          <w:rFonts w:ascii="仿宋_GB2312" w:hAnsi="仿宋_GB2312" w:cs="仿宋_GB2312" w:eastAsia="仿宋_GB2312"/>
        </w:rPr>
        <w:t>渭南市政协机关驾驶员服务采购项目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ZCSP-渭南市-2026-00154-ZK26（CG）010111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渭南市政协机关驾驶员服务采购项目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保障单位公务出行、会务接待、应急保障、车辆管护等后勤服务工作。派驻12名专职驾驶员，提供公务驾驶、车辆养护、台账登记、应急值守等一体化服务，保障机关调研视察、公务出行、机要通信、应急保障等各类工作的用车驾驶需求。</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采购包1（渭南市政协机关驾驶员服务采购项目）：属于专门面向中小企业采购。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1、供应商基本情况：供应商须具备独立承担民事责任能力的法人或其他组织，并出具合法有效的营业执照（含2024年或2025年年度报告）；</w:t>
      </w:r>
    </w:p>
    <w:p>
      <w:pPr>
        <w:pStyle w:val="null3"/>
      </w:pPr>
      <w:r>
        <w:rPr>
          <w:rFonts w:ascii="仿宋_GB2312" w:hAnsi="仿宋_GB2312" w:cs="仿宋_GB2312" w:eastAsia="仿宋_GB2312"/>
        </w:rPr>
        <w:t>2、法定代表人身份证明或法定代表人授权委托书：法定代表人参加的，须提供本人身份证复印件加盖公章并出示身份证原件；法定代表人授权他人参加的，须提供法定代表人委托授权书原件加盖公章，并出示被授权代表身份证原件及复印件加盖公章和近三个月的社保缴纳证明；</w:t>
      </w:r>
    </w:p>
    <w:p>
      <w:pPr>
        <w:pStyle w:val="null3"/>
      </w:pPr>
      <w:r>
        <w:rPr>
          <w:rFonts w:ascii="仿宋_GB2312" w:hAnsi="仿宋_GB2312" w:cs="仿宋_GB2312" w:eastAsia="仿宋_GB2312"/>
        </w:rPr>
        <w:t>3、财务状况证明：提供2024年度或2025年度，经会计师事务所或审计机构审计的财务会计报告，包括财务审计报告、资产负债表、现金流量表、利润表、所有者权益表和财务情况说明书或供应商基本存款账户开户银行出具开标日期前六个月内资信证明及基本存款账户开户许可证（基本账户信息表）。（若成立时间至提交响应文件截止时间不足一年的可提供成立后财务报表，包含资产负债表、现金流量表、利润表、所有者权益表）；</w:t>
      </w:r>
    </w:p>
    <w:p>
      <w:pPr>
        <w:pStyle w:val="null3"/>
      </w:pPr>
      <w:r>
        <w:rPr>
          <w:rFonts w:ascii="仿宋_GB2312" w:hAnsi="仿宋_GB2312" w:cs="仿宋_GB2312" w:eastAsia="仿宋_GB2312"/>
        </w:rPr>
        <w:t>4、税收缴纳证明：2026年1月至今已缴纳任意三个月的纳税证明或完税证明。依法免税的单位应提供相关证明资料；</w:t>
      </w:r>
    </w:p>
    <w:p>
      <w:pPr>
        <w:pStyle w:val="null3"/>
      </w:pPr>
      <w:r>
        <w:rPr>
          <w:rFonts w:ascii="仿宋_GB2312" w:hAnsi="仿宋_GB2312" w:cs="仿宋_GB2312" w:eastAsia="仿宋_GB2312"/>
        </w:rPr>
        <w:t>5、社会保障资金缴纳证明：2026年1月至今已缴纳任意三个月的社会保障资金缴存单据或社保机构开具的社会保险参保缴费情况证明，单据或证明上应有社保机构或代收机构的公章。依法不需要缴纳社会保障资金的供应商应提供相关证明资料；</w:t>
      </w:r>
    </w:p>
    <w:p>
      <w:pPr>
        <w:pStyle w:val="null3"/>
      </w:pPr>
      <w:r>
        <w:rPr>
          <w:rFonts w:ascii="仿宋_GB2312" w:hAnsi="仿宋_GB2312" w:cs="仿宋_GB2312" w:eastAsia="仿宋_GB2312"/>
        </w:rPr>
        <w:t>6、没有重大违法记录的书面声明：供应商应出具参加政府采购活动前3年内在经营活动中没有重大违法记录的书面声明；</w:t>
      </w:r>
    </w:p>
    <w:p>
      <w:pPr>
        <w:pStyle w:val="null3"/>
      </w:pPr>
      <w:r>
        <w:rPr>
          <w:rFonts w:ascii="仿宋_GB2312" w:hAnsi="仿宋_GB2312" w:cs="仿宋_GB2312" w:eastAsia="仿宋_GB2312"/>
        </w:rPr>
        <w:t>7、合同履约能力：供应商具有履行合同所必需的设备和专业技术能力；</w:t>
      </w:r>
    </w:p>
    <w:p>
      <w:pPr>
        <w:pStyle w:val="null3"/>
      </w:pPr>
      <w:r>
        <w:rPr>
          <w:rFonts w:ascii="仿宋_GB2312" w:hAnsi="仿宋_GB2312" w:cs="仿宋_GB2312" w:eastAsia="仿宋_GB2312"/>
        </w:rPr>
        <w:t>8、信用中国网、中国政府采购网查询情况：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p>
      <w:pPr>
        <w:pStyle w:val="null3"/>
      </w:pPr>
      <w:r>
        <w:rPr>
          <w:rFonts w:ascii="仿宋_GB2312" w:hAnsi="仿宋_GB2312" w:cs="仿宋_GB2312" w:eastAsia="仿宋_GB2312"/>
        </w:rPr>
        <w:t>9、供应商关系关联情况：单位负责人为同一人或者存在直接控股、管理关系的不同供应商，不得参加同一合同项下的政府采购活动；</w:t>
      </w:r>
    </w:p>
    <w:p>
      <w:pPr>
        <w:pStyle w:val="null3"/>
      </w:pPr>
      <w:r>
        <w:rPr>
          <w:rFonts w:ascii="仿宋_GB2312" w:hAnsi="仿宋_GB2312" w:cs="仿宋_GB2312" w:eastAsia="仿宋_GB2312"/>
        </w:rPr>
        <w:t>10、磋商保证金：磋商保证金缴纳凭证或纸质保函或电子保函或信用担保；</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中国人民政治协商会议陕西省渭南市委员会办公室</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陕西省渭南市临渭区前进路109号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宋欢</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0913-2062627</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正凯建设项目管理有限公司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渭南市朝阳大街2号恒生国际大厦A座505室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王蕾、郭晓毅</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0913-2021966</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渭南市财政局政府采购管理科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任丽珍</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0913-2100007</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采购包1：425,000.00元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采购包1保证金金额：4,000.00元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开户名称：正凯建设项目管理有限公司</w:t>
            </w:r>
          </w:p>
          <w:p>
            <w:pPr>
              <w:pStyle w:val="null3"/>
            </w:pPr>
            <w:r>
              <w:rPr>
                <w:rFonts w:ascii="仿宋_GB2312" w:hAnsi="仿宋_GB2312" w:cs="仿宋_GB2312" w:eastAsia="仿宋_GB2312"/>
              </w:rPr>
              <w:t>开户银行：中国建行银行股份有限公司西安经济技术开发区支行</w:t>
            </w:r>
          </w:p>
          <w:p>
            <w:pPr>
              <w:pStyle w:val="null3"/>
            </w:pPr>
            <w:r>
              <w:rPr>
                <w:rFonts w:ascii="仿宋_GB2312" w:hAnsi="仿宋_GB2312" w:cs="仿宋_GB2312" w:eastAsia="仿宋_GB2312"/>
              </w:rPr>
              <w:t>银行账号：61050193004100000678</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代理服务费用收取对象：采购人</w:t>
            </w:r>
          </w:p>
          <w:p>
            <w:pPr>
              <w:pStyle w:val="null3"/>
            </w:pPr>
            <w:r>
              <w:rPr>
                <w:rFonts w:ascii="仿宋_GB2312" w:hAnsi="仿宋_GB2312" w:cs="仿宋_GB2312" w:eastAsia="仿宋_GB2312"/>
              </w:rPr>
              <w:t>代理服务费收费标准：以成交金额为计价依据，由采购人在领取《成交通知书》时参照原“国家发展计划委员会2002-10-01文件“计价格〔2002〕1980号”关于印发《招标代理服务收费管理暂行办法》的通知收费标准，一次性向采购代理机构支付。</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中国人民政治协商会议陕西省渭南市委员会办公室</w:t>
      </w:r>
      <w:r>
        <w:rPr>
          <w:rFonts w:ascii="仿宋_GB2312" w:hAnsi="仿宋_GB2312" w:cs="仿宋_GB2312" w:eastAsia="仿宋_GB2312"/>
        </w:rPr>
        <w:t>和</w:t>
      </w:r>
      <w:r>
        <w:rPr>
          <w:rFonts w:ascii="仿宋_GB2312" w:hAnsi="仿宋_GB2312" w:cs="仿宋_GB2312" w:eastAsia="仿宋_GB2312"/>
        </w:rPr>
        <w:t>正凯建设项目管理有限公司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中国人民政治协商会议陕西省渭南市委员会办公室</w:t>
      </w:r>
      <w:r>
        <w:rPr>
          <w:rFonts w:ascii="仿宋_GB2312" w:hAnsi="仿宋_GB2312" w:cs="仿宋_GB2312" w:eastAsia="仿宋_GB2312"/>
        </w:rPr>
        <w:t>负责解释。除上述磋商文件内容，其他内容由</w:t>
      </w:r>
      <w:r>
        <w:rPr>
          <w:rFonts w:ascii="仿宋_GB2312" w:hAnsi="仿宋_GB2312" w:cs="仿宋_GB2312" w:eastAsia="仿宋_GB2312"/>
        </w:rPr>
        <w:t>正凯建设项目管理有限公司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中国人民政治协商会议陕西省渭南市委员会办公室</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正凯建设项目管理有限公司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服务质量达到国家现行驾驶员服务行业规定合格标准。 《公务用车驾驶员外包服务运营管理规范》（T/BHRCA 0005-2025）</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正凯建设项目管理有限公司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正凯建设项目管理有限公司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正凯建设项目管理有限公司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联系人：张薇、郭晓毅、王蕾</w:t>
      </w:r>
    </w:p>
    <w:p>
      <w:pPr>
        <w:pStyle w:val="null3"/>
      </w:pPr>
      <w:r>
        <w:rPr>
          <w:rFonts w:ascii="仿宋_GB2312" w:hAnsi="仿宋_GB2312" w:cs="仿宋_GB2312" w:eastAsia="仿宋_GB2312"/>
        </w:rPr>
        <w:t>联系电话：0913-2021966</w:t>
      </w:r>
    </w:p>
    <w:p>
      <w:pPr>
        <w:pStyle w:val="null3"/>
      </w:pPr>
      <w:r>
        <w:rPr>
          <w:rFonts w:ascii="仿宋_GB2312" w:hAnsi="仿宋_GB2312" w:cs="仿宋_GB2312" w:eastAsia="仿宋_GB2312"/>
        </w:rPr>
        <w:t>地址：渭南市朝阳大街2号恒生国际大厦A座505室</w:t>
      </w:r>
    </w:p>
    <w:p>
      <w:pPr>
        <w:pStyle w:val="null3"/>
      </w:pPr>
      <w:r>
        <w:rPr>
          <w:rFonts w:ascii="仿宋_GB2312" w:hAnsi="仿宋_GB2312" w:cs="仿宋_GB2312" w:eastAsia="仿宋_GB2312"/>
        </w:rPr>
        <w:t>邮编：714000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保障单位公务出行、会务接待、应急保障、车辆管护等后勤服务工作。派驻12名专职驾驶员，提供公务驾驶、车辆养护、台账登记、应急值守等一体化服务，保障机关调研视察、公务出行、机要通信、应急保障等各类工作的用车驾驶需求。</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425,000.00</w:t>
      </w:r>
    </w:p>
    <w:p>
      <w:pPr>
        <w:pStyle w:val="null3"/>
      </w:pPr>
      <w:r>
        <w:rPr>
          <w:rFonts w:ascii="仿宋_GB2312" w:hAnsi="仿宋_GB2312" w:cs="仿宋_GB2312" w:eastAsia="仿宋_GB2312"/>
        </w:rPr>
        <w:t>采购包最高限价（元）: 425,000.00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渭南市政协机关驾驶员服务采购项目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425,000.00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标的名称：渭南市政协机关驾驶员服务采购项目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156"/>
              <w:gridCol w:w="2243"/>
            </w:tblGrid>
            <w:tr>
              <w:tc>
                <w:tcPr>
                  <w:tcW w:type="dxa" w:w="15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jc w:val="center"/>
                  </w:pPr>
                  <w:r>
                    <w:rPr>
                      <w:rFonts w:ascii="仿宋_GB2312" w:hAnsi="仿宋_GB2312" w:cs="仿宋_GB2312" w:eastAsia="仿宋_GB2312"/>
                      <w:sz w:val="19"/>
                      <w:color w:val="000000"/>
                    </w:rPr>
                    <w:t>1</w:t>
                  </w:r>
                </w:p>
              </w:tc>
              <w:tc>
                <w:tcPr>
                  <w:tcW w:type="dxa" w:w="224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65"/>
                    <w:jc w:val="both"/>
                  </w:pPr>
                  <w:r>
                    <w:rPr>
                      <w:rFonts w:ascii="仿宋_GB2312" w:hAnsi="仿宋_GB2312" w:cs="仿宋_GB2312" w:eastAsia="仿宋_GB2312"/>
                      <w:sz w:val="21"/>
                      <w:color w:val="000000"/>
                    </w:rPr>
                    <w:t>采</w:t>
                  </w:r>
                  <w:r>
                    <w:rPr>
                      <w:rFonts w:ascii="仿宋_GB2312" w:hAnsi="仿宋_GB2312" w:cs="仿宋_GB2312" w:eastAsia="仿宋_GB2312"/>
                      <w:sz w:val="21"/>
                      <w:color w:val="000000"/>
                    </w:rPr>
                    <w:t>购内容：</w:t>
                  </w:r>
                  <w:r>
                    <w:rPr>
                      <w:rFonts w:ascii="仿宋_GB2312" w:hAnsi="仿宋_GB2312" w:cs="仿宋_GB2312" w:eastAsia="仿宋_GB2312"/>
                      <w:sz w:val="21"/>
                      <w:color w:val="000000"/>
                    </w:rPr>
                    <w:t>保障单位公务出行、会务接待、应急保障、车辆管护等后勤服务工作。派驻</w:t>
                  </w:r>
                  <w:r>
                    <w:rPr>
                      <w:rFonts w:ascii="仿宋_GB2312" w:hAnsi="仿宋_GB2312" w:cs="仿宋_GB2312" w:eastAsia="仿宋_GB2312"/>
                      <w:sz w:val="21"/>
                      <w:color w:val="000000"/>
                    </w:rPr>
                    <w:t>12名专职驾驶员，提供公务驾驶、车辆养护、台账登记、应急值守等一体化服务，保障机关调研视察、公务出行、机要通信、应急保障等各类工作的用车驾驶需求。</w:t>
                  </w:r>
                </w:p>
              </w:tc>
            </w:tr>
            <w:tr>
              <w:tc>
                <w:tcPr>
                  <w:tcW w:type="dxa" w:w="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jc w:val="center"/>
                  </w:pPr>
                  <w:r>
                    <w:rPr>
                      <w:rFonts w:ascii="仿宋_GB2312" w:hAnsi="仿宋_GB2312" w:cs="仿宋_GB2312" w:eastAsia="仿宋_GB2312"/>
                      <w:sz w:val="19"/>
                      <w:color w:val="000000"/>
                    </w:rPr>
                    <w:t>2</w:t>
                  </w:r>
                </w:p>
              </w:tc>
              <w:tc>
                <w:tcPr>
                  <w:tcW w:type="dxa" w:w="224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功能要求：</w:t>
                  </w:r>
                  <w:r>
                    <w:rPr>
                      <w:rFonts w:ascii="仿宋_GB2312" w:hAnsi="仿宋_GB2312" w:cs="仿宋_GB2312" w:eastAsia="仿宋_GB2312"/>
                      <w:sz w:val="21"/>
                      <w:color w:val="000000"/>
                    </w:rPr>
                    <w:t>保障单位公务出行、会务接待、应急保障、车辆管护等后勤服务工作。派驻</w:t>
                  </w:r>
                  <w:r>
                    <w:rPr>
                      <w:rFonts w:ascii="仿宋_GB2312" w:hAnsi="仿宋_GB2312" w:cs="仿宋_GB2312" w:eastAsia="仿宋_GB2312"/>
                      <w:sz w:val="21"/>
                      <w:color w:val="000000"/>
                    </w:rPr>
                    <w:t>12名专职驾驶员，提供公务驾驶、车辆养护、台账登记、应急值守等一体化服务，保障机关调研视察、公务出行、机要通信、应急保障等各类工作的用车驾驶需求。</w:t>
                  </w:r>
                </w:p>
              </w:tc>
            </w:tr>
            <w:tr>
              <w:tc>
                <w:tcPr>
                  <w:tcW w:type="dxa" w:w="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jc w:val="center"/>
                  </w:pPr>
                  <w:r>
                    <w:rPr>
                      <w:rFonts w:ascii="仿宋_GB2312" w:hAnsi="仿宋_GB2312" w:cs="仿宋_GB2312" w:eastAsia="仿宋_GB2312"/>
                      <w:sz w:val="19"/>
                      <w:color w:val="000000"/>
                    </w:rPr>
                    <w:t>3</w:t>
                  </w:r>
                </w:p>
              </w:tc>
              <w:tc>
                <w:tcPr>
                  <w:tcW w:type="dxa" w:w="224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color w:val="000000"/>
                    </w:rPr>
                    <w:t>服务期限：</w:t>
                  </w:r>
                  <w:r>
                    <w:rPr>
                      <w:rFonts w:ascii="仿宋_GB2312" w:hAnsi="仿宋_GB2312" w:cs="仿宋_GB2312" w:eastAsia="仿宋_GB2312"/>
                      <w:sz w:val="21"/>
                      <w:color w:val="000000"/>
                    </w:rPr>
                    <w:t>合同签订之日起至</w:t>
                  </w:r>
                  <w:r>
                    <w:rPr>
                      <w:rFonts w:ascii="仿宋_GB2312" w:hAnsi="仿宋_GB2312" w:cs="仿宋_GB2312" w:eastAsia="仿宋_GB2312"/>
                      <w:sz w:val="21"/>
                      <w:color w:val="000000"/>
                    </w:rPr>
                    <w:t>2026年12月31日止。合同一年一签，服务期满考核合格可按规定续签，累计服务年限不超政府采购相关规定年限。</w:t>
                  </w:r>
                </w:p>
              </w:tc>
            </w:tr>
            <w:tr>
              <w:tc>
                <w:tcPr>
                  <w:tcW w:type="dxa" w:w="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jc w:val="center"/>
                  </w:pPr>
                  <w:r>
                    <w:rPr>
                      <w:rFonts w:ascii="仿宋_GB2312" w:hAnsi="仿宋_GB2312" w:cs="仿宋_GB2312" w:eastAsia="仿宋_GB2312"/>
                      <w:sz w:val="19"/>
                      <w:color w:val="000000"/>
                    </w:rPr>
                    <w:t>4</w:t>
                  </w:r>
                </w:p>
              </w:tc>
              <w:tc>
                <w:tcPr>
                  <w:tcW w:type="dxa" w:w="224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ind w:right="150"/>
                    <w:jc w:val="both"/>
                  </w:pPr>
                  <w:r>
                    <w:rPr>
                      <w:rFonts w:ascii="仿宋_GB2312" w:hAnsi="仿宋_GB2312" w:cs="仿宋_GB2312" w:eastAsia="仿宋_GB2312"/>
                      <w:sz w:val="21"/>
                      <w:color w:val="000000"/>
                    </w:rPr>
                    <w:t>服务地点：</w:t>
                  </w:r>
                  <w:r>
                    <w:rPr>
                      <w:rFonts w:ascii="仿宋_GB2312" w:hAnsi="仿宋_GB2312" w:cs="仿宋_GB2312" w:eastAsia="仿宋_GB2312"/>
                      <w:sz w:val="21"/>
                      <w:color w:val="000000"/>
                    </w:rPr>
                    <w:t>渭南市临渭区前进路</w:t>
                  </w:r>
                  <w:r>
                    <w:rPr>
                      <w:rFonts w:ascii="仿宋_GB2312" w:hAnsi="仿宋_GB2312" w:cs="仿宋_GB2312" w:eastAsia="仿宋_GB2312"/>
                      <w:sz w:val="21"/>
                      <w:color w:val="000000"/>
                    </w:rPr>
                    <w:t>109号</w:t>
                  </w:r>
                </w:p>
              </w:tc>
            </w:tr>
            <w:tr>
              <w:tc>
                <w:tcPr>
                  <w:tcW w:type="dxa" w:w="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jc w:val="center"/>
                  </w:pPr>
                  <w:r>
                    <w:rPr>
                      <w:rFonts w:ascii="仿宋_GB2312" w:hAnsi="仿宋_GB2312" w:cs="仿宋_GB2312" w:eastAsia="仿宋_GB2312"/>
                      <w:sz w:val="19"/>
                      <w:color w:val="000000"/>
                    </w:rPr>
                    <w:t>5</w:t>
                  </w:r>
                </w:p>
              </w:tc>
              <w:tc>
                <w:tcPr>
                  <w:tcW w:type="dxa" w:w="224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jc w:val="left"/>
                  </w:pPr>
                  <w:r>
                    <w:rPr>
                      <w:rFonts w:ascii="仿宋_GB2312" w:hAnsi="仿宋_GB2312" w:cs="仿宋_GB2312" w:eastAsia="仿宋_GB2312"/>
                      <w:sz w:val="21"/>
                      <w:color w:val="000000"/>
                    </w:rPr>
                    <w:t>需执行的国家相关标准、行业标准、地方标准或者其他标准、规范标准：</w:t>
                  </w:r>
                </w:p>
                <w:p>
                  <w:pPr>
                    <w:pStyle w:val="null3"/>
                    <w:spacing w:before="60"/>
                    <w:jc w:val="left"/>
                  </w:pPr>
                  <w:r>
                    <w:rPr>
                      <w:rFonts w:ascii="仿宋_GB2312" w:hAnsi="仿宋_GB2312" w:cs="仿宋_GB2312" w:eastAsia="仿宋_GB2312"/>
                      <w:sz w:val="21"/>
                      <w:color w:val="000000"/>
                    </w:rPr>
                    <w:t>《公务用车驾驶员外包服务运营管理规范》（</w:t>
                  </w:r>
                  <w:r>
                    <w:rPr>
                      <w:rFonts w:ascii="仿宋_GB2312" w:hAnsi="仿宋_GB2312" w:cs="仿宋_GB2312" w:eastAsia="仿宋_GB2312"/>
                      <w:sz w:val="21"/>
                      <w:color w:val="000000"/>
                    </w:rPr>
                    <w:t>T/BHRCA 0005-2025</w:t>
                  </w:r>
                  <w:r>
                    <w:rPr>
                      <w:rFonts w:ascii="仿宋_GB2312" w:hAnsi="仿宋_GB2312" w:cs="仿宋_GB2312" w:eastAsia="仿宋_GB2312"/>
                      <w:sz w:val="21"/>
                      <w:color w:val="000000"/>
                    </w:rPr>
                    <w:t>）</w:t>
                  </w:r>
                </w:p>
              </w:tc>
            </w:tr>
            <w:tr>
              <w:tc>
                <w:tcPr>
                  <w:tcW w:type="dxa" w:w="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9"/>
                      <w:color w:val="000000"/>
                    </w:rPr>
                    <w:t>6</w:t>
                  </w:r>
                </w:p>
              </w:tc>
              <w:tc>
                <w:tcPr>
                  <w:tcW w:type="dxa" w:w="224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服务指标的具体要求：</w:t>
                  </w:r>
                </w:p>
                <w:p>
                  <w:pPr>
                    <w:pStyle w:val="null3"/>
                    <w:spacing w:before="60"/>
                    <w:jc w:val="left"/>
                  </w:pPr>
                  <w:r>
                    <w:rPr>
                      <w:rFonts w:ascii="仿宋_GB2312" w:hAnsi="仿宋_GB2312" w:cs="仿宋_GB2312" w:eastAsia="仿宋_GB2312"/>
                      <w:sz w:val="21"/>
                      <w:color w:val="000000"/>
                    </w:rPr>
                    <w:t>（一）人员配置基本需求</w:t>
                  </w:r>
                </w:p>
                <w:p>
                  <w:pPr>
                    <w:pStyle w:val="null3"/>
                    <w:spacing w:before="60"/>
                    <w:ind w:firstLine="428"/>
                    <w:jc w:val="left"/>
                  </w:pPr>
                  <w:r>
                    <w:rPr>
                      <w:rFonts w:ascii="仿宋_GB2312" w:hAnsi="仿宋_GB2312" w:cs="仿宋_GB2312" w:eastAsia="仿宋_GB2312"/>
                      <w:sz w:val="21"/>
                      <w:color w:val="000000"/>
                    </w:rPr>
                    <w:t>1. 配置数量：派驻专职驾驶员共计12名，人员实行定岗驻点服务，未经采购人同意不得随意更换、抽调、离岗。</w:t>
                  </w:r>
                </w:p>
                <w:p>
                  <w:pPr>
                    <w:pStyle w:val="null3"/>
                    <w:spacing w:before="60"/>
                    <w:ind w:firstLine="428"/>
                    <w:jc w:val="left"/>
                  </w:pPr>
                  <w:r>
                    <w:rPr>
                      <w:rFonts w:ascii="仿宋_GB2312" w:hAnsi="仿宋_GB2312" w:cs="仿宋_GB2312" w:eastAsia="仿宋_GB2312"/>
                      <w:sz w:val="21"/>
                      <w:color w:val="000000"/>
                    </w:rPr>
                    <w:t>2. 人员资格要求：所有驾驶员须持有C1及以上有效机动车驾驶证，驾龄5年及以上；个人征信良好、无重大交通事故记录、无酒驾毒驾、无交通肇事逃逸、无严重交通违法记录、无违法犯罪前科。</w:t>
                  </w:r>
                </w:p>
                <w:p>
                  <w:pPr>
                    <w:pStyle w:val="null3"/>
                    <w:spacing w:before="60"/>
                    <w:ind w:firstLine="428"/>
                    <w:jc w:val="left"/>
                  </w:pPr>
                  <w:r>
                    <w:rPr>
                      <w:rFonts w:ascii="仿宋_GB2312" w:hAnsi="仿宋_GB2312" w:cs="仿宋_GB2312" w:eastAsia="仿宋_GB2312"/>
                      <w:sz w:val="21"/>
                      <w:color w:val="000000"/>
                    </w:rPr>
                    <w:t>3. 身体条件：身体健康、五官端正、无传染性疾病、无色盲色弱、无心脏病等不适宜驾驶的疾病，能适应节假日值班、长途公务出行等工作安排。</w:t>
                  </w:r>
                </w:p>
                <w:p>
                  <w:pPr>
                    <w:pStyle w:val="null3"/>
                    <w:spacing w:before="60"/>
                    <w:ind w:firstLine="428"/>
                    <w:jc w:val="left"/>
                  </w:pPr>
                  <w:r>
                    <w:rPr>
                      <w:rFonts w:ascii="仿宋_GB2312" w:hAnsi="仿宋_GB2312" w:cs="仿宋_GB2312" w:eastAsia="仿宋_GB2312"/>
                      <w:sz w:val="21"/>
                      <w:color w:val="000000"/>
                    </w:rPr>
                    <w:t>4. 素养要求：政治立场端正、遵纪守法、作风严谨、保密意识强，熟悉机关公务接待礼仪、公务用车管理制度，服从单位统一调度管理。</w:t>
                  </w:r>
                </w:p>
                <w:p>
                  <w:pPr>
                    <w:pStyle w:val="null3"/>
                    <w:spacing w:before="60"/>
                    <w:jc w:val="left"/>
                  </w:pPr>
                  <w:r>
                    <w:rPr>
                      <w:rFonts w:ascii="仿宋_GB2312" w:hAnsi="仿宋_GB2312" w:cs="仿宋_GB2312" w:eastAsia="仿宋_GB2312"/>
                      <w:sz w:val="21"/>
                      <w:color w:val="000000"/>
                    </w:rPr>
                    <w:t>（二）核心服务内容</w:t>
                  </w:r>
                </w:p>
                <w:p>
                  <w:pPr>
                    <w:pStyle w:val="null3"/>
                    <w:spacing w:before="60"/>
                    <w:ind w:firstLine="428"/>
                    <w:jc w:val="left"/>
                  </w:pPr>
                  <w:r>
                    <w:rPr>
                      <w:rFonts w:ascii="仿宋_GB2312" w:hAnsi="仿宋_GB2312" w:cs="仿宋_GB2312" w:eastAsia="仿宋_GB2312"/>
                      <w:sz w:val="21"/>
                      <w:color w:val="000000"/>
                    </w:rPr>
                    <w:t>1. 日常驾驶保障：负责单位所有公务车辆日常通勤、干部职工公务出行、基层调研、会议接送、外勤办事、跨省市公务出行等驾驶服务，保障公务活动全天候顺畅开展。</w:t>
                  </w:r>
                </w:p>
                <w:p>
                  <w:pPr>
                    <w:pStyle w:val="null3"/>
                    <w:spacing w:before="60"/>
                    <w:ind w:firstLine="428"/>
                    <w:jc w:val="left"/>
                  </w:pPr>
                  <w:r>
                    <w:rPr>
                      <w:rFonts w:ascii="仿宋_GB2312" w:hAnsi="仿宋_GB2312" w:cs="仿宋_GB2312" w:eastAsia="仿宋_GB2312"/>
                      <w:sz w:val="21"/>
                      <w:color w:val="000000"/>
                    </w:rPr>
                    <w:t>2. 车辆日常管护：每日出车前、收车后对车辆车况、轮胎、机油、刹车、水电、油量进行全面检查；定期配合完成车辆年检、保养、维修报备工作；负责车辆日常清洁，保持车内整洁、车况良好。</w:t>
                  </w:r>
                </w:p>
                <w:p>
                  <w:pPr>
                    <w:pStyle w:val="null3"/>
                    <w:spacing w:before="60"/>
                    <w:ind w:firstLine="428"/>
                    <w:jc w:val="left"/>
                  </w:pPr>
                  <w:r>
                    <w:rPr>
                      <w:rFonts w:ascii="仿宋_GB2312" w:hAnsi="仿宋_GB2312" w:cs="仿宋_GB2312" w:eastAsia="仿宋_GB2312"/>
                      <w:sz w:val="21"/>
                      <w:color w:val="000000"/>
                    </w:rPr>
                    <w:t>3. 台账资料管理：严格按照机关用车规定，如实登记出车台账、行驶里程、用车事由、用车人员，留存完整记录，配合办公室做好公务用车统计、核查、归档工作。</w:t>
                  </w:r>
                </w:p>
                <w:p>
                  <w:pPr>
                    <w:pStyle w:val="null3"/>
                    <w:spacing w:before="60"/>
                    <w:ind w:firstLine="428"/>
                    <w:jc w:val="left"/>
                  </w:pPr>
                  <w:r>
                    <w:rPr>
                      <w:rFonts w:ascii="仿宋_GB2312" w:hAnsi="仿宋_GB2312" w:cs="仿宋_GB2312" w:eastAsia="仿宋_GB2312"/>
                      <w:sz w:val="21"/>
                      <w:color w:val="000000"/>
                    </w:rPr>
                    <w:t>4. 应急值守保障：落实24小时应急响应制度，节假日、休息日按需值班备勤，随时响应紧急公务、突发任务、应急接送等临时调度需求。</w:t>
                  </w:r>
                </w:p>
                <w:p>
                  <w:pPr>
                    <w:pStyle w:val="null3"/>
                    <w:spacing w:before="60"/>
                    <w:ind w:firstLine="428"/>
                    <w:jc w:val="left"/>
                  </w:pPr>
                  <w:r>
                    <w:rPr>
                      <w:rFonts w:ascii="仿宋_GB2312" w:hAnsi="仿宋_GB2312" w:cs="仿宋_GB2312" w:eastAsia="仿宋_GB2312"/>
                      <w:sz w:val="21"/>
                      <w:color w:val="000000"/>
                    </w:rPr>
                    <w:t>5. 合规纪律服务：严格遵守交通法规，文明驾驶、安全行车，杜绝违章驾驶、疲劳驾驶；严守单位保密制度，不泄露公务行程、工作信息，不私自公车私用、不擅自外借车辆。</w:t>
                  </w:r>
                </w:p>
                <w:p>
                  <w:pPr>
                    <w:pStyle w:val="null3"/>
                    <w:spacing w:before="60"/>
                    <w:jc w:val="left"/>
                  </w:pPr>
                  <w:r>
                    <w:rPr>
                      <w:rFonts w:ascii="仿宋_GB2312" w:hAnsi="仿宋_GB2312" w:cs="仿宋_GB2312" w:eastAsia="仿宋_GB2312"/>
                      <w:sz w:val="21"/>
                      <w:color w:val="000000"/>
                    </w:rPr>
                    <w:t>（三）服务标准与考核要求</w:t>
                  </w:r>
                </w:p>
                <w:p>
                  <w:pPr>
                    <w:pStyle w:val="null3"/>
                    <w:spacing w:before="60"/>
                    <w:ind w:firstLine="428"/>
                    <w:jc w:val="left"/>
                  </w:pPr>
                  <w:r>
                    <w:rPr>
                      <w:rFonts w:ascii="仿宋_GB2312" w:hAnsi="仿宋_GB2312" w:cs="仿宋_GB2312" w:eastAsia="仿宋_GB2312"/>
                      <w:sz w:val="21"/>
                      <w:color w:val="000000"/>
                    </w:rPr>
                    <w:t>1. 安全标准：服务期内无重大及以上交通安全责任事故，最大限度减少轻微违章、剐蹭事故，全年安全行车零重大事故。</w:t>
                  </w:r>
                </w:p>
                <w:p>
                  <w:pPr>
                    <w:pStyle w:val="null3"/>
                    <w:spacing w:before="60"/>
                    <w:ind w:firstLine="428"/>
                    <w:jc w:val="left"/>
                  </w:pPr>
                  <w:r>
                    <w:rPr>
                      <w:rFonts w:ascii="仿宋_GB2312" w:hAnsi="仿宋_GB2312" w:cs="仿宋_GB2312" w:eastAsia="仿宋_GB2312"/>
                      <w:sz w:val="21"/>
                      <w:color w:val="000000"/>
                    </w:rPr>
                    <w:t>2. 服务标准：响应及时、调度服从、举止规范、服务热情，严格遵守机关各项规章制度，杜绝迟到早退、脱岗怠工、消极服务等问题。</w:t>
                  </w:r>
                </w:p>
                <w:p>
                  <w:pPr>
                    <w:pStyle w:val="null3"/>
                    <w:spacing w:before="60"/>
                    <w:ind w:firstLine="428"/>
                    <w:jc w:val="left"/>
                  </w:pPr>
                  <w:r>
                    <w:rPr>
                      <w:rFonts w:ascii="仿宋_GB2312" w:hAnsi="仿宋_GB2312" w:cs="仿宋_GB2312" w:eastAsia="仿宋_GB2312"/>
                      <w:sz w:val="21"/>
                      <w:color w:val="000000"/>
                    </w:rPr>
                    <w:t>3. 管理标准：供应商需建立完善人员管理制度、岗前培训制度、应急管理制度，定期开展交通安全、公务礼仪、保密纪律培训。</w:t>
                  </w:r>
                </w:p>
                <w:p>
                  <w:pPr>
                    <w:pStyle w:val="null3"/>
                    <w:spacing w:before="60"/>
                    <w:ind w:firstLine="428"/>
                    <w:jc w:val="left"/>
                  </w:pPr>
                  <w:r>
                    <w:rPr>
                      <w:rFonts w:ascii="仿宋_GB2312" w:hAnsi="仿宋_GB2312" w:cs="仿宋_GB2312" w:eastAsia="仿宋_GB2312"/>
                      <w:sz w:val="21"/>
                      <w:color w:val="000000"/>
                    </w:rPr>
                    <w:t>4. 考核机制：采购人按月、季度对驾驶员服务态度、安全行车、考勤纪律、台账规范进行考核，考核不合格人员，供应商须3个工作日内无条件更换。</w:t>
                  </w:r>
                </w:p>
                <w:p>
                  <w:pPr>
                    <w:pStyle w:val="null3"/>
                    <w:spacing w:before="60"/>
                    <w:jc w:val="left"/>
                  </w:pPr>
                  <w:r>
                    <w:rPr>
                      <w:rFonts w:ascii="仿宋_GB2312" w:hAnsi="仿宋_GB2312" w:cs="仿宋_GB2312" w:eastAsia="仿宋_GB2312"/>
                      <w:sz w:val="21"/>
                      <w:color w:val="000000"/>
                    </w:rPr>
                    <w:t>（四）服务期限及人员管理</w:t>
                  </w:r>
                </w:p>
                <w:p>
                  <w:pPr>
                    <w:pStyle w:val="null3"/>
                    <w:spacing w:before="60"/>
                    <w:ind w:firstLine="428"/>
                    <w:jc w:val="left"/>
                  </w:pPr>
                  <w:r>
                    <w:rPr>
                      <w:rFonts w:ascii="仿宋_GB2312" w:hAnsi="仿宋_GB2312" w:cs="仿宋_GB2312" w:eastAsia="仿宋_GB2312"/>
                      <w:sz w:val="21"/>
                      <w:color w:val="000000"/>
                    </w:rPr>
                    <w:t>1. 服务期限：</w:t>
                  </w:r>
                  <w:r>
                    <w:rPr>
                      <w:rFonts w:ascii="仿宋_GB2312" w:hAnsi="仿宋_GB2312" w:cs="仿宋_GB2312" w:eastAsia="仿宋_GB2312"/>
                      <w:sz w:val="21"/>
                      <w:color w:val="000000"/>
                    </w:rPr>
                    <w:t>合同签订之日起至</w:t>
                  </w:r>
                  <w:r>
                    <w:rPr>
                      <w:rFonts w:ascii="仿宋_GB2312" w:hAnsi="仿宋_GB2312" w:cs="仿宋_GB2312" w:eastAsia="仿宋_GB2312"/>
                      <w:sz w:val="21"/>
                      <w:color w:val="000000"/>
                    </w:rPr>
                    <w:t>2026年12月31日止。合同一年一签，服务期满考核合格可按规定续签，累计服务年限不超政府采购相关规定年限。</w:t>
                  </w:r>
                </w:p>
                <w:p>
                  <w:pPr>
                    <w:pStyle w:val="null3"/>
                    <w:spacing w:before="60"/>
                    <w:ind w:firstLine="428"/>
                    <w:jc w:val="left"/>
                  </w:pPr>
                  <w:r>
                    <w:rPr>
                      <w:rFonts w:ascii="仿宋_GB2312" w:hAnsi="仿宋_GB2312" w:cs="仿宋_GB2312" w:eastAsia="仿宋_GB2312"/>
                      <w:sz w:val="21"/>
                      <w:color w:val="000000"/>
                    </w:rPr>
                    <w:t>2. 所有派驻人员劳动关系、社保缴纳、薪酬福利、</w:t>
                  </w:r>
                  <w:r>
                    <w:rPr>
                      <w:rFonts w:ascii="仿宋_GB2312" w:hAnsi="仿宋_GB2312" w:cs="仿宋_GB2312" w:eastAsia="仿宋_GB2312"/>
                      <w:sz w:val="21"/>
                      <w:color w:val="000000"/>
                    </w:rPr>
                    <w:t>人身意外</w:t>
                  </w:r>
                  <w:r>
                    <w:rPr>
                      <w:rFonts w:ascii="仿宋_GB2312" w:hAnsi="仿宋_GB2312" w:cs="仿宋_GB2312" w:eastAsia="仿宋_GB2312"/>
                      <w:sz w:val="21"/>
                      <w:color w:val="000000"/>
                    </w:rPr>
                    <w:t>、岗位培训均由成交供应商全权负责，与采购人无劳动用工关系。</w:t>
                  </w:r>
                </w:p>
                <w:p>
                  <w:pPr>
                    <w:pStyle w:val="null3"/>
                    <w:spacing w:before="60"/>
                    <w:ind w:firstLine="428"/>
                    <w:jc w:val="left"/>
                  </w:pPr>
                  <w:r>
                    <w:rPr>
                      <w:rFonts w:ascii="仿宋_GB2312" w:hAnsi="仿宋_GB2312" w:cs="仿宋_GB2312" w:eastAsia="仿宋_GB2312"/>
                      <w:sz w:val="21"/>
                      <w:color w:val="000000"/>
                    </w:rPr>
                    <w:t>3. 供应商须安排专人对接管理，常态化开展人员督导，及时处理服务投诉、问题整改，保障服务质量稳定。</w:t>
                  </w:r>
                </w:p>
                <w:p>
                  <w:pPr>
                    <w:pStyle w:val="null3"/>
                    <w:spacing w:before="60"/>
                    <w:jc w:val="left"/>
                  </w:pPr>
                  <w:r>
                    <w:rPr>
                      <w:rFonts w:ascii="仿宋_GB2312" w:hAnsi="仿宋_GB2312" w:cs="仿宋_GB2312" w:eastAsia="仿宋_GB2312"/>
                      <w:sz w:val="21"/>
                      <w:color w:val="000000"/>
                    </w:rPr>
                    <w:t>（五）其他要求</w:t>
                  </w:r>
                </w:p>
                <w:p>
                  <w:pPr>
                    <w:pStyle w:val="null3"/>
                    <w:spacing w:before="60"/>
                    <w:ind w:firstLine="428"/>
                    <w:jc w:val="left"/>
                  </w:pPr>
                  <w:r>
                    <w:rPr>
                      <w:rFonts w:ascii="仿宋_GB2312" w:hAnsi="仿宋_GB2312" w:cs="仿宋_GB2312" w:eastAsia="仿宋_GB2312"/>
                      <w:sz w:val="21"/>
                      <w:color w:val="000000"/>
                    </w:rPr>
                    <w:t>1. 供应商需承担人员工伤、交通意外、劳动纠纷等全部责任及费用，采购人不承担任何连带责任。</w:t>
                  </w:r>
                </w:p>
                <w:p>
                  <w:pPr>
                    <w:pStyle w:val="null3"/>
                    <w:spacing w:before="60"/>
                    <w:ind w:firstLine="428"/>
                    <w:jc w:val="left"/>
                  </w:pPr>
                  <w:r>
                    <w:rPr>
                      <w:rFonts w:ascii="仿宋_GB2312" w:hAnsi="仿宋_GB2312" w:cs="仿宋_GB2312" w:eastAsia="仿宋_GB2312"/>
                      <w:sz w:val="21"/>
                      <w:color w:val="000000"/>
                    </w:rPr>
                    <w:t>2. 服务全过程严格落实政府采购、机关内控管理相关要求，合规、廉洁、规范开展服务工作。</w:t>
                  </w:r>
                </w:p>
              </w:tc>
            </w:tr>
            <w:tr>
              <w:tc>
                <w:tcPr>
                  <w:tcW w:type="dxa" w:w="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jc w:val="center"/>
                  </w:pPr>
                  <w:r>
                    <w:rPr>
                      <w:rFonts w:ascii="仿宋_GB2312" w:hAnsi="仿宋_GB2312" w:cs="仿宋_GB2312" w:eastAsia="仿宋_GB2312"/>
                      <w:sz w:val="19"/>
                      <w:color w:val="000000"/>
                    </w:rPr>
                    <w:t>7</w:t>
                  </w:r>
                </w:p>
              </w:tc>
              <w:tc>
                <w:tcPr>
                  <w:tcW w:type="dxa" w:w="224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jc w:val="left"/>
                  </w:pPr>
                  <w:r>
                    <w:rPr>
                      <w:rFonts w:ascii="仿宋_GB2312" w:hAnsi="仿宋_GB2312" w:cs="仿宋_GB2312" w:eastAsia="仿宋_GB2312"/>
                      <w:sz w:val="21"/>
                      <w:color w:val="000000"/>
                    </w:rPr>
                    <w:t>服务质量、标准</w:t>
                  </w:r>
                  <w:r>
                    <w:rPr>
                      <w:rFonts w:ascii="仿宋_GB2312" w:hAnsi="仿宋_GB2312" w:cs="仿宋_GB2312" w:eastAsia="仿宋_GB2312"/>
                      <w:sz w:val="21"/>
                      <w:color w:val="000000"/>
                    </w:rPr>
                    <w:t>、期限、效率等要求：</w:t>
                  </w:r>
                </w:p>
                <w:p>
                  <w:pPr>
                    <w:pStyle w:val="null3"/>
                    <w:spacing w:before="60"/>
                    <w:ind w:firstLine="428"/>
                    <w:jc w:val="left"/>
                  </w:pPr>
                  <w:r>
                    <w:rPr>
                      <w:rFonts w:ascii="仿宋_GB2312" w:hAnsi="仿宋_GB2312" w:cs="仿宋_GB2312" w:eastAsia="仿宋_GB2312"/>
                      <w:sz w:val="21"/>
                      <w:color w:val="000000"/>
                    </w:rPr>
                    <w:t>1.服务质量及标准：服务质量达到国家现行驾驶员服务行业规定合格标准。</w:t>
                  </w:r>
                </w:p>
                <w:p>
                  <w:pPr>
                    <w:pStyle w:val="null3"/>
                    <w:spacing w:before="60"/>
                    <w:ind w:firstLine="428"/>
                    <w:jc w:val="left"/>
                  </w:pPr>
                  <w:r>
                    <w:rPr>
                      <w:rFonts w:ascii="仿宋_GB2312" w:hAnsi="仿宋_GB2312" w:cs="仿宋_GB2312" w:eastAsia="仿宋_GB2312"/>
                      <w:sz w:val="21"/>
                      <w:color w:val="000000"/>
                    </w:rPr>
                    <w:t>2.服务期限：合同签订之日起至2026年12月31日止，合同一年一签，服务期满考核合格可按规定续签，累计服务年限不超政府采购相关规定年限。</w:t>
                  </w:r>
                </w:p>
              </w:tc>
            </w:tr>
          </w:tbl>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详见磋商文件3.2.2服务要求、磋商文件6.4.2评分标准。</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详见磋商文件3.2.2服务要求、磋商文件6.4.2评分标准。</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详见磋商文件3.2.2服务要求、磋商文件6.4.2评分标准。</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合同签订之日起至2026年12月31日止。合同一年一签，服务期满考核合格可按规定续签，累计服务年限不超政府采购相关规定年限。</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渭南市临渭区前进路109号</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服务质量达到国家现行驾驶员服务行业规定合格标准。</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进度款，服务质量达到国家现行驾驶员服务行业规定合格标准，达到付款条件起7个工作日内，支付合同总金额的14.3%</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进度款，服务质量达到国家现行驾驶员服务行业规定合格标准，达到付款条件起7个工作日内，支付合同总金额的14.3%</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进度款，服务质量达到国家现行驾驶员服务行业规定合格标准，达到付款条件起7个工作日内，支付合同总金额的14.3%</w:t>
      </w:r>
    </w:p>
    <w:p>
      <w:pPr>
        <w:pStyle w:val="null3"/>
        <w:ind w:firstLine="1200"/>
      </w:pPr>
      <w:r>
        <w:rPr>
          <w:rFonts w:ascii="仿宋_GB2312" w:hAnsi="仿宋_GB2312" w:cs="仿宋_GB2312" w:eastAsia="仿宋_GB2312"/>
        </w:rPr>
        <w:t>4、</w:t>
      </w:r>
      <w:r>
        <w:rPr>
          <w:rFonts w:ascii="仿宋_GB2312" w:hAnsi="仿宋_GB2312" w:cs="仿宋_GB2312" w:eastAsia="仿宋_GB2312"/>
        </w:rPr>
        <w:t>进度款，服务质量达到国家现行驾驶员服务行业规定合格标准，达到付款条件起7个工作日内，支付合同总金额的14.3%</w:t>
      </w:r>
    </w:p>
    <w:p>
      <w:pPr>
        <w:pStyle w:val="null3"/>
        <w:ind w:firstLine="1200"/>
      </w:pPr>
      <w:r>
        <w:rPr>
          <w:rFonts w:ascii="仿宋_GB2312" w:hAnsi="仿宋_GB2312" w:cs="仿宋_GB2312" w:eastAsia="仿宋_GB2312"/>
        </w:rPr>
        <w:t>5、</w:t>
      </w:r>
      <w:r>
        <w:rPr>
          <w:rFonts w:ascii="仿宋_GB2312" w:hAnsi="仿宋_GB2312" w:cs="仿宋_GB2312" w:eastAsia="仿宋_GB2312"/>
        </w:rPr>
        <w:t>进度款，服务质量达到国家现行驾驶员服务行业规定合格标准，达到付款条件起7个工作日内，支付合同总金额的14.3%</w:t>
      </w:r>
    </w:p>
    <w:p>
      <w:pPr>
        <w:pStyle w:val="null3"/>
        <w:ind w:firstLine="1200"/>
      </w:pPr>
      <w:r>
        <w:rPr>
          <w:rFonts w:ascii="仿宋_GB2312" w:hAnsi="仿宋_GB2312" w:cs="仿宋_GB2312" w:eastAsia="仿宋_GB2312"/>
        </w:rPr>
        <w:t>6、</w:t>
      </w:r>
      <w:r>
        <w:rPr>
          <w:rFonts w:ascii="仿宋_GB2312" w:hAnsi="仿宋_GB2312" w:cs="仿宋_GB2312" w:eastAsia="仿宋_GB2312"/>
        </w:rPr>
        <w:t>进度款，服务质量达到国家现行驾驶员服务行业规定合格标准，达到付款条件起7个工作日内，支付合同总金额的14.3%</w:t>
      </w:r>
    </w:p>
    <w:p>
      <w:pPr>
        <w:pStyle w:val="null3"/>
        <w:ind w:firstLine="1200"/>
      </w:pPr>
      <w:r>
        <w:rPr>
          <w:rFonts w:ascii="仿宋_GB2312" w:hAnsi="仿宋_GB2312" w:cs="仿宋_GB2312" w:eastAsia="仿宋_GB2312"/>
        </w:rPr>
        <w:t>7、</w:t>
      </w:r>
      <w:r>
        <w:rPr>
          <w:rFonts w:ascii="仿宋_GB2312" w:hAnsi="仿宋_GB2312" w:cs="仿宋_GB2312" w:eastAsia="仿宋_GB2312"/>
        </w:rPr>
        <w:t>进度款，服务质量达到国家现行驾驶员服务行业规定合格标准，达到付款条件起7个工作日内，支付合同总金额的14.2%</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1.甲乙双方必须遵守本合同并执行合同中的各项规定，保证本合同的正常履行。 2.双方本着友好合作的态度,对合同履行过程中发生的纠纷应及时协商解决，协商不成的，向采购人所在地有管辖权的人民法院诉讼解决。 3.在合同有效期内，任何一方因不可抗力事件导致不能履行合同，则合同履行期可延长，其延长期与不可抗力影响期相同。 4.因乙方驾驶员过错导致发生负主要责任的交通事故，造成人身伤亡或车辆严重损坏的，甲乙双方对事故处理事宜进行协商解决，且甲方有权解除合同。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合同履约能力.docx 税收缴纳证明.docx 财务状况证明.docx 供应商企业关系关联承诺书.docx 供应商应提交的相关资格证明材料 没有重大违法记录的书面声明.docx 响应函 社会保障资金缴纳证明.docx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财务状况证明.docx 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供应商企业关系关联承诺书.docx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供应商基本情况</w:t>
            </w:r>
          </w:p>
        </w:tc>
        <w:tc>
          <w:tcPr>
            <w:tcW w:type="dxa" w:w="3322"/>
          </w:tcPr>
          <w:p>
            <w:pPr>
              <w:pStyle w:val="null3"/>
            </w:pPr>
            <w:r>
              <w:rPr>
                <w:rFonts w:ascii="仿宋_GB2312" w:hAnsi="仿宋_GB2312" w:cs="仿宋_GB2312" w:eastAsia="仿宋_GB2312"/>
              </w:rPr>
              <w:t>供应商须具备独立承担民事责任能力的法人或其他组织，并出具合法有效的营业执照（含2024年或2025年年度报告）；</w:t>
            </w:r>
          </w:p>
        </w:tc>
        <w:tc>
          <w:tcPr>
            <w:tcW w:type="dxa" w:w="1661"/>
          </w:tcPr>
          <w:p>
            <w:pPr>
              <w:pStyle w:val="null3"/>
            </w:pPr>
            <w:r>
              <w:rPr>
                <w:rFonts w:ascii="仿宋_GB2312" w:hAnsi="仿宋_GB2312" w:cs="仿宋_GB2312" w:eastAsia="仿宋_GB2312"/>
              </w:rPr>
              <w:t>供应商基本情况.docx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法定代表人身份证明或法定代表人授权委托书</w:t>
            </w:r>
          </w:p>
        </w:tc>
        <w:tc>
          <w:tcPr>
            <w:tcW w:type="dxa" w:w="3322"/>
          </w:tcPr>
          <w:p>
            <w:pPr>
              <w:pStyle w:val="null3"/>
            </w:pPr>
            <w:r>
              <w:rPr>
                <w:rFonts w:ascii="仿宋_GB2312" w:hAnsi="仿宋_GB2312" w:cs="仿宋_GB2312" w:eastAsia="仿宋_GB2312"/>
              </w:rPr>
              <w:t>法定代表人参加的，须提供本人身份证复印件加盖公章并出示身份证原件；法定代表人授权他人参加的，须提供法定代表人委托授权书原件加盖公章，并出示被授权代表身份证原件及复印件加盖公章和近三个月的社保缴纳证明；</w:t>
            </w:r>
          </w:p>
        </w:tc>
        <w:tc>
          <w:tcPr>
            <w:tcW w:type="dxa" w:w="1661"/>
          </w:tcPr>
          <w:p>
            <w:pPr>
              <w:pStyle w:val="null3"/>
            </w:pPr>
            <w:r>
              <w:rPr>
                <w:rFonts w:ascii="仿宋_GB2312" w:hAnsi="仿宋_GB2312" w:cs="仿宋_GB2312" w:eastAsia="仿宋_GB2312"/>
              </w:rPr>
              <w:t>法定代表人身份证明或法定代表人授权委托书.pdf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提供2024年度或2025年度，经会计师事务所或审计机构审计的财务会计报告，包括财务审计报告、资产负债表、现金流量表、利润表、所有者权益表和财务情况说明书或供应商基本存款账户开户银行出具开标日期前六个月内资信证明及基本存款账户开户许可证（基本账户信息表）。（若成立时间至提交响应文件截止时间不足一年的可提供成立后财务报表，包含资产负债表、现金流量表、利润表、所有者权益表）；</w:t>
            </w:r>
          </w:p>
        </w:tc>
        <w:tc>
          <w:tcPr>
            <w:tcW w:type="dxa" w:w="1661"/>
          </w:tcPr>
          <w:p>
            <w:pPr>
              <w:pStyle w:val="null3"/>
            </w:pPr>
            <w:r>
              <w:rPr>
                <w:rFonts w:ascii="仿宋_GB2312" w:hAnsi="仿宋_GB2312" w:cs="仿宋_GB2312" w:eastAsia="仿宋_GB2312"/>
              </w:rPr>
              <w:t>财务状况证明.docx 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2026年1月至今已缴纳任意三个月的纳税证明或完税证明。依法免税的单位应提供相关证明资料；</w:t>
            </w:r>
          </w:p>
        </w:tc>
        <w:tc>
          <w:tcPr>
            <w:tcW w:type="dxa" w:w="1661"/>
          </w:tcPr>
          <w:p>
            <w:pPr>
              <w:pStyle w:val="null3"/>
            </w:pPr>
            <w:r>
              <w:rPr>
                <w:rFonts w:ascii="仿宋_GB2312" w:hAnsi="仿宋_GB2312" w:cs="仿宋_GB2312" w:eastAsia="仿宋_GB2312"/>
              </w:rPr>
              <w:t>税收缴纳证明.docx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2026年1月至今已缴纳任意三个月的社会保障资金缴存单据或社保机构开具的社会保险参保缴费情况证明，单据或证明上应有社保机构或代收机构的公章。依法不需要缴纳社会保障资金的供应商应提供相关证明资料；</w:t>
            </w:r>
          </w:p>
        </w:tc>
        <w:tc>
          <w:tcPr>
            <w:tcW w:type="dxa" w:w="1661"/>
          </w:tcPr>
          <w:p>
            <w:pPr>
              <w:pStyle w:val="null3"/>
            </w:pPr>
            <w:r>
              <w:rPr>
                <w:rFonts w:ascii="仿宋_GB2312" w:hAnsi="仿宋_GB2312" w:cs="仿宋_GB2312" w:eastAsia="仿宋_GB2312"/>
              </w:rPr>
              <w:t>社会保障资金缴纳证明.docx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没有重大违法记录的书面声明</w:t>
            </w:r>
          </w:p>
        </w:tc>
        <w:tc>
          <w:tcPr>
            <w:tcW w:type="dxa" w:w="3322"/>
          </w:tcPr>
          <w:p>
            <w:pPr>
              <w:pStyle w:val="null3"/>
            </w:pPr>
            <w:r>
              <w:rPr>
                <w:rFonts w:ascii="仿宋_GB2312" w:hAnsi="仿宋_GB2312" w:cs="仿宋_GB2312" w:eastAsia="仿宋_GB2312"/>
              </w:rPr>
              <w:t>供应商应出具参加政府采购活动前3年内在经营活动中没有重大违法记录的书面声明；</w:t>
            </w:r>
          </w:p>
        </w:tc>
        <w:tc>
          <w:tcPr>
            <w:tcW w:type="dxa" w:w="1661"/>
          </w:tcPr>
          <w:p>
            <w:pPr>
              <w:pStyle w:val="null3"/>
            </w:pPr>
            <w:r>
              <w:rPr>
                <w:rFonts w:ascii="仿宋_GB2312" w:hAnsi="仿宋_GB2312" w:cs="仿宋_GB2312" w:eastAsia="仿宋_GB2312"/>
              </w:rPr>
              <w:t>没有重大违法记录的书面声明.docx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合同履约能力</w:t>
            </w:r>
          </w:p>
        </w:tc>
        <w:tc>
          <w:tcPr>
            <w:tcW w:type="dxa" w:w="3322"/>
          </w:tcPr>
          <w:p>
            <w:pPr>
              <w:pStyle w:val="null3"/>
            </w:pPr>
            <w:r>
              <w:rPr>
                <w:rFonts w:ascii="仿宋_GB2312" w:hAnsi="仿宋_GB2312" w:cs="仿宋_GB2312" w:eastAsia="仿宋_GB2312"/>
              </w:rPr>
              <w:t>供应商具有履行合同所必需的设备和专业技术能力；</w:t>
            </w:r>
          </w:p>
        </w:tc>
        <w:tc>
          <w:tcPr>
            <w:tcW w:type="dxa" w:w="1661"/>
          </w:tcPr>
          <w:p>
            <w:pPr>
              <w:pStyle w:val="null3"/>
            </w:pPr>
            <w:r>
              <w:rPr>
                <w:rFonts w:ascii="仿宋_GB2312" w:hAnsi="仿宋_GB2312" w:cs="仿宋_GB2312" w:eastAsia="仿宋_GB2312"/>
              </w:rPr>
              <w:t>合同履约能力.docx 供应商应提交的相关资格证明材料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信用中国网、中国政府采购网查询情况</w:t>
            </w:r>
          </w:p>
        </w:tc>
        <w:tc>
          <w:tcPr>
            <w:tcW w:type="dxa" w:w="3322"/>
          </w:tcPr>
          <w:p>
            <w:pPr>
              <w:pStyle w:val="null3"/>
            </w:pPr>
            <w:r>
              <w:rPr>
                <w:rFonts w:ascii="仿宋_GB2312" w:hAnsi="仿宋_GB2312" w:cs="仿宋_GB2312" w:eastAsia="仿宋_GB2312"/>
              </w:rPr>
              <w:t>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信用中国网、中国政府采购网查询情况.docx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供应商关系关联情况</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w:t>
            </w:r>
          </w:p>
        </w:tc>
        <w:tc>
          <w:tcPr>
            <w:tcW w:type="dxa" w:w="1661"/>
          </w:tcPr>
          <w:p>
            <w:pPr>
              <w:pStyle w:val="null3"/>
            </w:pPr>
            <w:r>
              <w:rPr>
                <w:rFonts w:ascii="仿宋_GB2312" w:hAnsi="仿宋_GB2312" w:cs="仿宋_GB2312" w:eastAsia="仿宋_GB2312"/>
              </w:rPr>
              <w:t>供应商企业关系关联承诺书.docx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磋商保证金</w:t>
            </w:r>
          </w:p>
        </w:tc>
        <w:tc>
          <w:tcPr>
            <w:tcW w:type="dxa" w:w="3322"/>
          </w:tcPr>
          <w:p>
            <w:pPr>
              <w:pStyle w:val="null3"/>
            </w:pPr>
            <w:r>
              <w:rPr>
                <w:rFonts w:ascii="仿宋_GB2312" w:hAnsi="仿宋_GB2312" w:cs="仿宋_GB2312" w:eastAsia="仿宋_GB2312"/>
              </w:rPr>
              <w:t>磋商保证金缴纳凭证或纸质保函或电子保函或信用担保；</w:t>
            </w:r>
          </w:p>
        </w:tc>
        <w:tc>
          <w:tcPr>
            <w:tcW w:type="dxa" w:w="1661"/>
          </w:tcPr>
          <w:p>
            <w:pPr>
              <w:pStyle w:val="null3"/>
            </w:pPr>
            <w:r>
              <w:rPr>
                <w:rFonts w:ascii="仿宋_GB2312" w:hAnsi="仿宋_GB2312" w:cs="仿宋_GB2312" w:eastAsia="仿宋_GB2312"/>
              </w:rPr>
              <w:t>磋商保证金.docx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供应商名称和公章、营业执照一致</w:t>
            </w:r>
          </w:p>
        </w:tc>
        <w:tc>
          <w:tcPr>
            <w:tcW w:type="dxa" w:w="1661"/>
          </w:tcPr>
          <w:p>
            <w:pPr>
              <w:pStyle w:val="null3"/>
            </w:pPr>
            <w:r>
              <w:rPr>
                <w:rFonts w:ascii="仿宋_GB2312" w:hAnsi="仿宋_GB2312" w:cs="仿宋_GB2312" w:eastAsia="仿宋_GB2312"/>
              </w:rPr>
              <w:t>响应文件封面 供应商基本情况.docx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磋商响应文件有效性</w:t>
            </w:r>
          </w:p>
        </w:tc>
        <w:tc>
          <w:tcPr>
            <w:tcW w:type="dxa" w:w="3322"/>
          </w:tcPr>
          <w:p>
            <w:pPr>
              <w:pStyle w:val="null3"/>
            </w:pPr>
            <w:r>
              <w:rPr>
                <w:rFonts w:ascii="仿宋_GB2312" w:hAnsi="仿宋_GB2312" w:cs="仿宋_GB2312" w:eastAsia="仿宋_GB2312"/>
              </w:rPr>
              <w:t>磋商响应文件的签署、盖章符合磋商文件要求，供应商递交的磋商响应文件与本项目名称一致</w:t>
            </w:r>
          </w:p>
        </w:tc>
        <w:tc>
          <w:tcPr>
            <w:tcW w:type="dxa" w:w="1661"/>
          </w:tcPr>
          <w:p>
            <w:pPr>
              <w:pStyle w:val="null3"/>
            </w:pPr>
            <w:r>
              <w:rPr>
                <w:rFonts w:ascii="仿宋_GB2312" w:hAnsi="仿宋_GB2312" w:cs="仿宋_GB2312" w:eastAsia="仿宋_GB2312"/>
              </w:rPr>
              <w:t>税收缴纳证明.docx 信用中国网、中国政府采购网查询情况.docx 磋商保证金.docx 人员配置表.docx 财务状况证明.docx 中小企业声明函 企业业绩.docx 供应商应提交的相关资格证明材料 报价表 商务应答表.docx 响应文件封面 合同履约能力.docx 供应商企业关系关联承诺书.docx 残疾人福利性单位声明函 服务方案 供应商基本情况.docx 标的清单 没有重大违法记录的书面声明.docx 服务内容及服务要求应答表.docx 法定代表人身份证明或法定代表人授权委托书.pdf 响应函 监狱企业的证明文件 社会保障资金缴纳证明.docx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提交首次响应文件的截止之日起不少于90天</w:t>
            </w:r>
          </w:p>
        </w:tc>
        <w:tc>
          <w:tcPr>
            <w:tcW w:type="dxa" w:w="1661"/>
          </w:tcPr>
          <w:p>
            <w:pPr>
              <w:pStyle w:val="null3"/>
            </w:pPr>
            <w:r>
              <w:rPr>
                <w:rFonts w:ascii="仿宋_GB2312" w:hAnsi="仿宋_GB2312" w:cs="仿宋_GB2312" w:eastAsia="仿宋_GB2312"/>
              </w:rPr>
              <w:t>法定代表人身份证明或法定代表人授权委托书.pdf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合同签订之日起至2026年12月31日止。合同一年一签，服务期满考核合格可按规定续签，累计服务年限不超政府采购相关规定年限。</w:t>
            </w:r>
          </w:p>
        </w:tc>
        <w:tc>
          <w:tcPr>
            <w:tcW w:type="dxa" w:w="1661"/>
          </w:tcPr>
          <w:p>
            <w:pPr>
              <w:pStyle w:val="null3"/>
            </w:pPr>
            <w:r>
              <w:rPr>
                <w:rFonts w:ascii="仿宋_GB2312" w:hAnsi="仿宋_GB2312" w:cs="仿宋_GB2312" w:eastAsia="仿宋_GB2312"/>
              </w:rPr>
              <w:t>商务应答表.docx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服务地点</w:t>
            </w:r>
          </w:p>
        </w:tc>
        <w:tc>
          <w:tcPr>
            <w:tcW w:type="dxa" w:w="3322"/>
          </w:tcPr>
          <w:p>
            <w:pPr>
              <w:pStyle w:val="null3"/>
            </w:pPr>
            <w:r>
              <w:rPr>
                <w:rFonts w:ascii="仿宋_GB2312" w:hAnsi="仿宋_GB2312" w:cs="仿宋_GB2312" w:eastAsia="仿宋_GB2312"/>
              </w:rPr>
              <w:t>渭南市临渭区前进路109号</w:t>
            </w:r>
          </w:p>
        </w:tc>
        <w:tc>
          <w:tcPr>
            <w:tcW w:type="dxa" w:w="1661"/>
          </w:tcPr>
          <w:p>
            <w:pPr>
              <w:pStyle w:val="null3"/>
            </w:pPr>
            <w:r>
              <w:rPr>
                <w:rFonts w:ascii="仿宋_GB2312" w:hAnsi="仿宋_GB2312" w:cs="仿宋_GB2312" w:eastAsia="仿宋_GB2312"/>
              </w:rPr>
              <w:t>商务应答表.docx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商务部分</w:t>
            </w:r>
          </w:p>
        </w:tc>
        <w:tc>
          <w:tcPr>
            <w:tcW w:type="dxa" w:w="2492"/>
          </w:tcPr>
          <w:p>
            <w:pPr>
              <w:pStyle w:val="null3"/>
            </w:pPr>
            <w:r>
              <w:rPr>
                <w:rFonts w:ascii="仿宋_GB2312" w:hAnsi="仿宋_GB2312" w:cs="仿宋_GB2312" w:eastAsia="仿宋_GB2312"/>
              </w:rPr>
              <w:t>企业业绩：2023年1月1日以来（以合同签订时间为准），供应商具有类似服务项目业绩，每提供1个有效类似业绩得2分，最高得6分。 评审依据：供应商提供合同复印件加盖公章。</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企业业绩.docx</w:t>
            </w:r>
          </w:p>
        </w:tc>
      </w:tr>
      <w:tr>
        <w:tc>
          <w:tcPr>
            <w:tcW w:type="dxa" w:w="831"/>
            <w:vMerge/>
          </w:tcPr>
          <w:p/>
        </w:tc>
        <w:tc>
          <w:tcPr>
            <w:tcW w:type="dxa" w:w="1661"/>
          </w:tcPr>
          <w:p>
            <w:pPr>
              <w:pStyle w:val="null3"/>
            </w:pPr>
            <w:r>
              <w:rPr>
                <w:rFonts w:ascii="仿宋_GB2312" w:hAnsi="仿宋_GB2312" w:cs="仿宋_GB2312" w:eastAsia="仿宋_GB2312"/>
              </w:rPr>
              <w:t>商务部分</w:t>
            </w:r>
          </w:p>
        </w:tc>
        <w:tc>
          <w:tcPr>
            <w:tcW w:type="dxa" w:w="2492"/>
          </w:tcPr>
          <w:p>
            <w:pPr>
              <w:pStyle w:val="null3"/>
            </w:pPr>
            <w:r>
              <w:rPr>
                <w:rFonts w:ascii="仿宋_GB2312" w:hAnsi="仿宋_GB2312" w:cs="仿宋_GB2312" w:eastAsia="仿宋_GB2312"/>
              </w:rPr>
              <w:t>（1）服务团队成员基本条件：服务团队配置人员数量不少于12人且驾龄均在5年及以上，得基本分3分； （2）在满足以上条件下，每增加一名有效人员加1分，最高加2分； （3）配备人员中，年龄在30-50周岁之间且驾龄在8年及以上，每有1人得0.5分，最高得4分； （4）配置人员数量少于12人不得分。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人员配置表.docx</w:t>
            </w:r>
          </w:p>
        </w:tc>
      </w:tr>
      <w:tr>
        <w:tc>
          <w:tcPr>
            <w:tcW w:type="dxa" w:w="831"/>
            <w:vMerge/>
          </w:tcPr>
          <w:p/>
        </w:tc>
        <w:tc>
          <w:tcPr>
            <w:tcW w:type="dxa" w:w="1661"/>
          </w:tcPr>
          <w:p>
            <w:pPr>
              <w:pStyle w:val="null3"/>
            </w:pPr>
            <w:r>
              <w:rPr>
                <w:rFonts w:ascii="仿宋_GB2312" w:hAnsi="仿宋_GB2312" w:cs="仿宋_GB2312" w:eastAsia="仿宋_GB2312"/>
              </w:rPr>
              <w:t>总体服务方案</w:t>
            </w:r>
          </w:p>
        </w:tc>
        <w:tc>
          <w:tcPr>
            <w:tcW w:type="dxa" w:w="2492"/>
          </w:tcPr>
          <w:p>
            <w:pPr>
              <w:pStyle w:val="null3"/>
            </w:pPr>
            <w:r>
              <w:rPr>
                <w:rFonts w:ascii="仿宋_GB2312" w:hAnsi="仿宋_GB2312" w:cs="仿宋_GB2312" w:eastAsia="仿宋_GB2312"/>
              </w:rPr>
              <w:t>针对项目特点、及本项目实际需求，制订切实可行的总体服务方案，开展专业化服务： （1）总体服务方案全面完整、科学合理、规范，针对性强得6.1-12分； （2）总体服务方案较为合理、规范，具有一定针对性，得1-6分； （3）总体服务方案不合理、不规范，没有针对性或不响应得0分。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突发事件应急方案</w:t>
            </w:r>
          </w:p>
        </w:tc>
        <w:tc>
          <w:tcPr>
            <w:tcW w:type="dxa" w:w="2492"/>
          </w:tcPr>
          <w:p>
            <w:pPr>
              <w:pStyle w:val="null3"/>
            </w:pPr>
            <w:r>
              <w:rPr>
                <w:rFonts w:ascii="仿宋_GB2312" w:hAnsi="仿宋_GB2312" w:cs="仿宋_GB2312" w:eastAsia="仿宋_GB2312"/>
              </w:rPr>
              <w:t>（1）应急方案全面详尽，覆盖交通事故、车辆故障、恶劣天气、紧急任务，措施可行性强得5.1–10 分； （2）应急方案一般，对常见突发情况有应对，可行性一般得1–5分。 （3）应急方案差，应对措施不全、可行性差或未提供应急方案得0分。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安全行车与合规管理</w:t>
            </w:r>
          </w:p>
        </w:tc>
        <w:tc>
          <w:tcPr>
            <w:tcW w:type="dxa" w:w="2492"/>
          </w:tcPr>
          <w:p>
            <w:pPr>
              <w:pStyle w:val="null3"/>
            </w:pPr>
            <w:r>
              <w:rPr>
                <w:rFonts w:ascii="仿宋_GB2312" w:hAnsi="仿宋_GB2312" w:cs="仿宋_GB2312" w:eastAsia="仿宋_GB2312"/>
              </w:rPr>
              <w:t>针对安全驾驶、交通法规、文明行车、保密纪律、公车管理、责任防控等要求，制定完善、可行的安全行车与合规管理措施，保障公务出行安全与服务合规。 （1）安全行车与合规管理措施全面完整、科学合理、规范严谨，针对性强，安全防控、保密管理、违章预防、责任落实等内容完善可行，得5.1-10分； （2）安全行车与合规管理措施较为合理、规范，具有一定针对性，基本满足安全与合规管理要求，得1-5分； （3）安全行车与合规管理措施不合理、不规范，没有针对性或不响应，得0分。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车辆管护与台账管理</w:t>
            </w:r>
          </w:p>
        </w:tc>
        <w:tc>
          <w:tcPr>
            <w:tcW w:type="dxa" w:w="2492"/>
          </w:tcPr>
          <w:p>
            <w:pPr>
              <w:pStyle w:val="null3"/>
            </w:pPr>
            <w:r>
              <w:rPr>
                <w:rFonts w:ascii="仿宋_GB2312" w:hAnsi="仿宋_GB2312" w:cs="仿宋_GB2312" w:eastAsia="仿宋_GB2312"/>
              </w:rPr>
              <w:t>针对车辆日常检查、保养维修、清洁维护、出车台账登记、里程与用车记录管理、资料归档等要求，制定切实可行的车辆管护与台账管理措施，确保车辆状态良好、管理规范。 （1）车辆管护与台账管理方案全面完整、科学合理、规范，针对性强，车辆检查、保养、清洁、台账登记、归档管理等内容完善可行，得5.1-10分； （2）车辆管护与台账管理方案较为合理、规范，具有一定针对性，基本满足车辆管护与台账管理要求，得1-5分； （3）车辆管护与台账管理方案不合理、不规范，没有针对性或不响应，得0分。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退伍军人加分项</w:t>
            </w:r>
          </w:p>
        </w:tc>
        <w:tc>
          <w:tcPr>
            <w:tcW w:type="dxa" w:w="2492"/>
          </w:tcPr>
          <w:p>
            <w:pPr>
              <w:pStyle w:val="null3"/>
            </w:pPr>
            <w:r>
              <w:rPr>
                <w:rFonts w:ascii="仿宋_GB2312" w:hAnsi="仿宋_GB2312" w:cs="仿宋_GB2312" w:eastAsia="仿宋_GB2312"/>
              </w:rPr>
              <w:t>在拟派驻的12名驾驶员中，每有1名退伍军人（需提供《退伍证》或相关证明材料）：每有1人加3.5分，最高加7分。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人员配置表.docx</w:t>
            </w:r>
          </w:p>
        </w:tc>
      </w:tr>
      <w:tr>
        <w:tc>
          <w:tcPr>
            <w:tcW w:type="dxa" w:w="831"/>
            <w:vMerge/>
          </w:tcPr>
          <w:p/>
        </w:tc>
        <w:tc>
          <w:tcPr>
            <w:tcW w:type="dxa" w:w="1661"/>
          </w:tcPr>
          <w:p>
            <w:pPr>
              <w:pStyle w:val="null3"/>
            </w:pPr>
            <w:r>
              <w:rPr>
                <w:rFonts w:ascii="仿宋_GB2312" w:hAnsi="仿宋_GB2312" w:cs="仿宋_GB2312" w:eastAsia="仿宋_GB2312"/>
              </w:rPr>
              <w:t>服务质量保障与整改机制</w:t>
            </w:r>
          </w:p>
        </w:tc>
        <w:tc>
          <w:tcPr>
            <w:tcW w:type="dxa" w:w="2492"/>
          </w:tcPr>
          <w:p>
            <w:pPr>
              <w:pStyle w:val="null3"/>
            </w:pPr>
            <w:r>
              <w:rPr>
                <w:rFonts w:ascii="仿宋_GB2312" w:hAnsi="仿宋_GB2312" w:cs="仿宋_GB2312" w:eastAsia="仿宋_GB2312"/>
              </w:rPr>
              <w:t>（1）月、季度考核（服务态度、安全行车、考勤纪律、台账规范管理等），投诉处理整改措施明确可行得4.1–8分； （2）有考核与整改，基本满足要求得1–4分； （3）整改机制不清晰，可行性弱或未提供得0分。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人员管理、培训与考核</w:t>
            </w:r>
          </w:p>
        </w:tc>
        <w:tc>
          <w:tcPr>
            <w:tcW w:type="dxa" w:w="2492"/>
          </w:tcPr>
          <w:p>
            <w:pPr>
              <w:pStyle w:val="null3"/>
            </w:pPr>
            <w:r>
              <w:rPr>
                <w:rFonts w:ascii="仿宋_GB2312" w:hAnsi="仿宋_GB2312" w:cs="仿宋_GB2312" w:eastAsia="仿宋_GB2312"/>
              </w:rPr>
              <w:t>（1）人员管理、岗前培训、定期培训、考核整改制度健全得4.1–8分； （2）管理制度基本完善得1–4分； （3）制度简单、执行性差、有漏项或无管理制度得0分。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（1）1.在磋商过程中，磋商小组认为供应商报价低于采购预算50%或者低于其他有效供应商报价算 术平均价40%，有可能影响产品质量或者不能 诚信履约的，磋商小组应当要求其在评审现场合理的时间内提供成本构成书面说明，并提交相关证明材料。书面说明应当按照国家财务会 计制度的规定要求，逐项就供应商提供的货物、工程和服务的主营业务成本(应根据供应商企业类型予以区别)、税金及附加、销售费用、管理费用、财务费用等成本构成事项详细陈述。2.供应商提交的相关证明材料，应当加盖供应商(法定名称)电子印章，在磋商小组要 求的时间内通过项目电子化交易系统进行提交，否则提交的相关证明材料无效。供应商不能证明其报价合理性的，磋商小组应当将其响应文件作为无效处理。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1.经初审合格的磋商响应文件，其磋商报价为有效磋商报价，对符合政策性扣减的供应商的有效磋商价格进行政策性扣减，并依据扣减后的价格（评审价格）进行价格评审 2.满足磋商文件实质性要求且最终报价最低的供应商的报价为磋商基准价，其价格分为满分20分。 3.磋商报价得分=（磋商基准价/最终磋商报价）×20%×100的公式计算得分。 4.磋商报价不完整的，不进入评标标准价的计算，本项得0分 5.经磋商小组一致认定，供应商的最终磋商报价低于公认市场成本，或超过最高限价,其响应将被拒绝。</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详见附件：财务状况证明.docx</w:t>
      </w:r>
    </w:p>
    <w:p>
      <w:pPr>
        <w:pStyle w:val="null3"/>
        <w:ind w:firstLine="960"/>
      </w:pPr>
      <w:r>
        <w:rPr>
          <w:rFonts w:ascii="仿宋_GB2312" w:hAnsi="仿宋_GB2312" w:cs="仿宋_GB2312" w:eastAsia="仿宋_GB2312"/>
        </w:rPr>
        <w:t>详见附件：磋商保证金.docx</w:t>
      </w:r>
    </w:p>
    <w:p>
      <w:pPr>
        <w:pStyle w:val="null3"/>
        <w:ind w:firstLine="960"/>
      </w:pPr>
      <w:r>
        <w:rPr>
          <w:rFonts w:ascii="仿宋_GB2312" w:hAnsi="仿宋_GB2312" w:cs="仿宋_GB2312" w:eastAsia="仿宋_GB2312"/>
        </w:rPr>
        <w:t>详见附件：服务内容及服务要求应答表.docx</w:t>
      </w:r>
    </w:p>
    <w:p>
      <w:pPr>
        <w:pStyle w:val="null3"/>
        <w:ind w:firstLine="960"/>
      </w:pPr>
      <w:r>
        <w:rPr>
          <w:rFonts w:ascii="仿宋_GB2312" w:hAnsi="仿宋_GB2312" w:cs="仿宋_GB2312" w:eastAsia="仿宋_GB2312"/>
        </w:rPr>
        <w:t>详见附件：供应商基本情况.docx</w:t>
      </w:r>
    </w:p>
    <w:p>
      <w:pPr>
        <w:pStyle w:val="null3"/>
        <w:ind w:firstLine="960"/>
      </w:pPr>
      <w:r>
        <w:rPr>
          <w:rFonts w:ascii="仿宋_GB2312" w:hAnsi="仿宋_GB2312" w:cs="仿宋_GB2312" w:eastAsia="仿宋_GB2312"/>
        </w:rPr>
        <w:t>详见附件：法定代表人身份证明或法定代表人授权委托书.pdf</w:t>
      </w:r>
    </w:p>
    <w:p>
      <w:pPr>
        <w:pStyle w:val="null3"/>
        <w:ind w:firstLine="960"/>
      </w:pPr>
      <w:r>
        <w:rPr>
          <w:rFonts w:ascii="仿宋_GB2312" w:hAnsi="仿宋_GB2312" w:cs="仿宋_GB2312" w:eastAsia="仿宋_GB2312"/>
        </w:rPr>
        <w:t>详见附件：合同履约能力.docx</w:t>
      </w:r>
    </w:p>
    <w:p>
      <w:pPr>
        <w:pStyle w:val="null3"/>
        <w:ind w:firstLine="960"/>
      </w:pPr>
      <w:r>
        <w:rPr>
          <w:rFonts w:ascii="仿宋_GB2312" w:hAnsi="仿宋_GB2312" w:cs="仿宋_GB2312" w:eastAsia="仿宋_GB2312"/>
        </w:rPr>
        <w:t>详见附件：没有重大违法记录的书面声明.docx</w:t>
      </w:r>
    </w:p>
    <w:p>
      <w:pPr>
        <w:pStyle w:val="null3"/>
        <w:ind w:firstLine="960"/>
      </w:pPr>
      <w:r>
        <w:rPr>
          <w:rFonts w:ascii="仿宋_GB2312" w:hAnsi="仿宋_GB2312" w:cs="仿宋_GB2312" w:eastAsia="仿宋_GB2312"/>
        </w:rPr>
        <w:t>详见附件：企业业绩.docx</w:t>
      </w:r>
    </w:p>
    <w:p>
      <w:pPr>
        <w:pStyle w:val="null3"/>
        <w:ind w:firstLine="960"/>
      </w:pPr>
      <w:r>
        <w:rPr>
          <w:rFonts w:ascii="仿宋_GB2312" w:hAnsi="仿宋_GB2312" w:cs="仿宋_GB2312" w:eastAsia="仿宋_GB2312"/>
        </w:rPr>
        <w:t>详见附件：人员配置表.docx</w:t>
      </w:r>
    </w:p>
    <w:p>
      <w:pPr>
        <w:pStyle w:val="null3"/>
        <w:ind w:firstLine="960"/>
      </w:pPr>
      <w:r>
        <w:rPr>
          <w:rFonts w:ascii="仿宋_GB2312" w:hAnsi="仿宋_GB2312" w:cs="仿宋_GB2312" w:eastAsia="仿宋_GB2312"/>
        </w:rPr>
        <w:t>详见附件：社会保障资金缴纳证明.docx</w:t>
      </w:r>
    </w:p>
    <w:p>
      <w:pPr>
        <w:pStyle w:val="null3"/>
        <w:ind w:firstLine="960"/>
      </w:pPr>
      <w:r>
        <w:rPr>
          <w:rFonts w:ascii="仿宋_GB2312" w:hAnsi="仿宋_GB2312" w:cs="仿宋_GB2312" w:eastAsia="仿宋_GB2312"/>
        </w:rPr>
        <w:t>详见附件：税收缴纳证明.docx</w:t>
      </w:r>
    </w:p>
    <w:p>
      <w:pPr>
        <w:pStyle w:val="null3"/>
        <w:ind w:firstLine="960"/>
      </w:pPr>
      <w:r>
        <w:rPr>
          <w:rFonts w:ascii="仿宋_GB2312" w:hAnsi="仿宋_GB2312" w:cs="仿宋_GB2312" w:eastAsia="仿宋_GB2312"/>
        </w:rPr>
        <w:t>详见附件：信用中国网、中国政府采购网查询情况.docx</w:t>
      </w:r>
    </w:p>
    <w:p>
      <w:pPr>
        <w:pStyle w:val="null3"/>
        <w:ind w:firstLine="960"/>
      </w:pPr>
      <w:r>
        <w:rPr>
          <w:rFonts w:ascii="仿宋_GB2312" w:hAnsi="仿宋_GB2312" w:cs="仿宋_GB2312" w:eastAsia="仿宋_GB2312"/>
        </w:rPr>
        <w:t>详见附件：供应商企业关系关联承诺书.docx</w:t>
      </w:r>
    </w:p>
    <w:p>
      <w:pPr>
        <w:pStyle w:val="null3"/>
        <w:ind w:firstLine="960"/>
      </w:pPr>
      <w:r>
        <w:rPr>
          <w:rFonts w:ascii="仿宋_GB2312" w:hAnsi="仿宋_GB2312" w:cs="仿宋_GB2312" w:eastAsia="仿宋_GB2312"/>
        </w:rPr>
        <w:t>详见附件：商务应答表.docx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