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5DFB5">
      <w:pPr>
        <w:pStyle w:val="6"/>
        <w:jc w:val="center"/>
        <w:outlineLvl w:val="1"/>
        <w:rPr>
          <w:rFonts w:hint="eastAsia" w:ascii="宋体" w:hAnsi="宋体" w:eastAsia="宋体" w:cs="宋体"/>
          <w:color w:val="auto"/>
          <w:sz w:val="30"/>
          <w:szCs w:val="30"/>
        </w:rPr>
      </w:pPr>
      <w:bookmarkStart w:id="0" w:name="_Toc234518824"/>
      <w:r>
        <w:rPr>
          <w:rFonts w:hint="eastAsia" w:ascii="宋体" w:hAnsi="宋体" w:eastAsia="宋体" w:cs="宋体"/>
          <w:b/>
          <w:color w:val="auto"/>
          <w:sz w:val="30"/>
          <w:szCs w:val="30"/>
        </w:rPr>
        <w:t>拟签订采购合同文本</w:t>
      </w:r>
      <w:bookmarkEnd w:id="0"/>
    </w:p>
    <w:p w14:paraId="6DA4D2EE">
      <w:pPr>
        <w:spacing w:line="500" w:lineRule="exact"/>
        <w:jc w:val="center"/>
        <w:rPr>
          <w:rFonts w:hint="eastAsia" w:ascii="宋体" w:hAnsi="宋体" w:eastAsia="宋体" w:cs="宋体"/>
          <w:b/>
          <w:color w:val="auto"/>
        </w:rPr>
      </w:pPr>
      <w:r>
        <w:rPr>
          <w:rFonts w:hint="eastAsia" w:ascii="宋体" w:hAnsi="宋体" w:eastAsia="宋体" w:cs="宋体"/>
          <w:b/>
          <w:bCs/>
          <w:color w:val="auto"/>
        </w:rPr>
        <w:t>（仅供参考）</w:t>
      </w:r>
    </w:p>
    <w:p w14:paraId="27FFBA69">
      <w:pPr>
        <w:jc w:val="center"/>
        <w:rPr>
          <w:rFonts w:hint="eastAsia" w:ascii="宋体" w:hAnsi="宋体" w:eastAsia="宋体" w:cs="宋体"/>
          <w:color w:val="auto"/>
        </w:rPr>
      </w:pPr>
    </w:p>
    <w:p w14:paraId="7A0AC0F7">
      <w:pPr>
        <w:jc w:val="center"/>
        <w:rPr>
          <w:rFonts w:hint="eastAsia" w:ascii="宋体" w:hAnsi="宋体" w:eastAsia="宋体" w:cs="宋体"/>
          <w:color w:val="auto"/>
        </w:rPr>
      </w:pPr>
      <w:bookmarkStart w:id="9" w:name="_GoBack"/>
      <w:bookmarkEnd w:id="9"/>
      <w:r>
        <w:rPr>
          <w:rFonts w:hint="eastAsia" w:ascii="宋体" w:hAnsi="宋体" w:eastAsia="宋体" w:cs="宋体"/>
          <w:color w:val="auto"/>
        </w:rPr>
        <w:t>购 置 合 同</w:t>
      </w:r>
    </w:p>
    <w:p w14:paraId="3DD3CCD8">
      <w:pPr>
        <w:spacing w:line="380" w:lineRule="exact"/>
        <w:ind w:firstLine="480" w:firstLineChars="200"/>
        <w:rPr>
          <w:rFonts w:hint="eastAsia" w:ascii="宋体" w:hAnsi="宋体" w:eastAsia="宋体" w:cs="宋体"/>
          <w:color w:val="auto"/>
        </w:rPr>
      </w:pPr>
    </w:p>
    <w:p w14:paraId="2693362F">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 xml:space="preserve">陕西职业技术学院（甲方）与 </w:t>
      </w:r>
      <w:r>
        <w:rPr>
          <w:rFonts w:hint="eastAsia" w:ascii="宋体" w:hAnsi="宋体" w:eastAsia="宋体" w:cs="宋体"/>
          <w:color w:val="auto"/>
          <w:u w:val="single"/>
        </w:rPr>
        <w:t xml:space="preserve">               （</w:t>
      </w:r>
      <w:r>
        <w:rPr>
          <w:rFonts w:hint="eastAsia" w:ascii="宋体" w:hAnsi="宋体" w:eastAsia="宋体" w:cs="宋体"/>
          <w:color w:val="auto"/>
        </w:rPr>
        <w:t>乙方）就甲方购置的</w:t>
      </w:r>
      <w:r>
        <w:rPr>
          <w:rFonts w:hint="eastAsia" w:ascii="宋体" w:hAnsi="宋体" w:eastAsia="宋体" w:cs="宋体"/>
          <w:color w:val="auto"/>
          <w:u w:val="single"/>
        </w:rPr>
        <w:t xml:space="preserve">          </w:t>
      </w:r>
      <w:r>
        <w:rPr>
          <w:rFonts w:hint="eastAsia" w:ascii="宋体" w:hAnsi="宋体" w:eastAsia="宋体" w:cs="宋体"/>
          <w:color w:val="auto"/>
        </w:rPr>
        <w:t>设备，经双方协商达成如下合同条款：</w:t>
      </w:r>
    </w:p>
    <w:p w14:paraId="200C5050">
      <w:pPr>
        <w:spacing w:before="156" w:beforeLines="50" w:after="156" w:afterLines="50" w:line="360" w:lineRule="exact"/>
        <w:ind w:firstLine="482" w:firstLineChars="200"/>
        <w:rPr>
          <w:rFonts w:hint="eastAsia" w:ascii="宋体" w:hAnsi="宋体" w:eastAsia="宋体" w:cs="宋体"/>
          <w:b/>
          <w:bCs/>
          <w:color w:val="auto"/>
        </w:rPr>
      </w:pPr>
      <w:r>
        <w:rPr>
          <w:rFonts w:hint="eastAsia" w:ascii="宋体" w:hAnsi="宋体" w:eastAsia="宋体" w:cs="宋体"/>
          <w:b/>
          <w:bCs/>
          <w:color w:val="auto"/>
        </w:rPr>
        <w:t>1.合同内容</w:t>
      </w:r>
    </w:p>
    <w:p w14:paraId="4263F04E">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在甲方组织的关于</w:t>
      </w:r>
      <w:r>
        <w:rPr>
          <w:rFonts w:hint="eastAsia" w:ascii="宋体" w:hAnsi="宋体" w:eastAsia="宋体" w:cs="宋体"/>
          <w:color w:val="auto"/>
          <w:u w:val="single"/>
        </w:rPr>
        <w:t xml:space="preserve">                                     </w:t>
      </w:r>
      <w:r>
        <w:rPr>
          <w:rFonts w:hint="eastAsia" w:ascii="宋体" w:hAnsi="宋体" w:eastAsia="宋体" w:cs="宋体"/>
          <w:color w:val="auto"/>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2F71DCB">
      <w:pPr>
        <w:spacing w:line="360" w:lineRule="exact"/>
        <w:ind w:firstLine="480" w:firstLineChars="200"/>
        <w:rPr>
          <w:rFonts w:hint="eastAsia" w:ascii="宋体" w:hAnsi="宋体" w:eastAsia="宋体" w:cs="宋体"/>
          <w:color w:val="auto"/>
        </w:rPr>
      </w:pPr>
      <w:r>
        <w:rPr>
          <w:rFonts w:hint="eastAsia" w:ascii="宋体" w:hAnsi="宋体" w:eastAsia="宋体" w:cs="宋体"/>
          <w:color w:val="auto"/>
        </w:rPr>
        <w:t>1.1 设备购置清单（币种：人民币）</w:t>
      </w:r>
    </w:p>
    <w:tbl>
      <w:tblPr>
        <w:tblStyle w:val="7"/>
        <w:tblW w:w="9135" w:type="dxa"/>
        <w:tblInd w:w="-3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0"/>
        <w:gridCol w:w="1425"/>
        <w:gridCol w:w="1875"/>
        <w:gridCol w:w="1095"/>
        <w:gridCol w:w="1130"/>
        <w:gridCol w:w="1090"/>
        <w:gridCol w:w="1155"/>
        <w:gridCol w:w="645"/>
      </w:tblGrid>
      <w:tr w14:paraId="1F85C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720" w:type="dxa"/>
            <w:vAlign w:val="center"/>
          </w:tcPr>
          <w:p w14:paraId="633B3F4D">
            <w:pPr>
              <w:jc w:val="center"/>
              <w:rPr>
                <w:rFonts w:hint="eastAsia" w:ascii="宋体" w:hAnsi="宋体" w:eastAsia="宋体" w:cs="宋体"/>
                <w:b/>
                <w:bCs/>
                <w:color w:val="auto"/>
              </w:rPr>
            </w:pPr>
            <w:r>
              <w:rPr>
                <w:rFonts w:hint="eastAsia" w:ascii="宋体" w:hAnsi="宋体" w:eastAsia="宋体" w:cs="宋体"/>
                <w:b/>
                <w:bCs/>
                <w:color w:val="auto"/>
              </w:rPr>
              <w:t>序号</w:t>
            </w:r>
          </w:p>
        </w:tc>
        <w:tc>
          <w:tcPr>
            <w:tcW w:w="1425" w:type="dxa"/>
            <w:vAlign w:val="center"/>
          </w:tcPr>
          <w:p w14:paraId="49B036E0">
            <w:pPr>
              <w:jc w:val="center"/>
              <w:rPr>
                <w:rFonts w:hint="eastAsia" w:ascii="宋体" w:hAnsi="宋体" w:eastAsia="宋体" w:cs="宋体"/>
                <w:b/>
                <w:bCs/>
                <w:color w:val="auto"/>
                <w:spacing w:val="-20"/>
              </w:rPr>
            </w:pPr>
            <w:r>
              <w:rPr>
                <w:rFonts w:hint="eastAsia" w:ascii="宋体" w:hAnsi="宋体" w:eastAsia="宋体" w:cs="宋体"/>
                <w:b/>
                <w:bCs/>
                <w:color w:val="auto"/>
                <w:spacing w:val="-20"/>
              </w:rPr>
              <w:t>设备名称</w:t>
            </w:r>
          </w:p>
        </w:tc>
        <w:tc>
          <w:tcPr>
            <w:tcW w:w="1875" w:type="dxa"/>
            <w:vAlign w:val="center"/>
          </w:tcPr>
          <w:p w14:paraId="265D5CFC">
            <w:pPr>
              <w:jc w:val="center"/>
              <w:rPr>
                <w:rFonts w:hint="eastAsia" w:ascii="宋体" w:hAnsi="宋体" w:eastAsia="宋体" w:cs="宋体"/>
                <w:b/>
                <w:bCs/>
                <w:color w:val="auto"/>
                <w:spacing w:val="-20"/>
              </w:rPr>
            </w:pPr>
            <w:r>
              <w:rPr>
                <w:rFonts w:hint="eastAsia" w:ascii="宋体" w:hAnsi="宋体" w:eastAsia="宋体" w:cs="宋体"/>
                <w:b/>
                <w:bCs/>
                <w:color w:val="auto"/>
                <w:spacing w:val="-20"/>
              </w:rPr>
              <w:t>品牌、规格、型号</w:t>
            </w:r>
          </w:p>
        </w:tc>
        <w:tc>
          <w:tcPr>
            <w:tcW w:w="1095" w:type="dxa"/>
            <w:vAlign w:val="center"/>
          </w:tcPr>
          <w:p w14:paraId="5308B591">
            <w:pPr>
              <w:jc w:val="center"/>
              <w:rPr>
                <w:rFonts w:hint="eastAsia" w:ascii="宋体" w:hAnsi="宋体" w:eastAsia="宋体" w:cs="宋体"/>
                <w:b/>
                <w:bCs/>
                <w:color w:val="auto"/>
                <w:spacing w:val="-20"/>
              </w:rPr>
            </w:pPr>
            <w:r>
              <w:rPr>
                <w:rFonts w:hint="eastAsia" w:ascii="宋体" w:hAnsi="宋体" w:eastAsia="宋体" w:cs="宋体"/>
                <w:b/>
                <w:bCs/>
                <w:color w:val="auto"/>
                <w:spacing w:val="-20"/>
              </w:rPr>
              <w:t>数量</w:t>
            </w:r>
          </w:p>
          <w:p w14:paraId="0752FDA2">
            <w:pPr>
              <w:jc w:val="center"/>
              <w:rPr>
                <w:rFonts w:hint="eastAsia" w:ascii="宋体" w:hAnsi="宋体" w:eastAsia="宋体" w:cs="宋体"/>
                <w:b/>
                <w:bCs/>
                <w:color w:val="auto"/>
                <w:spacing w:val="-20"/>
              </w:rPr>
            </w:pPr>
            <w:r>
              <w:rPr>
                <w:rFonts w:hint="eastAsia" w:ascii="宋体" w:hAnsi="宋体" w:eastAsia="宋体" w:cs="宋体"/>
                <w:b/>
                <w:bCs/>
                <w:color w:val="auto"/>
                <w:spacing w:val="-20"/>
              </w:rPr>
              <w:t>(台、套)</w:t>
            </w:r>
          </w:p>
        </w:tc>
        <w:tc>
          <w:tcPr>
            <w:tcW w:w="1130" w:type="dxa"/>
            <w:vAlign w:val="center"/>
          </w:tcPr>
          <w:p w14:paraId="5AE179CB">
            <w:pPr>
              <w:jc w:val="center"/>
              <w:rPr>
                <w:rFonts w:hint="eastAsia" w:ascii="宋体" w:hAnsi="宋体" w:eastAsia="宋体" w:cs="宋体"/>
                <w:b/>
                <w:bCs/>
                <w:color w:val="auto"/>
                <w:spacing w:val="-20"/>
              </w:rPr>
            </w:pPr>
            <w:r>
              <w:rPr>
                <w:rFonts w:hint="eastAsia" w:ascii="宋体" w:hAnsi="宋体" w:eastAsia="宋体" w:cs="宋体"/>
                <w:b/>
                <w:bCs/>
                <w:color w:val="auto"/>
                <w:spacing w:val="-20"/>
              </w:rPr>
              <w:t>单价</w:t>
            </w:r>
          </w:p>
          <w:p w14:paraId="313385B6">
            <w:pPr>
              <w:jc w:val="center"/>
              <w:rPr>
                <w:rFonts w:hint="eastAsia" w:ascii="宋体" w:hAnsi="宋体" w:eastAsia="宋体" w:cs="宋体"/>
                <w:b/>
                <w:bCs/>
                <w:color w:val="auto"/>
                <w:spacing w:val="-20"/>
              </w:rPr>
            </w:pPr>
            <w:r>
              <w:rPr>
                <w:rFonts w:hint="eastAsia" w:ascii="宋体" w:hAnsi="宋体" w:eastAsia="宋体" w:cs="宋体"/>
                <w:b/>
                <w:bCs/>
                <w:color w:val="auto"/>
                <w:spacing w:val="-20"/>
              </w:rPr>
              <w:t>(万元)</w:t>
            </w:r>
          </w:p>
        </w:tc>
        <w:tc>
          <w:tcPr>
            <w:tcW w:w="1090" w:type="dxa"/>
            <w:vAlign w:val="center"/>
          </w:tcPr>
          <w:p w14:paraId="2488134C">
            <w:pPr>
              <w:jc w:val="center"/>
              <w:rPr>
                <w:rFonts w:hint="eastAsia" w:ascii="宋体" w:hAnsi="宋体" w:eastAsia="宋体" w:cs="宋体"/>
                <w:b/>
                <w:bCs/>
                <w:color w:val="auto"/>
                <w:spacing w:val="-20"/>
              </w:rPr>
            </w:pPr>
            <w:r>
              <w:rPr>
                <w:rFonts w:hint="eastAsia" w:ascii="宋体" w:hAnsi="宋体" w:eastAsia="宋体" w:cs="宋体"/>
                <w:b/>
                <w:bCs/>
                <w:color w:val="auto"/>
                <w:spacing w:val="-20"/>
              </w:rPr>
              <w:t>合计</w:t>
            </w:r>
          </w:p>
          <w:p w14:paraId="446C6D23">
            <w:pPr>
              <w:jc w:val="center"/>
              <w:rPr>
                <w:rFonts w:hint="eastAsia" w:ascii="宋体" w:hAnsi="宋体" w:eastAsia="宋体" w:cs="宋体"/>
                <w:b/>
                <w:bCs/>
                <w:color w:val="auto"/>
                <w:spacing w:val="-20"/>
              </w:rPr>
            </w:pPr>
            <w:r>
              <w:rPr>
                <w:rFonts w:hint="eastAsia" w:ascii="宋体" w:hAnsi="宋体" w:eastAsia="宋体" w:cs="宋体"/>
                <w:b/>
                <w:bCs/>
                <w:color w:val="auto"/>
                <w:spacing w:val="-20"/>
              </w:rPr>
              <w:t>(万元)</w:t>
            </w:r>
          </w:p>
        </w:tc>
        <w:tc>
          <w:tcPr>
            <w:tcW w:w="1155" w:type="dxa"/>
            <w:vAlign w:val="center"/>
          </w:tcPr>
          <w:p w14:paraId="52F467D5">
            <w:pPr>
              <w:jc w:val="center"/>
              <w:rPr>
                <w:rFonts w:hint="eastAsia" w:ascii="宋体" w:hAnsi="宋体" w:eastAsia="宋体" w:cs="宋体"/>
                <w:b/>
                <w:bCs/>
                <w:color w:val="auto"/>
                <w:spacing w:val="-20"/>
              </w:rPr>
            </w:pPr>
            <w:r>
              <w:rPr>
                <w:rFonts w:hint="eastAsia" w:ascii="宋体" w:hAnsi="宋体" w:eastAsia="宋体" w:cs="宋体"/>
                <w:b/>
                <w:bCs/>
                <w:color w:val="auto"/>
                <w:spacing w:val="-20"/>
              </w:rPr>
              <w:t>生产商</w:t>
            </w:r>
          </w:p>
        </w:tc>
        <w:tc>
          <w:tcPr>
            <w:tcW w:w="645" w:type="dxa"/>
            <w:vAlign w:val="center"/>
          </w:tcPr>
          <w:p w14:paraId="5A3A7B84">
            <w:pPr>
              <w:jc w:val="center"/>
              <w:rPr>
                <w:rFonts w:hint="eastAsia" w:ascii="宋体" w:hAnsi="宋体" w:eastAsia="宋体" w:cs="宋体"/>
                <w:b/>
                <w:bCs/>
                <w:color w:val="auto"/>
                <w:spacing w:val="-20"/>
              </w:rPr>
            </w:pPr>
            <w:r>
              <w:rPr>
                <w:rFonts w:hint="eastAsia" w:ascii="宋体" w:hAnsi="宋体" w:eastAsia="宋体" w:cs="宋体"/>
                <w:b/>
                <w:bCs/>
                <w:color w:val="auto"/>
                <w:spacing w:val="-20"/>
              </w:rPr>
              <w:t>备注</w:t>
            </w:r>
          </w:p>
        </w:tc>
      </w:tr>
      <w:tr w14:paraId="732E0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720" w:type="dxa"/>
            <w:vAlign w:val="center"/>
          </w:tcPr>
          <w:p w14:paraId="612FE02C">
            <w:pPr>
              <w:jc w:val="center"/>
              <w:rPr>
                <w:rFonts w:hint="eastAsia" w:ascii="宋体" w:hAnsi="宋体" w:eastAsia="宋体" w:cs="宋体"/>
                <w:color w:val="auto"/>
              </w:rPr>
            </w:pPr>
            <w:r>
              <w:rPr>
                <w:rFonts w:hint="eastAsia" w:ascii="宋体" w:hAnsi="宋体" w:eastAsia="宋体" w:cs="宋体"/>
                <w:color w:val="auto"/>
              </w:rPr>
              <w:t>1</w:t>
            </w:r>
          </w:p>
        </w:tc>
        <w:tc>
          <w:tcPr>
            <w:tcW w:w="1425" w:type="dxa"/>
            <w:vAlign w:val="center"/>
          </w:tcPr>
          <w:p w14:paraId="6C6A5745">
            <w:pPr>
              <w:jc w:val="center"/>
              <w:rPr>
                <w:rFonts w:hint="eastAsia" w:ascii="宋体" w:hAnsi="宋体" w:eastAsia="宋体" w:cs="宋体"/>
                <w:color w:val="auto"/>
              </w:rPr>
            </w:pPr>
          </w:p>
        </w:tc>
        <w:tc>
          <w:tcPr>
            <w:tcW w:w="1875" w:type="dxa"/>
            <w:vAlign w:val="center"/>
          </w:tcPr>
          <w:p w14:paraId="31FF3235">
            <w:pPr>
              <w:jc w:val="center"/>
              <w:rPr>
                <w:rFonts w:hint="eastAsia" w:ascii="宋体" w:hAnsi="宋体" w:eastAsia="宋体" w:cs="宋体"/>
                <w:color w:val="auto"/>
              </w:rPr>
            </w:pPr>
          </w:p>
        </w:tc>
        <w:tc>
          <w:tcPr>
            <w:tcW w:w="1095" w:type="dxa"/>
            <w:vAlign w:val="center"/>
          </w:tcPr>
          <w:p w14:paraId="69BF5A6D">
            <w:pPr>
              <w:jc w:val="center"/>
              <w:rPr>
                <w:rFonts w:hint="eastAsia" w:ascii="宋体" w:hAnsi="宋体" w:eastAsia="宋体" w:cs="宋体"/>
                <w:color w:val="auto"/>
              </w:rPr>
            </w:pPr>
          </w:p>
        </w:tc>
        <w:tc>
          <w:tcPr>
            <w:tcW w:w="1130" w:type="dxa"/>
            <w:vAlign w:val="center"/>
          </w:tcPr>
          <w:p w14:paraId="64572D3D">
            <w:pPr>
              <w:jc w:val="center"/>
              <w:rPr>
                <w:rFonts w:hint="eastAsia" w:ascii="宋体" w:hAnsi="宋体" w:eastAsia="宋体" w:cs="宋体"/>
                <w:color w:val="auto"/>
              </w:rPr>
            </w:pPr>
          </w:p>
        </w:tc>
        <w:tc>
          <w:tcPr>
            <w:tcW w:w="1090" w:type="dxa"/>
            <w:vAlign w:val="center"/>
          </w:tcPr>
          <w:p w14:paraId="616F4F5C">
            <w:pPr>
              <w:jc w:val="center"/>
              <w:rPr>
                <w:rFonts w:hint="eastAsia" w:ascii="宋体" w:hAnsi="宋体" w:eastAsia="宋体" w:cs="宋体"/>
                <w:color w:val="auto"/>
              </w:rPr>
            </w:pPr>
          </w:p>
        </w:tc>
        <w:tc>
          <w:tcPr>
            <w:tcW w:w="1155" w:type="dxa"/>
            <w:vAlign w:val="center"/>
          </w:tcPr>
          <w:p w14:paraId="29461040">
            <w:pPr>
              <w:jc w:val="center"/>
              <w:rPr>
                <w:rFonts w:hint="eastAsia" w:ascii="宋体" w:hAnsi="宋体" w:eastAsia="宋体" w:cs="宋体"/>
                <w:color w:val="auto"/>
              </w:rPr>
            </w:pPr>
          </w:p>
        </w:tc>
        <w:tc>
          <w:tcPr>
            <w:tcW w:w="645" w:type="dxa"/>
            <w:vAlign w:val="center"/>
          </w:tcPr>
          <w:p w14:paraId="7000CE8A">
            <w:pPr>
              <w:jc w:val="center"/>
              <w:rPr>
                <w:rFonts w:hint="eastAsia" w:ascii="宋体" w:hAnsi="宋体" w:eastAsia="宋体" w:cs="宋体"/>
                <w:color w:val="auto"/>
              </w:rPr>
            </w:pPr>
          </w:p>
        </w:tc>
      </w:tr>
      <w:tr w14:paraId="406E1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720" w:type="dxa"/>
            <w:vAlign w:val="center"/>
          </w:tcPr>
          <w:p w14:paraId="1A580535">
            <w:pPr>
              <w:jc w:val="center"/>
              <w:rPr>
                <w:rFonts w:hint="eastAsia" w:ascii="宋体" w:hAnsi="宋体" w:eastAsia="宋体" w:cs="宋体"/>
                <w:color w:val="auto"/>
              </w:rPr>
            </w:pPr>
            <w:r>
              <w:rPr>
                <w:rFonts w:hint="eastAsia" w:ascii="宋体" w:hAnsi="宋体" w:eastAsia="宋体" w:cs="宋体"/>
                <w:color w:val="auto"/>
              </w:rPr>
              <w:t>2</w:t>
            </w:r>
          </w:p>
        </w:tc>
        <w:tc>
          <w:tcPr>
            <w:tcW w:w="1425" w:type="dxa"/>
            <w:vAlign w:val="center"/>
          </w:tcPr>
          <w:p w14:paraId="15C2E6C3">
            <w:pPr>
              <w:jc w:val="center"/>
              <w:rPr>
                <w:rFonts w:hint="eastAsia" w:ascii="宋体" w:hAnsi="宋体" w:eastAsia="宋体" w:cs="宋体"/>
                <w:color w:val="auto"/>
              </w:rPr>
            </w:pPr>
          </w:p>
        </w:tc>
        <w:tc>
          <w:tcPr>
            <w:tcW w:w="1875" w:type="dxa"/>
            <w:vAlign w:val="center"/>
          </w:tcPr>
          <w:p w14:paraId="6F2C4196">
            <w:pPr>
              <w:jc w:val="center"/>
              <w:rPr>
                <w:rFonts w:hint="eastAsia" w:ascii="宋体" w:hAnsi="宋体" w:eastAsia="宋体" w:cs="宋体"/>
                <w:color w:val="auto"/>
              </w:rPr>
            </w:pPr>
          </w:p>
        </w:tc>
        <w:tc>
          <w:tcPr>
            <w:tcW w:w="1095" w:type="dxa"/>
            <w:vAlign w:val="center"/>
          </w:tcPr>
          <w:p w14:paraId="5A0BCB89">
            <w:pPr>
              <w:jc w:val="center"/>
              <w:rPr>
                <w:rFonts w:hint="eastAsia" w:ascii="宋体" w:hAnsi="宋体" w:eastAsia="宋体" w:cs="宋体"/>
                <w:color w:val="auto"/>
              </w:rPr>
            </w:pPr>
          </w:p>
        </w:tc>
        <w:tc>
          <w:tcPr>
            <w:tcW w:w="1130" w:type="dxa"/>
            <w:vAlign w:val="center"/>
          </w:tcPr>
          <w:p w14:paraId="2BB72B99">
            <w:pPr>
              <w:jc w:val="center"/>
              <w:rPr>
                <w:rFonts w:hint="eastAsia" w:ascii="宋体" w:hAnsi="宋体" w:eastAsia="宋体" w:cs="宋体"/>
                <w:color w:val="auto"/>
              </w:rPr>
            </w:pPr>
          </w:p>
        </w:tc>
        <w:tc>
          <w:tcPr>
            <w:tcW w:w="1090" w:type="dxa"/>
            <w:vAlign w:val="center"/>
          </w:tcPr>
          <w:p w14:paraId="73FF240B">
            <w:pPr>
              <w:jc w:val="center"/>
              <w:rPr>
                <w:rFonts w:hint="eastAsia" w:ascii="宋体" w:hAnsi="宋体" w:eastAsia="宋体" w:cs="宋体"/>
                <w:color w:val="auto"/>
              </w:rPr>
            </w:pPr>
          </w:p>
        </w:tc>
        <w:tc>
          <w:tcPr>
            <w:tcW w:w="1155" w:type="dxa"/>
            <w:vAlign w:val="center"/>
          </w:tcPr>
          <w:p w14:paraId="73F8E07B">
            <w:pPr>
              <w:jc w:val="center"/>
              <w:rPr>
                <w:rFonts w:hint="eastAsia" w:ascii="宋体" w:hAnsi="宋体" w:eastAsia="宋体" w:cs="宋体"/>
                <w:color w:val="auto"/>
              </w:rPr>
            </w:pPr>
          </w:p>
        </w:tc>
        <w:tc>
          <w:tcPr>
            <w:tcW w:w="645" w:type="dxa"/>
            <w:vAlign w:val="center"/>
          </w:tcPr>
          <w:p w14:paraId="5A6E64D7">
            <w:pPr>
              <w:jc w:val="center"/>
              <w:rPr>
                <w:rFonts w:hint="eastAsia" w:ascii="宋体" w:hAnsi="宋体" w:eastAsia="宋体" w:cs="宋体"/>
                <w:color w:val="auto"/>
              </w:rPr>
            </w:pPr>
          </w:p>
        </w:tc>
      </w:tr>
      <w:tr w14:paraId="7A8E0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720" w:type="dxa"/>
            <w:vAlign w:val="center"/>
          </w:tcPr>
          <w:p w14:paraId="31562960">
            <w:pPr>
              <w:jc w:val="center"/>
              <w:rPr>
                <w:rFonts w:hint="eastAsia" w:ascii="宋体" w:hAnsi="宋体" w:eastAsia="宋体" w:cs="宋体"/>
                <w:color w:val="auto"/>
              </w:rPr>
            </w:pPr>
            <w:r>
              <w:rPr>
                <w:rFonts w:hint="eastAsia" w:ascii="宋体" w:hAnsi="宋体" w:eastAsia="宋体" w:cs="宋体"/>
                <w:color w:val="auto"/>
              </w:rPr>
              <w:t>...</w:t>
            </w:r>
          </w:p>
        </w:tc>
        <w:tc>
          <w:tcPr>
            <w:tcW w:w="1425" w:type="dxa"/>
            <w:vAlign w:val="center"/>
          </w:tcPr>
          <w:p w14:paraId="3F905766">
            <w:pPr>
              <w:jc w:val="center"/>
              <w:rPr>
                <w:rFonts w:hint="eastAsia" w:ascii="宋体" w:hAnsi="宋体" w:eastAsia="宋体" w:cs="宋体"/>
                <w:color w:val="auto"/>
              </w:rPr>
            </w:pPr>
          </w:p>
        </w:tc>
        <w:tc>
          <w:tcPr>
            <w:tcW w:w="1875" w:type="dxa"/>
            <w:vAlign w:val="center"/>
          </w:tcPr>
          <w:p w14:paraId="447E9961">
            <w:pPr>
              <w:jc w:val="center"/>
              <w:rPr>
                <w:rFonts w:hint="eastAsia" w:ascii="宋体" w:hAnsi="宋体" w:eastAsia="宋体" w:cs="宋体"/>
                <w:color w:val="auto"/>
              </w:rPr>
            </w:pPr>
          </w:p>
        </w:tc>
        <w:tc>
          <w:tcPr>
            <w:tcW w:w="1095" w:type="dxa"/>
            <w:vAlign w:val="center"/>
          </w:tcPr>
          <w:p w14:paraId="596A99E3">
            <w:pPr>
              <w:jc w:val="center"/>
              <w:rPr>
                <w:rFonts w:hint="eastAsia" w:ascii="宋体" w:hAnsi="宋体" w:eastAsia="宋体" w:cs="宋体"/>
                <w:color w:val="auto"/>
              </w:rPr>
            </w:pPr>
          </w:p>
        </w:tc>
        <w:tc>
          <w:tcPr>
            <w:tcW w:w="1130" w:type="dxa"/>
            <w:vAlign w:val="center"/>
          </w:tcPr>
          <w:p w14:paraId="0A89900E">
            <w:pPr>
              <w:jc w:val="center"/>
              <w:rPr>
                <w:rFonts w:hint="eastAsia" w:ascii="宋体" w:hAnsi="宋体" w:eastAsia="宋体" w:cs="宋体"/>
                <w:color w:val="auto"/>
              </w:rPr>
            </w:pPr>
          </w:p>
        </w:tc>
        <w:tc>
          <w:tcPr>
            <w:tcW w:w="1090" w:type="dxa"/>
            <w:vAlign w:val="center"/>
          </w:tcPr>
          <w:p w14:paraId="7CE88457">
            <w:pPr>
              <w:jc w:val="center"/>
              <w:rPr>
                <w:rFonts w:hint="eastAsia" w:ascii="宋体" w:hAnsi="宋体" w:eastAsia="宋体" w:cs="宋体"/>
                <w:color w:val="auto"/>
              </w:rPr>
            </w:pPr>
          </w:p>
        </w:tc>
        <w:tc>
          <w:tcPr>
            <w:tcW w:w="1155" w:type="dxa"/>
            <w:vAlign w:val="center"/>
          </w:tcPr>
          <w:p w14:paraId="073E6C96">
            <w:pPr>
              <w:jc w:val="center"/>
              <w:rPr>
                <w:rFonts w:hint="eastAsia" w:ascii="宋体" w:hAnsi="宋体" w:eastAsia="宋体" w:cs="宋体"/>
                <w:color w:val="auto"/>
              </w:rPr>
            </w:pPr>
          </w:p>
        </w:tc>
        <w:tc>
          <w:tcPr>
            <w:tcW w:w="645" w:type="dxa"/>
            <w:vAlign w:val="center"/>
          </w:tcPr>
          <w:p w14:paraId="3C5FB26D">
            <w:pPr>
              <w:jc w:val="center"/>
              <w:rPr>
                <w:rFonts w:hint="eastAsia" w:ascii="宋体" w:hAnsi="宋体" w:eastAsia="宋体" w:cs="宋体"/>
                <w:color w:val="auto"/>
              </w:rPr>
            </w:pPr>
          </w:p>
        </w:tc>
      </w:tr>
      <w:tr w14:paraId="3F4D1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4020" w:type="dxa"/>
            <w:gridSpan w:val="3"/>
            <w:vMerge w:val="restart"/>
            <w:tcBorders>
              <w:bottom w:val="nil"/>
            </w:tcBorders>
          </w:tcPr>
          <w:p w14:paraId="78921052">
            <w:pPr>
              <w:rPr>
                <w:rFonts w:hint="eastAsia" w:ascii="宋体" w:hAnsi="宋体" w:eastAsia="宋体" w:cs="宋体"/>
                <w:color w:val="auto"/>
              </w:rPr>
            </w:pPr>
          </w:p>
          <w:p w14:paraId="03776583">
            <w:pPr>
              <w:rPr>
                <w:rFonts w:hint="eastAsia" w:ascii="宋体" w:hAnsi="宋体" w:eastAsia="宋体" w:cs="宋体"/>
                <w:color w:val="auto"/>
              </w:rPr>
            </w:pPr>
            <w:r>
              <w:rPr>
                <w:rFonts w:hint="eastAsia" w:ascii="宋体" w:hAnsi="宋体" w:eastAsia="宋体" w:cs="宋体"/>
                <w:color w:val="auto"/>
              </w:rPr>
              <w:t>合计(元)</w:t>
            </w:r>
          </w:p>
        </w:tc>
        <w:tc>
          <w:tcPr>
            <w:tcW w:w="5115" w:type="dxa"/>
            <w:gridSpan w:val="5"/>
            <w:vAlign w:val="center"/>
          </w:tcPr>
          <w:p w14:paraId="70476E38">
            <w:pPr>
              <w:jc w:val="both"/>
              <w:rPr>
                <w:rFonts w:hint="eastAsia" w:ascii="宋体" w:hAnsi="宋体" w:eastAsia="宋体" w:cs="宋体"/>
                <w:color w:val="auto"/>
              </w:rPr>
            </w:pPr>
            <w:r>
              <w:rPr>
                <w:rFonts w:hint="eastAsia" w:ascii="宋体" w:hAnsi="宋体" w:eastAsia="宋体" w:cs="宋体"/>
                <w:color w:val="auto"/>
              </w:rPr>
              <w:t>大写：</w:t>
            </w:r>
          </w:p>
        </w:tc>
      </w:tr>
      <w:tr w14:paraId="4D882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4020" w:type="dxa"/>
            <w:gridSpan w:val="3"/>
            <w:vMerge w:val="continue"/>
            <w:tcBorders>
              <w:top w:val="nil"/>
            </w:tcBorders>
          </w:tcPr>
          <w:p w14:paraId="6C171A18">
            <w:pPr>
              <w:rPr>
                <w:rFonts w:hint="eastAsia" w:ascii="宋体" w:hAnsi="宋体" w:eastAsia="宋体" w:cs="宋体"/>
                <w:color w:val="auto"/>
              </w:rPr>
            </w:pPr>
          </w:p>
        </w:tc>
        <w:tc>
          <w:tcPr>
            <w:tcW w:w="5115" w:type="dxa"/>
            <w:gridSpan w:val="5"/>
            <w:vAlign w:val="center"/>
          </w:tcPr>
          <w:p w14:paraId="577C060A">
            <w:pPr>
              <w:jc w:val="both"/>
              <w:rPr>
                <w:rFonts w:hint="eastAsia" w:ascii="宋体" w:hAnsi="宋体" w:eastAsia="宋体" w:cs="宋体"/>
                <w:color w:val="auto"/>
              </w:rPr>
            </w:pPr>
            <w:r>
              <w:rPr>
                <w:rFonts w:hint="eastAsia" w:ascii="宋体" w:hAnsi="宋体" w:eastAsia="宋体" w:cs="宋体"/>
                <w:color w:val="auto"/>
              </w:rPr>
              <w:t>小写：</w:t>
            </w:r>
            <w:r>
              <w:rPr>
                <w:rFonts w:hint="eastAsia" w:ascii="宋体" w:hAnsi="宋体" w:eastAsia="宋体" w:cs="宋体"/>
                <w:color w:val="auto"/>
                <w:u w:val="single"/>
              </w:rPr>
              <w:t xml:space="preserve">           </w:t>
            </w:r>
            <w:r>
              <w:rPr>
                <w:rFonts w:hint="eastAsia" w:ascii="宋体" w:hAnsi="宋体" w:eastAsia="宋体" w:cs="宋体"/>
                <w:color w:val="auto"/>
              </w:rPr>
              <w:t>元</w:t>
            </w:r>
          </w:p>
        </w:tc>
      </w:tr>
    </w:tbl>
    <w:p w14:paraId="76A364BC">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2AF3E88F">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其中，不含税金额____元，增值税税额____元，适用税率____%。</w:t>
      </w:r>
    </w:p>
    <w:p w14:paraId="19B98EC7">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1.3 合同总额为一次性包死价格，不受市场价格的变化和影响，在合同不发生变更时作为付款结算的依据。</w:t>
      </w:r>
    </w:p>
    <w:p w14:paraId="2F14C2B8">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1.4 设备的技术参数要求</w:t>
      </w:r>
    </w:p>
    <w:p w14:paraId="3358190A">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2570CD1F">
      <w:pPr>
        <w:spacing w:line="380" w:lineRule="exact"/>
        <w:ind w:firstLine="480" w:firstLineChars="200"/>
        <w:rPr>
          <w:rFonts w:hint="eastAsia" w:ascii="宋体" w:hAnsi="宋体" w:eastAsia="宋体" w:cs="宋体"/>
          <w:b/>
          <w:bCs/>
          <w:color w:val="auto"/>
        </w:rPr>
      </w:pPr>
      <w:r>
        <w:rPr>
          <w:rFonts w:hint="eastAsia" w:ascii="宋体" w:hAnsi="宋体" w:eastAsia="宋体" w:cs="宋体"/>
          <w:color w:val="auto"/>
        </w:rPr>
        <w:t>1.4.2 所有设备和参数要与招标文件、投标文件保持一致，若关键参数不一致，以其中最优最高标准为执行标准。</w:t>
      </w:r>
    </w:p>
    <w:p w14:paraId="4BF38A8A">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1.4.3 乙方应向甲方提供有关标准的中文文本。</w:t>
      </w:r>
    </w:p>
    <w:p w14:paraId="34A83B43">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1.4.4 除非技术规范中另有规定，计量单位均采用中华人民共和国法定计量单位。</w:t>
      </w:r>
    </w:p>
    <w:p w14:paraId="436C6113">
      <w:pPr>
        <w:spacing w:before="156" w:beforeLines="50" w:after="156" w:afterLines="50" w:line="360" w:lineRule="exact"/>
        <w:ind w:firstLine="482" w:firstLineChars="200"/>
        <w:rPr>
          <w:rFonts w:hint="eastAsia" w:ascii="宋体" w:hAnsi="宋体" w:eastAsia="宋体" w:cs="宋体"/>
          <w:b/>
          <w:bCs/>
          <w:color w:val="auto"/>
        </w:rPr>
      </w:pPr>
      <w:r>
        <w:rPr>
          <w:rFonts w:hint="eastAsia" w:ascii="宋体" w:hAnsi="宋体" w:eastAsia="宋体" w:cs="宋体"/>
          <w:b/>
          <w:bCs/>
          <w:color w:val="auto"/>
        </w:rPr>
        <w:t>2.包装运输要求</w:t>
      </w:r>
    </w:p>
    <w:p w14:paraId="716116B9">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3B7D627B">
      <w:pPr>
        <w:spacing w:before="156" w:beforeLines="50" w:after="156" w:afterLines="50" w:line="360" w:lineRule="exact"/>
        <w:ind w:firstLine="482" w:firstLineChars="200"/>
        <w:rPr>
          <w:rFonts w:hint="eastAsia" w:ascii="宋体" w:hAnsi="宋体" w:eastAsia="宋体" w:cs="宋体"/>
          <w:b/>
          <w:bCs/>
          <w:color w:val="auto"/>
        </w:rPr>
      </w:pPr>
      <w:r>
        <w:rPr>
          <w:rFonts w:hint="eastAsia" w:ascii="宋体" w:hAnsi="宋体" w:eastAsia="宋体" w:cs="宋体"/>
          <w:b/>
          <w:bCs/>
          <w:color w:val="auto"/>
        </w:rPr>
        <w:t>3.交货时间及交货地点</w:t>
      </w:r>
    </w:p>
    <w:p w14:paraId="382761DF">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59681C86">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3.2 合同签订后</w:t>
      </w:r>
      <w:r>
        <w:rPr>
          <w:rFonts w:hint="eastAsia" w:ascii="宋体" w:hAnsi="宋体" w:eastAsia="宋体" w:cs="宋体"/>
          <w:color w:val="auto"/>
          <w:u w:val="single"/>
        </w:rPr>
        <w:t xml:space="preserve">    </w:t>
      </w:r>
      <w:r>
        <w:rPr>
          <w:rFonts w:hint="eastAsia" w:ascii="宋体" w:hAnsi="宋体" w:eastAsia="宋体" w:cs="宋体"/>
          <w:color w:val="auto"/>
        </w:rPr>
        <w:t>个工作日内，乙方负责将产品运输到指定地点，并按照验收标准和验收程序完成设备的安装、调试和验收工作。乙方保证运输过程中产品包装完好，在安装调试及验收时设备外观无划痕，设备质量完好。</w:t>
      </w:r>
    </w:p>
    <w:p w14:paraId="12511DE1">
      <w:pPr>
        <w:spacing w:before="156" w:beforeLines="50" w:after="156" w:afterLines="50" w:line="360" w:lineRule="exact"/>
        <w:ind w:firstLine="482" w:firstLineChars="200"/>
        <w:rPr>
          <w:rFonts w:hint="eastAsia" w:ascii="宋体" w:hAnsi="宋体" w:eastAsia="宋体" w:cs="宋体"/>
          <w:b/>
          <w:bCs/>
          <w:color w:val="auto"/>
        </w:rPr>
      </w:pPr>
      <w:r>
        <w:rPr>
          <w:rFonts w:hint="eastAsia" w:ascii="宋体" w:hAnsi="宋体" w:eastAsia="宋体" w:cs="宋体"/>
          <w:b/>
          <w:bCs/>
          <w:color w:val="auto"/>
        </w:rPr>
        <w:t>4.产品质量保证</w:t>
      </w:r>
    </w:p>
    <w:p w14:paraId="34BE4FF8">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4.1 乙方提供的设备及配套产品，必须是合同规定厂家制造的合格、全新、未曾使用的产品，产品内部无损坏，外表无磨损，内部包装无破损。</w:t>
      </w:r>
    </w:p>
    <w:p w14:paraId="2818270C">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4.2 乙方提供的设备及配套产品必须等同于或优于合同技术指标要求，并能按国家标准供应、检测、调试，确保产品技术指标满足合同约定及使用要求。</w:t>
      </w:r>
    </w:p>
    <w:p w14:paraId="15657F34">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04F9DD69">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79CD0900">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692BE13F">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4.6 产品质量保证期为甲方硬件设备最终验收合格后</w:t>
      </w:r>
      <w:r>
        <w:rPr>
          <w:rFonts w:hint="eastAsia" w:ascii="宋体" w:hAnsi="宋体" w:eastAsia="宋体" w:cs="宋体"/>
          <w:color w:val="auto"/>
          <w:u w:val="single"/>
        </w:rPr>
        <w:t xml:space="preserve">     </w:t>
      </w:r>
      <w:r>
        <w:rPr>
          <w:rFonts w:hint="eastAsia" w:ascii="宋体" w:hAnsi="宋体" w:eastAsia="宋体" w:cs="宋体"/>
          <w:color w:val="auto"/>
        </w:rPr>
        <w:t>年，软件系统最终验收合格后</w:t>
      </w:r>
      <w:r>
        <w:rPr>
          <w:rFonts w:hint="eastAsia" w:ascii="宋体" w:hAnsi="宋体" w:eastAsia="宋体" w:cs="宋体"/>
          <w:color w:val="auto"/>
          <w:u w:val="single"/>
        </w:rPr>
        <w:t xml:space="preserve">     </w:t>
      </w:r>
      <w:r>
        <w:rPr>
          <w:rFonts w:hint="eastAsia" w:ascii="宋体" w:hAnsi="宋体" w:eastAsia="宋体" w:cs="宋体"/>
          <w:color w:val="auto"/>
        </w:rPr>
        <w:t>年。质保期内，乙方应免费提供所有硬件设备维修及软件系统的升级服务，需更换的零配件应保证为原厂原装。质保期满后，乙方应提供软件终身免费升级，负责设备的终身维修。甲方如需更换设备的零配件，乙方应保证更换的零配件为原厂原装，并只收取零配件的成本费，同时由乙方负责更换并调试合格。</w:t>
      </w:r>
    </w:p>
    <w:p w14:paraId="2944DD9F">
      <w:pPr>
        <w:spacing w:before="156" w:beforeLines="50" w:after="156" w:afterLines="50" w:line="360" w:lineRule="exact"/>
        <w:ind w:firstLine="482" w:firstLineChars="200"/>
        <w:rPr>
          <w:rFonts w:hint="eastAsia" w:ascii="宋体" w:hAnsi="宋体" w:eastAsia="宋体" w:cs="宋体"/>
          <w:b/>
          <w:bCs/>
          <w:color w:val="auto"/>
        </w:rPr>
      </w:pPr>
      <w:r>
        <w:rPr>
          <w:rFonts w:hint="eastAsia" w:ascii="宋体" w:hAnsi="宋体" w:eastAsia="宋体" w:cs="宋体"/>
          <w:b/>
          <w:bCs/>
          <w:color w:val="auto"/>
        </w:rPr>
        <w:t>5.技术服务承诺</w:t>
      </w:r>
    </w:p>
    <w:p w14:paraId="5F664BD1">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5.1 乙方应严格按照供货时间，及时给甲方供货。</w:t>
      </w:r>
    </w:p>
    <w:p w14:paraId="0F10B6E9">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5.2 乙方负责提供设备相应的技术资料，包括产品合格证、产品保修单、安装使用及维护说明书以及运输装箱清单等，并对所有技术材料的真实性、准确性、先进性、完整性负责。</w:t>
      </w:r>
    </w:p>
    <w:p w14:paraId="21A20837">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5.3 人员培训：乙方免费为甲方培训设备使用人员，培训内容包括设备操作、维护、简单维修等（培训内容与标准、培训安排等要求详见附件）。</w:t>
      </w:r>
    </w:p>
    <w:p w14:paraId="66E9CA6E">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5.4 售后服务：质保期内，乙方对甲方提出的服务响应不得超过</w:t>
      </w:r>
      <w:r>
        <w:rPr>
          <w:rFonts w:hint="eastAsia" w:ascii="宋体" w:hAnsi="宋体" w:eastAsia="宋体" w:cs="宋体"/>
          <w:color w:val="auto"/>
          <w:u w:val="single"/>
        </w:rPr>
        <w:t xml:space="preserve">     </w:t>
      </w:r>
      <w:r>
        <w:rPr>
          <w:rFonts w:hint="eastAsia" w:ascii="宋体" w:hAnsi="宋体" w:eastAsia="宋体" w:cs="宋体"/>
          <w:color w:val="auto"/>
        </w:rPr>
        <w:t>小时，并在</w:t>
      </w:r>
      <w:r>
        <w:rPr>
          <w:rFonts w:hint="eastAsia" w:ascii="宋体" w:hAnsi="宋体" w:eastAsia="宋体" w:cs="宋体"/>
          <w:color w:val="auto"/>
          <w:u w:val="single"/>
        </w:rPr>
        <w:t xml:space="preserve">  </w:t>
      </w:r>
      <w:r>
        <w:rPr>
          <w:rFonts w:hint="eastAsia" w:ascii="宋体" w:hAnsi="宋体" w:eastAsia="宋体" w:cs="宋体"/>
          <w:color w:val="auto"/>
        </w:rPr>
        <w:t>小时内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宋体" w:hAnsi="宋体" w:eastAsia="宋体" w:cs="宋体"/>
          <w:color w:val="auto"/>
          <w:u w:val="single"/>
        </w:rPr>
        <w:t xml:space="preserve">                     </w:t>
      </w:r>
      <w:r>
        <w:rPr>
          <w:rFonts w:hint="eastAsia" w:ascii="宋体" w:hAnsi="宋体" w:eastAsia="宋体" w:cs="宋体"/>
          <w:color w:val="auto"/>
        </w:rPr>
        <w:t>。质保期内乙方应每季度上门巡检不少于</w:t>
      </w:r>
      <w:r>
        <w:rPr>
          <w:rFonts w:hint="eastAsia" w:ascii="宋体" w:hAnsi="宋体" w:eastAsia="宋体" w:cs="宋体"/>
          <w:color w:val="auto"/>
          <w:u w:val="single"/>
        </w:rPr>
        <w:t xml:space="preserve">     </w:t>
      </w:r>
      <w:r>
        <w:rPr>
          <w:rFonts w:hint="eastAsia" w:ascii="宋体" w:hAnsi="宋体" w:eastAsia="宋体" w:cs="宋体"/>
          <w:color w:val="auto"/>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4938446">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5.5 具体服务详见乙方投标文件中乙方的承诺书。</w:t>
      </w:r>
    </w:p>
    <w:p w14:paraId="3E9C126D">
      <w:pPr>
        <w:spacing w:before="156" w:beforeLines="50" w:after="156" w:afterLines="50" w:line="360" w:lineRule="exact"/>
        <w:ind w:firstLine="482" w:firstLineChars="200"/>
        <w:rPr>
          <w:rFonts w:hint="eastAsia" w:ascii="宋体" w:hAnsi="宋体" w:eastAsia="宋体" w:cs="宋体"/>
          <w:b/>
          <w:bCs/>
          <w:color w:val="auto"/>
        </w:rPr>
      </w:pPr>
      <w:r>
        <w:rPr>
          <w:rFonts w:hint="eastAsia" w:ascii="宋体" w:hAnsi="宋体" w:eastAsia="宋体" w:cs="宋体"/>
          <w:b/>
          <w:bCs/>
          <w:color w:val="auto"/>
        </w:rPr>
        <w:t>6.验收方法及标准</w:t>
      </w:r>
    </w:p>
    <w:p w14:paraId="19560E67">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6.1 开箱验收</w:t>
      </w:r>
    </w:p>
    <w:p w14:paraId="008622B0">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6.1.1 产品运抵现场后，双方应及时开箱验收，并制作验收记录，以确认与本合同约定的数量、型号等是否一致。</w:t>
      </w:r>
    </w:p>
    <w:p w14:paraId="63DF2FEB">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6.1.2 乙方应在交货前对产品的质量、规格、数量等进行详细而全面的检验，并出具证明产品符合合同规定的文件。该文件将作为申请付款单据的一部分，但有关质量、规格、数量的检验不应视为最终检验。</w:t>
      </w:r>
    </w:p>
    <w:p w14:paraId="473D2EB1">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5A491FB">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6.1.4 开箱验收中如发现产品的数量、规格与合同约定不符，甲方有权拒收产品，乙方应及时按甲方要求免费对拒收产品采取更换或其他必要的补救措施，直至开箱验收合格，方视为乙方完成交货。</w:t>
      </w:r>
    </w:p>
    <w:p w14:paraId="01AA1363">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6.2 检验验收</w:t>
      </w:r>
    </w:p>
    <w:p w14:paraId="1D2A2256">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6.2.1 交货完成后，乙方应及时组装、调试、试运行，按照合同条款规定的试运行完成后，双方及时组织对产品进行检验验收。合同双方均须派人参加合同要求双方参加的试验、检验。</w:t>
      </w:r>
    </w:p>
    <w:p w14:paraId="5EE83A20">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6.2.2 在具体实施合同规定的检验验收之前，乙方需提前提交相应的测试计划(包括测试程序、测试内容和检验标准、试验时间安排等)供甲方确认。注：本条甲乙双方协商。</w:t>
      </w:r>
    </w:p>
    <w:p w14:paraId="37A0ECBF">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6.2.3 除需甲方确认的试验验收外，乙方还应对所有检验验收测试的结果、步骤、原始数据等做妥善记录。如甲方要求，乙方应提供这些记录给甲方。</w:t>
      </w:r>
    </w:p>
    <w:p w14:paraId="2A226C4F">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6.2.4 检验测试出现全部或部分未达到本合同所约定的技术指标，甲方有权选择下列任一处理方式：</w:t>
      </w:r>
    </w:p>
    <w:p w14:paraId="304370C8">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a.重新测试直至合格为止；</w:t>
      </w:r>
    </w:p>
    <w:p w14:paraId="5FB3893E">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b.要求乙方对货物进行免费更换，然后重新测试直至合格为止；无论选择何种方式，甲方因此而发生的、因乙方原因引起的所有费用均由乙方负担，并承担造成延迟交付的违约责任。</w:t>
      </w:r>
    </w:p>
    <w:p w14:paraId="5638F0A1">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6.3 使用过程检验</w:t>
      </w:r>
    </w:p>
    <w:p w14:paraId="5DCBD6E7">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55A571E7">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6.3.2 如果合同双方对乙方提供的上述试验结果报告的解释有分歧，双方须于出现分歧后</w:t>
      </w:r>
      <w:r>
        <w:rPr>
          <w:rFonts w:hint="eastAsia" w:ascii="宋体" w:hAnsi="宋体" w:eastAsia="宋体" w:cs="宋体"/>
          <w:color w:val="auto"/>
          <w:u w:val="single"/>
        </w:rPr>
        <w:t xml:space="preserve">     </w:t>
      </w:r>
      <w:r>
        <w:rPr>
          <w:rFonts w:hint="eastAsia" w:ascii="宋体" w:hAnsi="宋体" w:eastAsia="宋体" w:cs="宋体"/>
          <w:color w:val="auto"/>
        </w:rPr>
        <w:t>天内给对方声明，以陈述己方的观点。声明须附有关证据。分歧应通过协商解决。</w:t>
      </w:r>
    </w:p>
    <w:p w14:paraId="20C8E911">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6.4 所有验收合格，但不能免除乙方应该承担的质保责任。</w:t>
      </w:r>
    </w:p>
    <w:p w14:paraId="4917AEA2">
      <w:pPr>
        <w:spacing w:before="156" w:beforeLines="50" w:after="156" w:afterLines="50" w:line="360" w:lineRule="exact"/>
        <w:ind w:firstLine="482" w:firstLineChars="200"/>
        <w:rPr>
          <w:rFonts w:hint="eastAsia" w:ascii="宋体" w:hAnsi="宋体" w:eastAsia="宋体" w:cs="宋体"/>
          <w:b/>
          <w:bCs/>
          <w:color w:val="auto"/>
        </w:rPr>
      </w:pPr>
      <w:r>
        <w:rPr>
          <w:rFonts w:hint="eastAsia" w:ascii="宋体" w:hAnsi="宋体" w:eastAsia="宋体" w:cs="宋体"/>
          <w:b/>
          <w:bCs/>
          <w:color w:val="auto"/>
        </w:rPr>
        <w:t>7.合同款项支付方式</w:t>
      </w:r>
    </w:p>
    <w:p w14:paraId="3647C63C">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7.1 履约保证金</w:t>
      </w:r>
    </w:p>
    <w:p w14:paraId="54EB77F3">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7.1.1 乙方应在收到中标(成交)通知书后、合同签订前</w:t>
      </w:r>
      <w:r>
        <w:rPr>
          <w:rFonts w:hint="eastAsia" w:ascii="宋体" w:hAnsi="宋体" w:eastAsia="宋体" w:cs="宋体"/>
          <w:color w:val="auto"/>
          <w:u w:val="single"/>
        </w:rPr>
        <w:t xml:space="preserve"> 5 </w:t>
      </w:r>
      <w:r>
        <w:rPr>
          <w:rFonts w:hint="eastAsia" w:ascii="宋体" w:hAnsi="宋体" w:eastAsia="宋体" w:cs="宋体"/>
          <w:color w:val="auto"/>
        </w:rPr>
        <w:t>个工作日内，向甲方提交合同总价</w:t>
      </w:r>
      <w:r>
        <w:rPr>
          <w:rFonts w:hint="eastAsia" w:ascii="宋体" w:hAnsi="宋体" w:eastAsia="宋体" w:cs="宋体"/>
          <w:color w:val="auto"/>
          <w:u w:val="single"/>
        </w:rPr>
        <w:t xml:space="preserve"> 5  </w:t>
      </w:r>
      <w:r>
        <w:rPr>
          <w:rFonts w:hint="eastAsia" w:ascii="宋体" w:hAnsi="宋体" w:eastAsia="宋体" w:cs="宋体"/>
          <w:color w:val="auto"/>
        </w:rPr>
        <w:t>%的履约保证金（投标人可自主选择以银行转账、支票、汇票、本票或银行保函等非现金形式缴纳履约保证金，乙方应于提交前就所选缴纳方式的具体要求与甲方财务部门确认）。</w:t>
      </w:r>
    </w:p>
    <w:p w14:paraId="18FD09EE">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7.1.2 设备到货并由甲方验收合格后，采购人在收到供应商书面申请，经采购人确认供应商履行了合同约定的义务，无违约情形一次性予以无息退还。</w:t>
      </w:r>
    </w:p>
    <w:p w14:paraId="0004FCF5">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7.2 合同款支付</w:t>
      </w:r>
    </w:p>
    <w:p w14:paraId="2BCCA479">
      <w:pPr>
        <w:spacing w:line="380" w:lineRule="exact"/>
        <w:ind w:firstLine="480" w:firstLineChars="200"/>
        <w:rPr>
          <w:rFonts w:hint="eastAsia" w:ascii="宋体" w:hAnsi="宋体" w:eastAsia="宋体" w:cs="宋体"/>
          <w:color w:val="auto"/>
          <w:highlight w:val="none"/>
          <w:u w:val="none"/>
        </w:rPr>
      </w:pPr>
      <w:r>
        <w:rPr>
          <w:rFonts w:hint="eastAsia" w:ascii="宋体" w:hAnsi="宋体" w:eastAsia="宋体" w:cs="宋体"/>
          <w:color w:val="auto"/>
        </w:rPr>
        <w:t>签订合同后，设备到达指定地点、安装调试完成并验收合格</w:t>
      </w:r>
      <w:r>
        <w:rPr>
          <w:rFonts w:hint="eastAsia" w:ascii="宋体" w:hAnsi="宋体" w:eastAsia="宋体" w:cs="宋体"/>
          <w:color w:val="auto"/>
          <w:highlight w:val="none"/>
        </w:rPr>
        <w:t>后，</w:t>
      </w:r>
      <w:r>
        <w:rPr>
          <w:rFonts w:hint="eastAsia" w:ascii="宋体" w:hAnsi="宋体" w:eastAsia="宋体" w:cs="宋体"/>
          <w:color w:val="auto"/>
          <w:highlight w:val="none"/>
          <w:u w:val="none"/>
        </w:rPr>
        <w:t>并完成甲方所有内部付款审批程序，满足付款条件起10个工作日内支付合同总价的100%。</w:t>
      </w:r>
    </w:p>
    <w:p w14:paraId="553C6BB5">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7.3 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0FBC28A8">
      <w:pPr>
        <w:spacing w:before="156" w:beforeLines="50" w:after="156" w:afterLines="50" w:line="360" w:lineRule="exact"/>
        <w:ind w:firstLine="482" w:firstLineChars="200"/>
        <w:rPr>
          <w:rFonts w:hint="eastAsia" w:ascii="宋体" w:hAnsi="宋体" w:eastAsia="宋体" w:cs="宋体"/>
          <w:b/>
          <w:bCs/>
          <w:color w:val="auto"/>
        </w:rPr>
      </w:pPr>
      <w:r>
        <w:rPr>
          <w:rFonts w:hint="eastAsia" w:ascii="宋体" w:hAnsi="宋体" w:eastAsia="宋体" w:cs="宋体"/>
          <w:b/>
          <w:bCs/>
          <w:color w:val="auto"/>
        </w:rPr>
        <w:t>8.安全生产和文明施工</w:t>
      </w:r>
    </w:p>
    <w:p w14:paraId="4AF450B5">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8.1 现场安全文明施工由乙方编制专项详细方案并严格执行。</w:t>
      </w:r>
    </w:p>
    <w:p w14:paraId="0068F2AD">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6350FA70">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8.3 在设备安装施工全过程中，乙方应服从甲方的各项管理，并对乙方施工人员进行安全管理。</w:t>
      </w:r>
    </w:p>
    <w:p w14:paraId="792470F9">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8.4 确保现场建筑物及相关设施设备完好无损，如施工过程中出现损坏，乙方负责修复赔偿。</w:t>
      </w:r>
    </w:p>
    <w:p w14:paraId="45E6485B">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8.5 乙方应对安装施工人员相关岗位上岗资格进行审查，并对相关后果负责。</w:t>
      </w:r>
    </w:p>
    <w:p w14:paraId="3E276B08">
      <w:pPr>
        <w:spacing w:before="156" w:beforeLines="50" w:after="156" w:afterLines="50" w:line="360" w:lineRule="exact"/>
        <w:ind w:firstLine="482" w:firstLineChars="200"/>
        <w:rPr>
          <w:rFonts w:hint="eastAsia" w:ascii="宋体" w:hAnsi="宋体" w:eastAsia="宋体" w:cs="宋体"/>
          <w:b/>
          <w:bCs/>
          <w:color w:val="auto"/>
        </w:rPr>
      </w:pPr>
      <w:r>
        <w:rPr>
          <w:rFonts w:hint="eastAsia" w:ascii="宋体" w:hAnsi="宋体" w:eastAsia="宋体" w:cs="宋体"/>
          <w:b/>
          <w:bCs/>
          <w:color w:val="auto"/>
        </w:rPr>
        <w:t>9.索赔</w:t>
      </w:r>
    </w:p>
    <w:p w14:paraId="3216E5CF">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B3693E7">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9.2 在验收合格前，乙方对甲方提出的索赔负有责任，乙方应按照甲方同意的下列一种或多种方式解决索赔事宜：</w:t>
      </w:r>
    </w:p>
    <w:p w14:paraId="187434D9">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12E5D954">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9.2.2 根据货物低劣程度、损坏程度以及甲方所遭受损失的数额，经甲乙双方商定降低货物的价格，或由有资质的中介机构评估，以降低后的价格或评估价格为准。</w:t>
      </w:r>
    </w:p>
    <w:p w14:paraId="42343272">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9896D8D">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9.3 乙方收到甲方发出的索赔通知之日起</w:t>
      </w:r>
      <w:r>
        <w:rPr>
          <w:rFonts w:hint="eastAsia" w:ascii="宋体" w:hAnsi="宋体" w:eastAsia="宋体" w:cs="宋体"/>
          <w:color w:val="auto"/>
          <w:u w:val="single"/>
        </w:rPr>
        <w:t xml:space="preserve"> 5 </w:t>
      </w:r>
      <w:r>
        <w:rPr>
          <w:rFonts w:hint="eastAsia" w:ascii="宋体" w:hAnsi="宋体" w:eastAsia="宋体" w:cs="宋体"/>
          <w:color w:val="auto"/>
        </w:rPr>
        <w:t>个工作日内未作答复的，甲方可从合同款或履约保证金中扣回索赔金额，如金额不足以补偿索赔金额，乙方应补足差额部分。</w:t>
      </w:r>
    </w:p>
    <w:p w14:paraId="1B97683B">
      <w:pPr>
        <w:spacing w:before="156" w:beforeLines="50" w:after="156" w:afterLines="50" w:line="360" w:lineRule="exact"/>
        <w:ind w:firstLine="482" w:firstLineChars="200"/>
        <w:rPr>
          <w:rFonts w:hint="eastAsia" w:ascii="宋体" w:hAnsi="宋体" w:eastAsia="宋体" w:cs="宋体"/>
          <w:b/>
          <w:bCs/>
          <w:color w:val="auto"/>
        </w:rPr>
      </w:pPr>
      <w:r>
        <w:rPr>
          <w:rFonts w:hint="eastAsia" w:ascii="宋体" w:hAnsi="宋体" w:eastAsia="宋体" w:cs="宋体"/>
          <w:b/>
          <w:bCs/>
          <w:color w:val="auto"/>
        </w:rPr>
        <w:t>10.违约责任</w:t>
      </w:r>
    </w:p>
    <w:p w14:paraId="39E0D81B">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10.1 合同生效后，甲乙双方应按合同规定认真全面履约。合同履约责任只涉及合同甲乙双方，不考虑第三方因素。</w:t>
      </w:r>
    </w:p>
    <w:p w14:paraId="45D68520">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9D51CFD">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10.3 如乙方产品质量不符合国家标准、行业内控标准或本合同技术附件要求的，甲方有权退货，乙方应退还全部货款，并承担合同总价款</w:t>
      </w:r>
      <w:r>
        <w:rPr>
          <w:rFonts w:hint="eastAsia" w:ascii="宋体" w:hAnsi="宋体" w:eastAsia="宋体" w:cs="宋体"/>
          <w:color w:val="auto"/>
          <w:u w:val="single"/>
        </w:rPr>
        <w:t xml:space="preserve"> 10 </w:t>
      </w:r>
      <w:r>
        <w:rPr>
          <w:rFonts w:hint="eastAsia" w:ascii="宋体" w:hAnsi="宋体" w:eastAsia="宋体" w:cs="宋体"/>
          <w:color w:val="auto"/>
        </w:rPr>
        <w:t>%的违约金及其他损失。</w:t>
      </w:r>
    </w:p>
    <w:p w14:paraId="7175D321">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10.4 在合同规定的供货期内乙方未全部交货，除应如数补齐外，还应承担合同总款的</w:t>
      </w:r>
      <w:r>
        <w:rPr>
          <w:rFonts w:hint="eastAsia" w:ascii="宋体" w:hAnsi="宋体" w:eastAsia="宋体" w:cs="宋体"/>
          <w:color w:val="auto"/>
          <w:u w:val="single"/>
        </w:rPr>
        <w:t xml:space="preserve"> 10 </w:t>
      </w:r>
      <w:r>
        <w:rPr>
          <w:rFonts w:hint="eastAsia" w:ascii="宋体" w:hAnsi="宋体" w:eastAsia="宋体" w:cs="宋体"/>
          <w:color w:val="auto"/>
        </w:rPr>
        <w:t>%违约金。</w:t>
      </w:r>
    </w:p>
    <w:p w14:paraId="6E88CEF2">
      <w:pPr>
        <w:spacing w:line="380" w:lineRule="exact"/>
        <w:ind w:firstLine="480" w:firstLineChars="200"/>
        <w:jc w:val="both"/>
        <w:rPr>
          <w:rFonts w:hint="eastAsia" w:ascii="宋体" w:hAnsi="宋体" w:eastAsia="宋体" w:cs="宋体"/>
          <w:color w:val="auto"/>
        </w:rPr>
      </w:pPr>
      <w:r>
        <w:rPr>
          <w:rFonts w:hint="eastAsia" w:ascii="宋体" w:hAnsi="宋体" w:eastAsia="宋体" w:cs="宋体"/>
          <w:color w:val="auto"/>
        </w:rPr>
        <w:t>10.5 乙方对货物不按招标文件要求，擅自更换，除恢复原招标产品外，应承担更换部分价款</w:t>
      </w:r>
      <w:r>
        <w:rPr>
          <w:rFonts w:hint="eastAsia" w:ascii="宋体" w:hAnsi="宋体" w:eastAsia="宋体" w:cs="宋体"/>
          <w:color w:val="auto"/>
          <w:u w:val="single"/>
        </w:rPr>
        <w:t xml:space="preserve"> 10 </w:t>
      </w:r>
      <w:r>
        <w:rPr>
          <w:rFonts w:hint="eastAsia" w:ascii="宋体" w:hAnsi="宋体" w:eastAsia="宋体" w:cs="宋体"/>
          <w:color w:val="auto"/>
        </w:rPr>
        <w:t>%的违约金；乙方如对产品材质、随机配品以次充好，除全部按要求恢复外，应承担此部分价款</w:t>
      </w:r>
      <w:r>
        <w:rPr>
          <w:rFonts w:hint="eastAsia" w:ascii="宋体" w:hAnsi="宋体" w:eastAsia="宋体" w:cs="宋体"/>
          <w:color w:val="auto"/>
          <w:u w:val="single"/>
        </w:rPr>
        <w:t xml:space="preserve"> 10 </w:t>
      </w:r>
      <w:r>
        <w:rPr>
          <w:rFonts w:hint="eastAsia" w:ascii="宋体" w:hAnsi="宋体" w:eastAsia="宋体" w:cs="宋体"/>
          <w:color w:val="auto"/>
        </w:rPr>
        <w:t>%的违约金。</w:t>
      </w:r>
    </w:p>
    <w:p w14:paraId="0D7A375B">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10.6 除不可抗力因素外，乙方没有按照合同规定的时间交货，甲方可要求乙方支付违约金，违约金每日按合同总价款的</w:t>
      </w:r>
      <w:r>
        <w:rPr>
          <w:rFonts w:hint="eastAsia" w:ascii="宋体" w:hAnsi="宋体" w:eastAsia="宋体" w:cs="宋体"/>
          <w:color w:val="auto"/>
          <w:u w:val="single"/>
        </w:rPr>
        <w:t xml:space="preserve">  5  </w:t>
      </w:r>
      <w:r>
        <w:rPr>
          <w:rFonts w:hint="eastAsia" w:ascii="宋体" w:hAnsi="宋体" w:eastAsia="宋体" w:cs="宋体"/>
          <w:color w:val="auto"/>
        </w:rPr>
        <w:t>‰计收。</w:t>
      </w:r>
    </w:p>
    <w:p w14:paraId="17EA37EF">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10.7 乙方对所供产品出现的问题推诿、拖延，</w:t>
      </w:r>
      <w:r>
        <w:rPr>
          <w:rFonts w:hint="eastAsia" w:ascii="宋体" w:hAnsi="宋体" w:eastAsia="宋体" w:cs="宋体"/>
          <w:color w:val="auto"/>
          <w:u w:val="single"/>
        </w:rPr>
        <w:t xml:space="preserve"> 24 </w:t>
      </w:r>
      <w:r>
        <w:rPr>
          <w:rFonts w:hint="eastAsia" w:ascii="宋体" w:hAnsi="宋体" w:eastAsia="宋体" w:cs="宋体"/>
          <w:color w:val="auto"/>
        </w:rPr>
        <w:t>小时未作出服务响应和提供服务，甲方可要求乙方支付违约金，违约金每日按合同总价款的</w:t>
      </w:r>
      <w:r>
        <w:rPr>
          <w:rFonts w:hint="eastAsia" w:ascii="宋体" w:hAnsi="宋体" w:eastAsia="宋体" w:cs="宋体"/>
          <w:color w:val="auto"/>
          <w:u w:val="single"/>
        </w:rPr>
        <w:t xml:space="preserve">  0.5  </w:t>
      </w:r>
      <w:r>
        <w:rPr>
          <w:rFonts w:hint="eastAsia" w:ascii="宋体" w:hAnsi="宋体" w:eastAsia="宋体" w:cs="宋体"/>
          <w:color w:val="auto"/>
        </w:rPr>
        <w:t>‰计收。否则，甲方有权拒绝乙方以后参加学校竞标。</w:t>
      </w:r>
    </w:p>
    <w:p w14:paraId="36748A00">
      <w:pPr>
        <w:spacing w:before="156" w:beforeLines="50" w:after="156" w:afterLines="50" w:line="360" w:lineRule="exact"/>
        <w:ind w:firstLine="482" w:firstLineChars="200"/>
        <w:rPr>
          <w:rFonts w:hint="eastAsia" w:ascii="宋体" w:hAnsi="宋体" w:eastAsia="宋体" w:cs="宋体"/>
          <w:b/>
          <w:bCs/>
          <w:color w:val="auto"/>
        </w:rPr>
      </w:pPr>
      <w:r>
        <w:rPr>
          <w:rFonts w:hint="eastAsia" w:ascii="宋体" w:hAnsi="宋体" w:eastAsia="宋体" w:cs="宋体"/>
          <w:b/>
          <w:bCs/>
          <w:color w:val="auto"/>
        </w:rPr>
        <w:t>11.合同争议的解决</w:t>
      </w:r>
    </w:p>
    <w:p w14:paraId="272EB465">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11.1 甲乙双方由于本合同的履行而发生任何争议时，双方可先通过协商解决。</w:t>
      </w:r>
    </w:p>
    <w:p w14:paraId="2051361C">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11.2 任何一方不愿通过协商或通过协商仍不能解决争议，则双方中任何一方均应向甲方所在地人民法院起诉。</w:t>
      </w:r>
    </w:p>
    <w:p w14:paraId="13332A80">
      <w:pPr>
        <w:spacing w:line="380" w:lineRule="exact"/>
        <w:ind w:firstLine="482" w:firstLineChars="200"/>
        <w:rPr>
          <w:rFonts w:hint="eastAsia" w:ascii="宋体" w:hAnsi="宋体" w:eastAsia="宋体" w:cs="宋体"/>
          <w:b/>
          <w:color w:val="auto"/>
        </w:rPr>
      </w:pPr>
      <w:r>
        <w:rPr>
          <w:rFonts w:hint="eastAsia" w:ascii="宋体" w:hAnsi="宋体" w:eastAsia="宋体" w:cs="宋体"/>
          <w:b/>
          <w:color w:val="auto"/>
        </w:rPr>
        <w:t>12.违约解除合同</w:t>
      </w:r>
    </w:p>
    <w:p w14:paraId="2EC60D7D">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12.1 出现下列情形之一的，视为乙方违约。甲方可向乙方发出书面通知，部分或全部终止合同，同时保留向乙方索赔及追究其违约责任的权利。</w:t>
      </w:r>
    </w:p>
    <w:p w14:paraId="329B24F0">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12.1.1 乙方未能在合同规定的限期或甲方同意延长的限期内，提供全部或部分货物的；</w:t>
      </w:r>
    </w:p>
    <w:p w14:paraId="11F0B104">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12.1.2 乙方未能履行合同规定的其他主要义务的；</w:t>
      </w:r>
    </w:p>
    <w:p w14:paraId="2ED23E04">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12.1.3 乙方在本合同履行过程中有欺诈行为的。</w:t>
      </w:r>
    </w:p>
    <w:p w14:paraId="437D2971">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12.2 甲方全部或部分解除合同之后，乙方应承担甲方再次购买类似货物或服务而产生的支出。部分解除合同的，乙方应继续履行合同中未解除的部分。</w:t>
      </w:r>
    </w:p>
    <w:p w14:paraId="4715CA6C">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13.</w:t>
      </w:r>
      <w:bookmarkStart w:id="1" w:name="_Toc23280"/>
      <w:bookmarkStart w:id="2" w:name="_Toc495505745"/>
      <w:bookmarkStart w:id="3" w:name="_Toc14186"/>
      <w:bookmarkStart w:id="4" w:name="_Toc26328"/>
      <w:r>
        <w:rPr>
          <w:rFonts w:hint="eastAsia" w:ascii="宋体" w:hAnsi="宋体" w:eastAsia="宋体" w:cs="宋体"/>
          <w:color w:val="auto"/>
        </w:rPr>
        <w:t>不可抗力</w:t>
      </w:r>
      <w:bookmarkEnd w:id="1"/>
      <w:bookmarkEnd w:id="2"/>
      <w:bookmarkEnd w:id="3"/>
      <w:bookmarkEnd w:id="4"/>
    </w:p>
    <w:p w14:paraId="0955931E">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13.1 本合同项下的“不可抗力”是指不能预见，不能避免且不能克服的客观情况，使得本合同一方当事人无法履行合同义务，如战争、严重火灾、水灾、风灾和地震属于不可抗力的事故。</w:t>
      </w:r>
    </w:p>
    <w:p w14:paraId="502DAB16">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13.2 一方因不可抗力不能履行合同或不能完全履行合同的，根据不可抗力的影响，可以部分或全部地免除责任。由于不可抗力原因致使项目开发中断时，项目交付日期及付款日期相应顺延，各方不承担违约责任。</w:t>
      </w:r>
    </w:p>
    <w:p w14:paraId="25125348">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13.3 如不可抗力事件延续120天以上的，各方通过协商达成在合理的时间内继续履行合同，或部分履行合同，或终止合同的履行。</w:t>
      </w:r>
    </w:p>
    <w:p w14:paraId="16FBAEAD">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13.4 一方迟延履行后发生不可抗力的，不能免除责任。</w:t>
      </w:r>
    </w:p>
    <w:p w14:paraId="7544AB68">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14.其他事项</w:t>
      </w:r>
    </w:p>
    <w:p w14:paraId="2F63D521">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14.1 合同经双方签字盖章后生效。本合同一式六份，甲方执五份，乙方执一份，执行完毕后自行失效。</w:t>
      </w:r>
    </w:p>
    <w:p w14:paraId="077FAA55">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4F210231">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a.合同附件（设备和软件的具体配置及技术参数，培训内容、标准和安排）；</w:t>
      </w:r>
    </w:p>
    <w:p w14:paraId="1258281C">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b.招标文件；</w:t>
      </w:r>
    </w:p>
    <w:p w14:paraId="7B8967EE">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c.投标文件；</w:t>
      </w:r>
    </w:p>
    <w:p w14:paraId="3C02867E">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d.进出口代理协议；</w:t>
      </w:r>
    </w:p>
    <w:p w14:paraId="4376EB17">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d.中标通知书。</w:t>
      </w:r>
    </w:p>
    <w:p w14:paraId="1E9B2B3A">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14.3 通知和合同修改；在本合同执行过程中，一方给另一方的通知，都应以书面形式（信函、传真）发送至对方，对本合同条款进行任何改动或补充，均须由甲乙双方签署书面合同修改签证，方为有效。</w:t>
      </w:r>
    </w:p>
    <w:p w14:paraId="456A2227">
      <w:pPr>
        <w:spacing w:line="380" w:lineRule="exact"/>
        <w:ind w:firstLine="480" w:firstLineChars="200"/>
        <w:rPr>
          <w:rFonts w:hint="eastAsia" w:ascii="宋体" w:hAnsi="宋体" w:eastAsia="宋体" w:cs="宋体"/>
          <w:color w:val="auto"/>
        </w:rPr>
      </w:pPr>
      <w:bookmarkStart w:id="5" w:name="_Toc18101"/>
      <w:bookmarkStart w:id="6" w:name="_Toc495505746"/>
      <w:bookmarkStart w:id="7" w:name="_Toc1081"/>
      <w:bookmarkStart w:id="8" w:name="_Toc11939"/>
      <w:r>
        <w:rPr>
          <w:rFonts w:hint="eastAsia" w:ascii="宋体" w:hAnsi="宋体" w:eastAsia="宋体" w:cs="宋体"/>
          <w:color w:val="auto"/>
        </w:rPr>
        <w:t>14.4</w:t>
      </w:r>
      <w:bookmarkEnd w:id="5"/>
      <w:bookmarkEnd w:id="6"/>
      <w:bookmarkEnd w:id="7"/>
      <w:bookmarkEnd w:id="8"/>
      <w:r>
        <w:rPr>
          <w:rFonts w:hint="eastAsia" w:ascii="宋体" w:hAnsi="宋体" w:eastAsia="宋体" w:cs="宋体"/>
          <w:color w:val="auto"/>
        </w:rPr>
        <w:t xml:space="preserve">  本合同未尽事宜由双方协商，另行订立补充协议，补充协议与本协议具有同样的法律效力。如果本合同之附件与本合同规定不符, 以本合同规定为准。</w:t>
      </w:r>
    </w:p>
    <w:p w14:paraId="40E016EE">
      <w:pPr>
        <w:spacing w:line="380" w:lineRule="exact"/>
        <w:ind w:firstLine="480" w:firstLineChars="200"/>
        <w:rPr>
          <w:rFonts w:hint="eastAsia" w:ascii="宋体" w:hAnsi="宋体" w:eastAsia="宋体" w:cs="宋体"/>
          <w:color w:val="auto"/>
        </w:rPr>
      </w:pPr>
      <w:r>
        <w:rPr>
          <w:rFonts w:hint="eastAsia" w:ascii="宋体" w:hAnsi="宋体" w:eastAsia="宋体" w:cs="宋体"/>
          <w:color w:val="auto"/>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3日（以邮戳为准）视为送达，即使发生拒收、退回等情形。电子邮件自进入收件方指定电子邮箱系统时视为送达（发送成功即视为进入，无论是否阅读）。若采用多种方式，以最早到达时间为准。任何一方变更地址，应提前3个工作日书面通知对方；否则，原地址仍有效，依此发出的通知一经发出即视为送达，由此产生的后果由未通知方自行承担。</w:t>
      </w:r>
    </w:p>
    <w:p w14:paraId="63D15153">
      <w:pPr>
        <w:spacing w:line="380" w:lineRule="exact"/>
        <w:ind w:firstLine="480" w:firstLineChars="200"/>
        <w:rPr>
          <w:rFonts w:hint="eastAsia" w:ascii="宋体" w:hAnsi="宋体" w:eastAsia="宋体" w:cs="宋体"/>
          <w:color w:val="auto"/>
        </w:rPr>
      </w:pPr>
    </w:p>
    <w:p w14:paraId="23B64909">
      <w:pPr>
        <w:spacing w:before="156" w:beforeLines="50" w:after="156" w:afterLines="50"/>
        <w:rPr>
          <w:rFonts w:hint="eastAsia" w:ascii="宋体" w:hAnsi="宋体" w:eastAsia="宋体" w:cs="宋体"/>
          <w:color w:val="auto"/>
        </w:rPr>
      </w:pPr>
      <w:r>
        <w:rPr>
          <w:rFonts w:hint="eastAsia" w:ascii="宋体" w:hAnsi="宋体" w:eastAsia="宋体" w:cs="宋体"/>
          <w:color w:val="auto"/>
        </w:rPr>
        <w:t>合同签订地点：陕西职业技术学院</w:t>
      </w:r>
    </w:p>
    <w:p w14:paraId="29BBFC5F">
      <w:pPr>
        <w:spacing w:before="156" w:beforeLines="50" w:after="156" w:afterLines="50"/>
        <w:rPr>
          <w:rFonts w:hint="eastAsia" w:ascii="宋体" w:hAnsi="宋体" w:eastAsia="宋体" w:cs="宋体"/>
          <w:color w:val="auto"/>
        </w:rPr>
      </w:pPr>
      <w:r>
        <w:rPr>
          <w:rFonts w:hint="eastAsia" w:ascii="宋体" w:hAnsi="宋体" w:eastAsia="宋体" w:cs="宋体"/>
          <w:color w:val="auto"/>
        </w:rPr>
        <w:t>合同签订时间：</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tbl>
      <w:tblPr>
        <w:tblStyle w:val="7"/>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427E9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65687C73">
            <w:pPr>
              <w:jc w:val="both"/>
              <w:rPr>
                <w:rFonts w:hint="eastAsia" w:ascii="宋体" w:hAnsi="宋体" w:eastAsia="宋体" w:cs="宋体"/>
                <w:color w:val="auto"/>
              </w:rPr>
            </w:pPr>
            <w:r>
              <w:rPr>
                <w:rFonts w:hint="eastAsia" w:ascii="宋体" w:hAnsi="宋体" w:eastAsia="宋体" w:cs="宋体"/>
                <w:color w:val="auto"/>
              </w:rPr>
              <w:t>甲方(盖章):陕西职业技术学院</w:t>
            </w:r>
          </w:p>
        </w:tc>
        <w:tc>
          <w:tcPr>
            <w:tcW w:w="4485" w:type="dxa"/>
            <w:vAlign w:val="center"/>
          </w:tcPr>
          <w:p w14:paraId="28012D89">
            <w:pPr>
              <w:jc w:val="both"/>
              <w:rPr>
                <w:rFonts w:hint="eastAsia" w:ascii="宋体" w:hAnsi="宋体" w:eastAsia="宋体" w:cs="宋体"/>
                <w:color w:val="auto"/>
              </w:rPr>
            </w:pPr>
            <w:r>
              <w:rPr>
                <w:rFonts w:hint="eastAsia" w:ascii="宋体" w:hAnsi="宋体" w:eastAsia="宋体" w:cs="宋体"/>
                <w:color w:val="auto"/>
              </w:rPr>
              <w:t>乙方(盖章):</w:t>
            </w:r>
          </w:p>
        </w:tc>
      </w:tr>
      <w:tr w14:paraId="167FD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56BFEF4">
            <w:pPr>
              <w:jc w:val="both"/>
              <w:rPr>
                <w:rFonts w:hint="eastAsia" w:ascii="宋体" w:hAnsi="宋体" w:eastAsia="宋体" w:cs="宋体"/>
                <w:color w:val="auto"/>
              </w:rPr>
            </w:pPr>
            <w:r>
              <w:rPr>
                <w:rFonts w:hint="eastAsia" w:ascii="宋体" w:hAnsi="宋体" w:eastAsia="宋体" w:cs="宋体"/>
                <w:color w:val="auto"/>
              </w:rPr>
              <w:t>地址：西安市灞桥区狄寨路2028号</w:t>
            </w:r>
          </w:p>
        </w:tc>
        <w:tc>
          <w:tcPr>
            <w:tcW w:w="4485" w:type="dxa"/>
            <w:vAlign w:val="center"/>
          </w:tcPr>
          <w:p w14:paraId="303BBBFF">
            <w:pPr>
              <w:jc w:val="both"/>
              <w:rPr>
                <w:rFonts w:hint="eastAsia" w:ascii="宋体" w:hAnsi="宋体" w:eastAsia="宋体" w:cs="宋体"/>
                <w:color w:val="auto"/>
              </w:rPr>
            </w:pPr>
            <w:r>
              <w:rPr>
                <w:rFonts w:hint="eastAsia" w:ascii="宋体" w:hAnsi="宋体" w:eastAsia="宋体" w:cs="宋体"/>
                <w:color w:val="auto"/>
              </w:rPr>
              <w:t>地址：</w:t>
            </w:r>
          </w:p>
        </w:tc>
      </w:tr>
      <w:tr w14:paraId="35B63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674C58E7">
            <w:pPr>
              <w:jc w:val="both"/>
              <w:rPr>
                <w:rFonts w:hint="eastAsia" w:ascii="宋体" w:hAnsi="宋体" w:eastAsia="宋体" w:cs="宋体"/>
                <w:color w:val="auto"/>
              </w:rPr>
            </w:pPr>
            <w:r>
              <w:rPr>
                <w:rFonts w:hint="eastAsia" w:ascii="宋体" w:hAnsi="宋体" w:eastAsia="宋体" w:cs="宋体"/>
                <w:color w:val="auto"/>
              </w:rPr>
              <w:t>法定代表人(签字):</w:t>
            </w:r>
          </w:p>
        </w:tc>
        <w:tc>
          <w:tcPr>
            <w:tcW w:w="4485" w:type="dxa"/>
            <w:vAlign w:val="center"/>
          </w:tcPr>
          <w:p w14:paraId="62C678F8">
            <w:pPr>
              <w:jc w:val="both"/>
              <w:rPr>
                <w:rFonts w:hint="eastAsia" w:ascii="宋体" w:hAnsi="宋体" w:eastAsia="宋体" w:cs="宋体"/>
                <w:color w:val="auto"/>
              </w:rPr>
            </w:pPr>
            <w:r>
              <w:rPr>
                <w:rFonts w:hint="eastAsia" w:ascii="宋体" w:hAnsi="宋体" w:eastAsia="宋体" w:cs="宋体"/>
                <w:color w:val="auto"/>
              </w:rPr>
              <w:t>法定代表人(签字):</w:t>
            </w:r>
          </w:p>
        </w:tc>
      </w:tr>
      <w:tr w14:paraId="70D74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1D8C8CB0">
            <w:pPr>
              <w:jc w:val="both"/>
              <w:rPr>
                <w:rFonts w:hint="eastAsia" w:ascii="宋体" w:hAnsi="宋体" w:eastAsia="宋体" w:cs="宋体"/>
                <w:color w:val="auto"/>
              </w:rPr>
            </w:pPr>
            <w:r>
              <w:rPr>
                <w:rFonts w:hint="eastAsia" w:ascii="宋体" w:hAnsi="宋体" w:eastAsia="宋体" w:cs="宋体"/>
                <w:color w:val="auto"/>
              </w:rPr>
              <w:t>委托代理人(签字):</w:t>
            </w:r>
          </w:p>
        </w:tc>
        <w:tc>
          <w:tcPr>
            <w:tcW w:w="4485" w:type="dxa"/>
            <w:vAlign w:val="center"/>
          </w:tcPr>
          <w:p w14:paraId="0DDD38C5">
            <w:pPr>
              <w:jc w:val="both"/>
              <w:rPr>
                <w:rFonts w:hint="eastAsia" w:ascii="宋体" w:hAnsi="宋体" w:eastAsia="宋体" w:cs="宋体"/>
                <w:color w:val="auto"/>
              </w:rPr>
            </w:pPr>
            <w:r>
              <w:rPr>
                <w:rFonts w:hint="eastAsia" w:ascii="宋体" w:hAnsi="宋体" w:eastAsia="宋体" w:cs="宋体"/>
                <w:color w:val="auto"/>
              </w:rPr>
              <w:t>委托代理人(签字)</w:t>
            </w:r>
          </w:p>
        </w:tc>
      </w:tr>
      <w:tr w14:paraId="6D3FA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1BF14DE">
            <w:pPr>
              <w:jc w:val="both"/>
              <w:rPr>
                <w:rFonts w:hint="eastAsia" w:ascii="宋体" w:hAnsi="宋体" w:eastAsia="宋体" w:cs="宋体"/>
                <w:color w:val="auto"/>
              </w:rPr>
            </w:pPr>
            <w:r>
              <w:rPr>
                <w:rFonts w:hint="eastAsia" w:ascii="宋体" w:hAnsi="宋体" w:eastAsia="宋体" w:cs="宋体"/>
                <w:color w:val="auto"/>
              </w:rPr>
              <w:t>联系人：</w:t>
            </w:r>
          </w:p>
        </w:tc>
        <w:tc>
          <w:tcPr>
            <w:tcW w:w="4485" w:type="dxa"/>
            <w:vAlign w:val="center"/>
          </w:tcPr>
          <w:p w14:paraId="52866862">
            <w:pPr>
              <w:jc w:val="both"/>
              <w:rPr>
                <w:rFonts w:hint="eastAsia" w:ascii="宋体" w:hAnsi="宋体" w:eastAsia="宋体" w:cs="宋体"/>
                <w:color w:val="auto"/>
              </w:rPr>
            </w:pPr>
            <w:r>
              <w:rPr>
                <w:rFonts w:hint="eastAsia" w:ascii="宋体" w:hAnsi="宋体" w:eastAsia="宋体" w:cs="宋体"/>
                <w:color w:val="auto"/>
              </w:rPr>
              <w:t>联系人：</w:t>
            </w:r>
          </w:p>
        </w:tc>
      </w:tr>
      <w:tr w14:paraId="10E76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0608D30B">
            <w:pPr>
              <w:jc w:val="both"/>
              <w:rPr>
                <w:rFonts w:hint="eastAsia" w:ascii="宋体" w:hAnsi="宋体" w:eastAsia="宋体" w:cs="宋体"/>
                <w:color w:val="auto"/>
              </w:rPr>
            </w:pPr>
            <w:r>
              <w:rPr>
                <w:rFonts w:hint="eastAsia" w:ascii="宋体" w:hAnsi="宋体" w:eastAsia="宋体" w:cs="宋体"/>
                <w:color w:val="auto"/>
              </w:rPr>
              <w:t>联系电话：</w:t>
            </w:r>
          </w:p>
        </w:tc>
        <w:tc>
          <w:tcPr>
            <w:tcW w:w="4485" w:type="dxa"/>
            <w:vAlign w:val="center"/>
          </w:tcPr>
          <w:p w14:paraId="7C0BF572">
            <w:pPr>
              <w:jc w:val="both"/>
              <w:rPr>
                <w:rFonts w:hint="eastAsia" w:ascii="宋体" w:hAnsi="宋体" w:eastAsia="宋体" w:cs="宋体"/>
                <w:color w:val="auto"/>
              </w:rPr>
            </w:pPr>
            <w:r>
              <w:rPr>
                <w:rFonts w:hint="eastAsia" w:ascii="宋体" w:hAnsi="宋体" w:eastAsia="宋体" w:cs="宋体"/>
                <w:color w:val="auto"/>
              </w:rPr>
              <w:t>联系电话：</w:t>
            </w:r>
          </w:p>
        </w:tc>
      </w:tr>
      <w:tr w14:paraId="25AC0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475C412C">
            <w:pPr>
              <w:jc w:val="both"/>
              <w:rPr>
                <w:rFonts w:hint="eastAsia" w:ascii="宋体" w:hAnsi="宋体" w:eastAsia="宋体" w:cs="宋体"/>
                <w:color w:val="auto"/>
              </w:rPr>
            </w:pPr>
            <w:r>
              <w:rPr>
                <w:rFonts w:hint="eastAsia" w:ascii="宋体" w:hAnsi="宋体" w:eastAsia="宋体" w:cs="宋体"/>
                <w:color w:val="auto"/>
              </w:rPr>
              <w:t>电子邮箱：</w:t>
            </w:r>
          </w:p>
        </w:tc>
        <w:tc>
          <w:tcPr>
            <w:tcW w:w="4485" w:type="dxa"/>
            <w:vAlign w:val="center"/>
          </w:tcPr>
          <w:p w14:paraId="4525FD96">
            <w:pPr>
              <w:jc w:val="both"/>
              <w:rPr>
                <w:rFonts w:hint="eastAsia" w:ascii="宋体" w:hAnsi="宋体" w:eastAsia="宋体" w:cs="宋体"/>
                <w:color w:val="auto"/>
              </w:rPr>
            </w:pPr>
            <w:r>
              <w:rPr>
                <w:rFonts w:hint="eastAsia" w:ascii="宋体" w:hAnsi="宋体" w:eastAsia="宋体" w:cs="宋体"/>
                <w:color w:val="auto"/>
              </w:rPr>
              <w:t>电子邮箱：</w:t>
            </w:r>
          </w:p>
        </w:tc>
      </w:tr>
    </w:tbl>
    <w:p w14:paraId="0F5CC6AF">
      <w:pPr>
        <w:rPr>
          <w:rFonts w:hint="eastAsia" w:ascii="宋体" w:hAnsi="宋体" w:eastAsia="宋体" w:cs="宋体"/>
          <w:color w:val="auto"/>
        </w:rPr>
      </w:pPr>
    </w:p>
    <w:p w14:paraId="4673D066">
      <w:pPr>
        <w:pStyle w:val="6"/>
        <w:rPr>
          <w:rFonts w:hint="eastAsia" w:ascii="宋体" w:hAnsi="宋体" w:eastAsia="宋体" w:cs="宋体"/>
          <w:color w:val="auto"/>
          <w:sz w:val="24"/>
          <w:szCs w:val="24"/>
        </w:rPr>
      </w:pPr>
    </w:p>
    <w:p w14:paraId="531985FF"/>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38A98">
    <w:pPr>
      <w:pStyle w:val="2"/>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5D7BF6">
                          <w:pPr>
                            <w:pStyle w:val="2"/>
                            <w:jc w:val="center"/>
                            <w:rPr>
                              <w:rFonts w:hint="eastAsia"/>
                            </w:rPr>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075D7BF6">
                    <w:pPr>
                      <w:pStyle w:val="2"/>
                      <w:jc w:val="center"/>
                      <w:rPr>
                        <w:rFonts w:hint="eastAsia"/>
                      </w:rPr>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A17EE">
    <w:pPr>
      <w:pStyle w:val="3"/>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57570"/>
    <w:rsid w:val="3A871E25"/>
    <w:rsid w:val="5028092C"/>
    <w:rsid w:val="58CA631E"/>
    <w:rsid w:val="7AA9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table" w:customStyle="1" w:styleId="7">
    <w:name w:val="Table Normal"/>
    <w:semiHidden/>
    <w:unhideWhenUsed/>
    <w:qFormat/>
    <w:uiPriority w:val="0"/>
    <w:rPr>
      <w:rFonts w:ascii="Arial" w:hAnsi="Arial"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2026-07-21T07:16:11Z</dcterms:created>
  <dc:creator>Administrator</dc:creator>
  <cp:lastModifiedBy>温虎</cp:lastModifiedBy>
  <dcterms:modified xsi:type="dcterms:W3CDTF">2026-07-21T07:17:04Z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C611232265E24C2AA234E08848C4F63E_12</vt:lpwstr>
  </property>
</Properties>
</file>