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A40B57">
      <w:pPr>
        <w:tabs>
          <w:tab w:val="left" w:pos="600"/>
          <w:tab w:val="center" w:pos="5085"/>
          <w:tab w:val="right" w:leader="dot" w:pos="8505"/>
        </w:tabs>
        <w:spacing w:line="360" w:lineRule="exact"/>
        <w:ind w:left="420" w:leftChars="200"/>
        <w:jc w:val="center"/>
        <w:rPr>
          <w:rFonts w:hint="eastAsia" w:ascii="仿宋_GB2312" w:hAnsi="仿宋_GB2312" w:eastAsia="仿宋_GB2312" w:cs="仿宋_GB2312"/>
          <w:b/>
          <w:bCs/>
          <w:color w:val="000000"/>
          <w:kern w:val="28"/>
          <w:sz w:val="36"/>
          <w:szCs w:val="36"/>
        </w:rPr>
      </w:pPr>
      <w:bookmarkStart w:id="2" w:name="_GoBack"/>
      <w:r>
        <w:rPr>
          <w:rFonts w:hint="eastAsia" w:ascii="仿宋_GB2312" w:hAnsi="仿宋_GB2312" w:eastAsia="仿宋_GB2312" w:cs="仿宋_GB2312"/>
          <w:b/>
          <w:bCs/>
          <w:color w:val="000000"/>
          <w:kern w:val="28"/>
          <w:sz w:val="36"/>
          <w:szCs w:val="36"/>
        </w:rPr>
        <w:t>设备购销合同</w:t>
      </w:r>
    </w:p>
    <w:bookmarkEnd w:id="2"/>
    <w:p w14:paraId="1253E25F">
      <w:pPr>
        <w:tabs>
          <w:tab w:val="left" w:pos="600"/>
          <w:tab w:val="center" w:pos="5085"/>
          <w:tab w:val="right" w:leader="dot" w:pos="8505"/>
        </w:tabs>
        <w:spacing w:line="500" w:lineRule="exact"/>
        <w:ind w:left="420" w:leftChars="200"/>
        <w:jc w:val="left"/>
        <w:rPr>
          <w:rFonts w:hint="eastAsia" w:ascii="仿宋_GB2312" w:hAnsi="仿宋_GB2312" w:eastAsia="仿宋_GB2312" w:cs="仿宋_GB2312"/>
          <w:b/>
          <w:bCs/>
          <w:color w:val="000000"/>
          <w:kern w:val="28"/>
          <w:sz w:val="24"/>
          <w:szCs w:val="24"/>
        </w:rPr>
      </w:pPr>
    </w:p>
    <w:p w14:paraId="37202137">
      <w:pPr>
        <w:tabs>
          <w:tab w:val="left" w:pos="840"/>
        </w:tabs>
        <w:spacing w:line="500" w:lineRule="exact"/>
        <w:jc w:val="left"/>
        <w:rPr>
          <w:rFonts w:hint="eastAsia" w:ascii="仿宋_GB2312" w:hAnsi="仿宋_GB2312" w:eastAsia="仿宋_GB2312" w:cs="仿宋_GB2312"/>
          <w:b/>
          <w:bCs/>
          <w:color w:val="000000"/>
          <w:kern w:val="28"/>
          <w:sz w:val="24"/>
          <w:szCs w:val="24"/>
          <w:lang w:eastAsia="zh-CN"/>
        </w:rPr>
      </w:pPr>
      <w:r>
        <w:rPr>
          <w:rFonts w:hint="eastAsia" w:ascii="仿宋_GB2312" w:hAnsi="仿宋_GB2312" w:eastAsia="仿宋_GB2312" w:cs="仿宋_GB2312"/>
          <w:b/>
          <w:bCs/>
          <w:color w:val="000000"/>
          <w:kern w:val="28"/>
          <w:sz w:val="24"/>
          <w:szCs w:val="24"/>
        </w:rPr>
        <w:t>需方(甲方)：</w:t>
      </w:r>
      <w:r>
        <w:rPr>
          <w:rFonts w:hint="eastAsia" w:ascii="仿宋_GB2312" w:hAnsi="仿宋_GB2312" w:eastAsia="仿宋_GB2312" w:cs="仿宋_GB2312"/>
          <w:b/>
          <w:bCs/>
          <w:color w:val="000000"/>
          <w:kern w:val="28"/>
          <w:sz w:val="24"/>
          <w:szCs w:val="24"/>
          <w:lang w:eastAsia="zh-CN"/>
        </w:rPr>
        <w:t>富平县医院</w:t>
      </w:r>
    </w:p>
    <w:p w14:paraId="66A7187D">
      <w:pPr>
        <w:tabs>
          <w:tab w:val="left" w:pos="840"/>
        </w:tabs>
        <w:spacing w:line="500" w:lineRule="exact"/>
        <w:jc w:val="left"/>
        <w:rPr>
          <w:rFonts w:hint="eastAsia" w:ascii="仿宋_GB2312" w:hAnsi="仿宋_GB2312" w:eastAsia="仿宋_GB2312" w:cs="仿宋_GB2312"/>
          <w:color w:val="000000"/>
          <w:kern w:val="28"/>
          <w:sz w:val="24"/>
          <w:szCs w:val="24"/>
        </w:rPr>
      </w:pPr>
      <w:r>
        <w:rPr>
          <w:rFonts w:hint="eastAsia" w:ascii="仿宋_GB2312" w:hAnsi="仿宋_GB2312" w:eastAsia="仿宋_GB2312" w:cs="仿宋_GB2312"/>
          <w:color w:val="000000"/>
          <w:kern w:val="28"/>
          <w:sz w:val="24"/>
          <w:szCs w:val="24"/>
        </w:rPr>
        <w:t>地      址：</w:t>
      </w:r>
    </w:p>
    <w:p w14:paraId="336367A0">
      <w:pPr>
        <w:tabs>
          <w:tab w:val="left" w:pos="840"/>
        </w:tabs>
        <w:spacing w:line="500" w:lineRule="exact"/>
        <w:jc w:val="left"/>
        <w:rPr>
          <w:rFonts w:hint="eastAsia" w:ascii="仿宋_GB2312" w:hAnsi="仿宋_GB2312" w:eastAsia="仿宋_GB2312" w:cs="仿宋_GB2312"/>
          <w:color w:val="000000"/>
          <w:kern w:val="28"/>
          <w:sz w:val="24"/>
          <w:szCs w:val="24"/>
        </w:rPr>
      </w:pPr>
      <w:r>
        <w:rPr>
          <w:rFonts w:hint="eastAsia" w:ascii="仿宋_GB2312" w:hAnsi="仿宋_GB2312" w:eastAsia="仿宋_GB2312" w:cs="仿宋_GB2312"/>
          <w:color w:val="000000"/>
          <w:kern w:val="28"/>
          <w:sz w:val="24"/>
          <w:szCs w:val="24"/>
        </w:rPr>
        <w:t>电      话：</w:t>
      </w:r>
    </w:p>
    <w:p w14:paraId="078B3467">
      <w:pPr>
        <w:tabs>
          <w:tab w:val="left" w:pos="840"/>
        </w:tabs>
        <w:spacing w:line="500" w:lineRule="exact"/>
        <w:jc w:val="left"/>
        <w:rPr>
          <w:rFonts w:hint="eastAsia" w:ascii="仿宋_GB2312" w:hAnsi="仿宋_GB2312" w:eastAsia="仿宋_GB2312" w:cs="仿宋_GB2312"/>
          <w:color w:val="000000"/>
          <w:kern w:val="28"/>
          <w:sz w:val="24"/>
          <w:szCs w:val="24"/>
        </w:rPr>
      </w:pPr>
      <w:r>
        <w:rPr>
          <w:rFonts w:hint="eastAsia" w:ascii="仿宋_GB2312" w:hAnsi="仿宋_GB2312" w:eastAsia="仿宋_GB2312" w:cs="仿宋_GB2312"/>
          <w:color w:val="000000"/>
          <w:kern w:val="28"/>
          <w:sz w:val="24"/>
          <w:szCs w:val="24"/>
        </w:rPr>
        <w:t>邮      编：</w:t>
      </w:r>
    </w:p>
    <w:p w14:paraId="02660DA4">
      <w:pPr>
        <w:tabs>
          <w:tab w:val="left" w:pos="840"/>
        </w:tabs>
        <w:spacing w:line="500" w:lineRule="exact"/>
        <w:jc w:val="left"/>
        <w:rPr>
          <w:rFonts w:hint="eastAsia" w:ascii="仿宋_GB2312" w:hAnsi="仿宋_GB2312" w:eastAsia="仿宋_GB2312" w:cs="仿宋_GB2312"/>
          <w:color w:val="000000"/>
          <w:kern w:val="28"/>
          <w:sz w:val="24"/>
          <w:szCs w:val="24"/>
        </w:rPr>
      </w:pPr>
      <w:r>
        <w:rPr>
          <w:rFonts w:hint="eastAsia" w:ascii="仿宋_GB2312" w:hAnsi="仿宋_GB2312" w:eastAsia="仿宋_GB2312" w:cs="仿宋_GB2312"/>
          <w:b/>
          <w:bCs/>
          <w:color w:val="000000"/>
          <w:kern w:val="28"/>
          <w:sz w:val="24"/>
          <w:szCs w:val="24"/>
        </w:rPr>
        <w:t>供方(乙方)：</w:t>
      </w:r>
      <w:r>
        <w:rPr>
          <w:rFonts w:hint="eastAsia" w:ascii="仿宋_GB2312" w:hAnsi="仿宋_GB2312" w:eastAsia="仿宋_GB2312" w:cs="仿宋_GB2312"/>
          <w:color w:val="000000"/>
          <w:kern w:val="28"/>
          <w:sz w:val="24"/>
          <w:szCs w:val="24"/>
        </w:rPr>
        <w:t xml:space="preserve"> </w:t>
      </w:r>
    </w:p>
    <w:p w14:paraId="2026053A">
      <w:pPr>
        <w:tabs>
          <w:tab w:val="left" w:pos="840"/>
        </w:tabs>
        <w:spacing w:line="500" w:lineRule="exact"/>
        <w:jc w:val="left"/>
        <w:rPr>
          <w:rFonts w:hint="eastAsia" w:ascii="仿宋_GB2312" w:hAnsi="仿宋_GB2312" w:eastAsia="仿宋_GB2312" w:cs="仿宋_GB2312"/>
          <w:color w:val="000000"/>
          <w:kern w:val="28"/>
          <w:sz w:val="24"/>
          <w:szCs w:val="24"/>
        </w:rPr>
      </w:pPr>
      <w:r>
        <w:rPr>
          <w:rFonts w:hint="eastAsia" w:ascii="仿宋_GB2312" w:hAnsi="仿宋_GB2312" w:eastAsia="仿宋_GB2312" w:cs="仿宋_GB2312"/>
          <w:color w:val="000000"/>
          <w:kern w:val="28"/>
          <w:sz w:val="24"/>
          <w:szCs w:val="24"/>
        </w:rPr>
        <w:t>地      址：</w:t>
      </w:r>
    </w:p>
    <w:p w14:paraId="6DA341D6">
      <w:pPr>
        <w:tabs>
          <w:tab w:val="left" w:pos="840"/>
        </w:tabs>
        <w:spacing w:line="500" w:lineRule="exact"/>
        <w:jc w:val="left"/>
        <w:rPr>
          <w:rFonts w:hint="eastAsia" w:ascii="仿宋_GB2312" w:hAnsi="仿宋_GB2312" w:eastAsia="仿宋_GB2312" w:cs="仿宋_GB2312"/>
          <w:color w:val="000000"/>
          <w:kern w:val="28"/>
          <w:sz w:val="24"/>
          <w:szCs w:val="24"/>
        </w:rPr>
      </w:pPr>
      <w:r>
        <w:rPr>
          <w:rFonts w:hint="eastAsia" w:ascii="仿宋_GB2312" w:hAnsi="仿宋_GB2312" w:eastAsia="仿宋_GB2312" w:cs="仿宋_GB2312"/>
          <w:color w:val="000000"/>
          <w:kern w:val="28"/>
          <w:sz w:val="24"/>
          <w:szCs w:val="24"/>
        </w:rPr>
        <w:t>电      话：</w:t>
      </w:r>
    </w:p>
    <w:p w14:paraId="2B218F54">
      <w:pPr>
        <w:tabs>
          <w:tab w:val="left" w:pos="840"/>
        </w:tabs>
        <w:spacing w:line="500" w:lineRule="exact"/>
        <w:jc w:val="left"/>
        <w:rPr>
          <w:rFonts w:hint="eastAsia" w:ascii="仿宋_GB2312" w:hAnsi="仿宋_GB2312" w:eastAsia="仿宋_GB2312" w:cs="仿宋_GB2312"/>
          <w:color w:val="000000"/>
          <w:kern w:val="28"/>
          <w:sz w:val="24"/>
          <w:szCs w:val="24"/>
        </w:rPr>
      </w:pPr>
      <w:r>
        <w:rPr>
          <w:rFonts w:hint="eastAsia" w:ascii="仿宋_GB2312" w:hAnsi="仿宋_GB2312" w:eastAsia="仿宋_GB2312" w:cs="仿宋_GB2312"/>
          <w:color w:val="000000"/>
          <w:kern w:val="28"/>
          <w:sz w:val="24"/>
          <w:szCs w:val="24"/>
        </w:rPr>
        <w:t>邮      编：</w:t>
      </w:r>
    </w:p>
    <w:p w14:paraId="4184423D">
      <w:pPr>
        <w:tabs>
          <w:tab w:val="left" w:pos="840"/>
        </w:tabs>
        <w:spacing w:line="500" w:lineRule="exact"/>
        <w:jc w:val="left"/>
        <w:rPr>
          <w:rFonts w:hint="eastAsia" w:ascii="仿宋_GB2312" w:hAnsi="仿宋_GB2312" w:eastAsia="仿宋_GB2312" w:cs="仿宋_GB2312"/>
          <w:color w:val="000000"/>
          <w:kern w:val="28"/>
          <w:sz w:val="24"/>
          <w:szCs w:val="24"/>
        </w:rPr>
      </w:pPr>
      <w:r>
        <w:rPr>
          <w:rFonts w:hint="eastAsia" w:ascii="仿宋_GB2312" w:hAnsi="仿宋_GB2312" w:eastAsia="仿宋_GB2312" w:cs="仿宋_GB2312"/>
          <w:color w:val="000000"/>
          <w:kern w:val="28"/>
          <w:sz w:val="24"/>
          <w:szCs w:val="24"/>
        </w:rPr>
        <w:t>联  系  人：            联系人手机：</w:t>
      </w:r>
    </w:p>
    <w:p w14:paraId="09EDE4E5">
      <w:pPr>
        <w:tabs>
          <w:tab w:val="left" w:pos="840"/>
        </w:tabs>
        <w:spacing w:line="500" w:lineRule="exact"/>
        <w:jc w:val="left"/>
        <w:rPr>
          <w:rFonts w:hint="default" w:ascii="仿宋_GB2312" w:hAnsi="仿宋_GB2312" w:eastAsia="仿宋_GB2312" w:cs="仿宋_GB2312"/>
          <w:b/>
          <w:bCs/>
          <w:color w:val="000000"/>
          <w:kern w:val="28"/>
          <w:sz w:val="24"/>
          <w:szCs w:val="24"/>
          <w:lang w:val="en-US" w:eastAsia="zh-CN"/>
        </w:rPr>
      </w:pPr>
      <w:r>
        <w:rPr>
          <w:rFonts w:hint="eastAsia" w:ascii="仿宋_GB2312" w:hAnsi="仿宋_GB2312" w:eastAsia="仿宋_GB2312" w:cs="仿宋_GB2312"/>
          <w:color w:val="000000"/>
          <w:kern w:val="28"/>
          <w:sz w:val="24"/>
          <w:szCs w:val="24"/>
        </w:rPr>
        <w:t xml:space="preserve"> </w:t>
      </w:r>
      <w:r>
        <w:rPr>
          <w:rFonts w:hint="eastAsia" w:ascii="仿宋_GB2312" w:hAnsi="仿宋_GB2312" w:eastAsia="仿宋_GB2312" w:cs="仿宋_GB2312"/>
          <w:b/>
          <w:bCs/>
          <w:color w:val="000000"/>
          <w:kern w:val="28"/>
          <w:sz w:val="24"/>
          <w:szCs w:val="24"/>
        </w:rPr>
        <w:t>签约地点：</w:t>
      </w:r>
      <w:r>
        <w:rPr>
          <w:rFonts w:hint="eastAsia" w:ascii="仿宋_GB2312" w:hAnsi="仿宋_GB2312" w:eastAsia="仿宋_GB2312" w:cs="仿宋_GB2312"/>
          <w:b/>
          <w:bCs/>
          <w:color w:val="000000"/>
          <w:kern w:val="28"/>
          <w:sz w:val="24"/>
          <w:szCs w:val="24"/>
          <w:lang w:val="en-US" w:eastAsia="zh-CN"/>
        </w:rPr>
        <w:t>渭南市富平县</w:t>
      </w:r>
    </w:p>
    <w:p w14:paraId="0672EAA7">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根据《中华人民共和国民法典》</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中华人民共和国政府采购法》等有关的法律法规，以及本采购项目的招标文件等采购文件、乙方的《投标文件》及《中标通知书》，甲乙双方同意签订本合同。</w:t>
      </w:r>
      <w:r>
        <w:rPr>
          <w:rFonts w:hint="eastAsia" w:ascii="仿宋_GB2312" w:hAnsi="仿宋_GB2312" w:eastAsia="仿宋_GB2312" w:cs="仿宋_GB2312"/>
          <w:sz w:val="24"/>
          <w:szCs w:val="24"/>
        </w:rPr>
        <w:t>，共同遵守。</w:t>
      </w:r>
      <w:bookmarkStart w:id="0" w:name="_Toc43101394"/>
    </w:p>
    <w:p w14:paraId="01A0CAC2">
      <w:pPr>
        <w:pStyle w:val="2"/>
        <w:numPr>
          <w:ilvl w:val="0"/>
          <w:numId w:val="1"/>
        </w:numPr>
        <w:spacing w:line="500" w:lineRule="exact"/>
        <w:ind w:leftChars="0" w:firstLineChars="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设备名称、规格型号、制造厂商、数量、价款</w:t>
      </w:r>
    </w:p>
    <w:tbl>
      <w:tblPr>
        <w:tblStyle w:val="3"/>
        <w:tblW w:w="0" w:type="auto"/>
        <w:tblInd w:w="-1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3"/>
        <w:gridCol w:w="1831"/>
        <w:gridCol w:w="1143"/>
        <w:gridCol w:w="1831"/>
        <w:gridCol w:w="685"/>
        <w:gridCol w:w="685"/>
        <w:gridCol w:w="685"/>
        <w:gridCol w:w="685"/>
      </w:tblGrid>
      <w:tr w14:paraId="19384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108F2FE6">
            <w:pPr>
              <w:pStyle w:val="2"/>
              <w:spacing w:line="500" w:lineRule="exact"/>
              <w:ind w:left="0" w:leftChars="0"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设备名称</w:t>
            </w:r>
          </w:p>
        </w:tc>
        <w:tc>
          <w:tcPr>
            <w:tcW w:w="0" w:type="auto"/>
            <w:vAlign w:val="center"/>
          </w:tcPr>
          <w:p w14:paraId="602D3F9A">
            <w:pPr>
              <w:pStyle w:val="2"/>
              <w:spacing w:line="500" w:lineRule="exact"/>
              <w:ind w:left="0" w:leftChars="0"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品牌及规格型号</w:t>
            </w:r>
          </w:p>
        </w:tc>
        <w:tc>
          <w:tcPr>
            <w:tcW w:w="0" w:type="auto"/>
            <w:vAlign w:val="center"/>
          </w:tcPr>
          <w:p w14:paraId="42EDF35D">
            <w:pPr>
              <w:pStyle w:val="2"/>
              <w:spacing w:line="500" w:lineRule="exact"/>
              <w:ind w:left="0" w:leftChars="0"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注册证号</w:t>
            </w:r>
          </w:p>
        </w:tc>
        <w:tc>
          <w:tcPr>
            <w:tcW w:w="0" w:type="auto"/>
            <w:vAlign w:val="center"/>
          </w:tcPr>
          <w:p w14:paraId="3D9E150C">
            <w:pPr>
              <w:pStyle w:val="2"/>
              <w:spacing w:line="500" w:lineRule="exact"/>
              <w:ind w:left="0" w:leftChars="0"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制造厂商及产地</w:t>
            </w:r>
          </w:p>
        </w:tc>
        <w:tc>
          <w:tcPr>
            <w:tcW w:w="0" w:type="auto"/>
            <w:vAlign w:val="center"/>
          </w:tcPr>
          <w:p w14:paraId="749A342A">
            <w:pPr>
              <w:pStyle w:val="2"/>
              <w:spacing w:line="500" w:lineRule="exact"/>
              <w:ind w:left="0" w:leftChars="0"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数量</w:t>
            </w:r>
          </w:p>
        </w:tc>
        <w:tc>
          <w:tcPr>
            <w:tcW w:w="0" w:type="auto"/>
            <w:vAlign w:val="center"/>
          </w:tcPr>
          <w:p w14:paraId="5AD0220C">
            <w:pPr>
              <w:pStyle w:val="2"/>
              <w:spacing w:line="500" w:lineRule="exact"/>
              <w:ind w:left="0" w:leftChars="0"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单位</w:t>
            </w:r>
          </w:p>
        </w:tc>
        <w:tc>
          <w:tcPr>
            <w:tcW w:w="0" w:type="auto"/>
            <w:vAlign w:val="center"/>
          </w:tcPr>
          <w:p w14:paraId="7DB70AAF">
            <w:pPr>
              <w:pStyle w:val="2"/>
              <w:spacing w:line="500" w:lineRule="exact"/>
              <w:ind w:left="0" w:leftChars="0"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单价</w:t>
            </w:r>
          </w:p>
        </w:tc>
        <w:tc>
          <w:tcPr>
            <w:tcW w:w="0" w:type="auto"/>
            <w:vAlign w:val="center"/>
          </w:tcPr>
          <w:p w14:paraId="7221E417">
            <w:pPr>
              <w:pStyle w:val="2"/>
              <w:spacing w:line="500" w:lineRule="exact"/>
              <w:ind w:left="0" w:leftChars="0"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小计</w:t>
            </w:r>
          </w:p>
        </w:tc>
      </w:tr>
      <w:tr w14:paraId="6EA46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2" w:hRule="atLeast"/>
        </w:trPr>
        <w:tc>
          <w:tcPr>
            <w:tcW w:w="0" w:type="auto"/>
            <w:vAlign w:val="center"/>
          </w:tcPr>
          <w:p w14:paraId="1EB2B0CD">
            <w:pPr>
              <w:pStyle w:val="2"/>
              <w:spacing w:line="500" w:lineRule="exact"/>
              <w:ind w:left="0" w:leftChars="0" w:firstLine="0" w:firstLineChars="0"/>
              <w:jc w:val="center"/>
              <w:rPr>
                <w:rFonts w:hint="eastAsia" w:ascii="仿宋_GB2312" w:hAnsi="仿宋_GB2312" w:eastAsia="仿宋_GB2312" w:cs="仿宋_GB2312"/>
                <w:sz w:val="24"/>
                <w:szCs w:val="24"/>
              </w:rPr>
            </w:pPr>
          </w:p>
        </w:tc>
        <w:tc>
          <w:tcPr>
            <w:tcW w:w="0" w:type="auto"/>
            <w:vAlign w:val="center"/>
          </w:tcPr>
          <w:p w14:paraId="483578A5">
            <w:pPr>
              <w:pStyle w:val="2"/>
              <w:spacing w:line="500" w:lineRule="exact"/>
              <w:ind w:left="0" w:leftChars="0" w:firstLine="0" w:firstLineChars="0"/>
              <w:jc w:val="center"/>
              <w:rPr>
                <w:rFonts w:hint="eastAsia" w:ascii="仿宋_GB2312" w:hAnsi="仿宋_GB2312" w:eastAsia="仿宋_GB2312" w:cs="仿宋_GB2312"/>
                <w:sz w:val="24"/>
                <w:szCs w:val="24"/>
              </w:rPr>
            </w:pPr>
          </w:p>
        </w:tc>
        <w:tc>
          <w:tcPr>
            <w:tcW w:w="0" w:type="auto"/>
            <w:vAlign w:val="center"/>
          </w:tcPr>
          <w:p w14:paraId="4662396B">
            <w:pPr>
              <w:pStyle w:val="2"/>
              <w:spacing w:line="500" w:lineRule="exact"/>
              <w:ind w:left="0" w:leftChars="0" w:firstLine="0" w:firstLineChars="0"/>
              <w:jc w:val="center"/>
              <w:rPr>
                <w:rFonts w:hint="eastAsia" w:ascii="仿宋_GB2312" w:hAnsi="仿宋_GB2312" w:eastAsia="仿宋_GB2312" w:cs="仿宋_GB2312"/>
                <w:sz w:val="24"/>
                <w:szCs w:val="24"/>
              </w:rPr>
            </w:pPr>
          </w:p>
        </w:tc>
        <w:tc>
          <w:tcPr>
            <w:tcW w:w="0" w:type="auto"/>
            <w:vAlign w:val="center"/>
          </w:tcPr>
          <w:p w14:paraId="414191CB">
            <w:pPr>
              <w:pStyle w:val="2"/>
              <w:spacing w:line="240" w:lineRule="auto"/>
              <w:ind w:left="0" w:leftChars="0" w:firstLine="0" w:firstLineChars="0"/>
              <w:jc w:val="center"/>
              <w:rPr>
                <w:rFonts w:hint="eastAsia" w:ascii="仿宋_GB2312" w:hAnsi="仿宋_GB2312" w:eastAsia="仿宋_GB2312" w:cs="仿宋_GB2312"/>
                <w:sz w:val="24"/>
                <w:szCs w:val="24"/>
              </w:rPr>
            </w:pPr>
          </w:p>
        </w:tc>
        <w:tc>
          <w:tcPr>
            <w:tcW w:w="0" w:type="auto"/>
            <w:vAlign w:val="center"/>
          </w:tcPr>
          <w:p w14:paraId="0B82DD02">
            <w:pPr>
              <w:pStyle w:val="2"/>
              <w:spacing w:line="500" w:lineRule="exact"/>
              <w:ind w:left="0" w:leftChars="0" w:firstLine="0" w:firstLineChars="0"/>
              <w:jc w:val="center"/>
              <w:rPr>
                <w:rFonts w:hint="eastAsia" w:ascii="仿宋_GB2312" w:hAnsi="仿宋_GB2312" w:eastAsia="仿宋_GB2312" w:cs="仿宋_GB2312"/>
                <w:sz w:val="24"/>
                <w:szCs w:val="24"/>
              </w:rPr>
            </w:pPr>
          </w:p>
        </w:tc>
        <w:tc>
          <w:tcPr>
            <w:tcW w:w="0" w:type="auto"/>
            <w:vAlign w:val="center"/>
          </w:tcPr>
          <w:p w14:paraId="36655B69">
            <w:pPr>
              <w:pStyle w:val="2"/>
              <w:spacing w:line="500" w:lineRule="exact"/>
              <w:ind w:left="0" w:leftChars="0" w:firstLine="0" w:firstLineChars="0"/>
              <w:jc w:val="center"/>
              <w:rPr>
                <w:rFonts w:hint="eastAsia" w:ascii="仿宋_GB2312" w:hAnsi="仿宋_GB2312" w:eastAsia="仿宋_GB2312" w:cs="仿宋_GB2312"/>
                <w:sz w:val="24"/>
                <w:szCs w:val="24"/>
              </w:rPr>
            </w:pPr>
          </w:p>
        </w:tc>
        <w:tc>
          <w:tcPr>
            <w:tcW w:w="0" w:type="auto"/>
            <w:vAlign w:val="center"/>
          </w:tcPr>
          <w:p w14:paraId="6970A222">
            <w:pPr>
              <w:pStyle w:val="2"/>
              <w:spacing w:line="500" w:lineRule="exact"/>
              <w:ind w:left="0" w:leftChars="0" w:firstLine="0" w:firstLineChars="0"/>
              <w:jc w:val="center"/>
              <w:rPr>
                <w:rFonts w:hint="eastAsia" w:ascii="仿宋_GB2312" w:hAnsi="仿宋_GB2312" w:eastAsia="仿宋_GB2312" w:cs="仿宋_GB2312"/>
                <w:sz w:val="24"/>
                <w:szCs w:val="24"/>
              </w:rPr>
            </w:pPr>
          </w:p>
        </w:tc>
        <w:tc>
          <w:tcPr>
            <w:tcW w:w="0" w:type="auto"/>
            <w:vAlign w:val="center"/>
          </w:tcPr>
          <w:p w14:paraId="2108EE23">
            <w:pPr>
              <w:pStyle w:val="2"/>
              <w:spacing w:line="500" w:lineRule="exact"/>
              <w:ind w:left="0" w:leftChars="0" w:firstLine="0" w:firstLineChars="0"/>
              <w:jc w:val="center"/>
              <w:rPr>
                <w:rFonts w:hint="eastAsia" w:ascii="仿宋_GB2312" w:hAnsi="仿宋_GB2312" w:eastAsia="仿宋_GB2312" w:cs="仿宋_GB2312"/>
                <w:sz w:val="24"/>
                <w:szCs w:val="24"/>
              </w:rPr>
            </w:pPr>
          </w:p>
        </w:tc>
      </w:tr>
      <w:tr w14:paraId="13ED9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vMerge w:val="restart"/>
            <w:vAlign w:val="center"/>
          </w:tcPr>
          <w:p w14:paraId="34A56CD1">
            <w:pPr>
              <w:pStyle w:val="2"/>
              <w:spacing w:line="500" w:lineRule="exact"/>
              <w:ind w:left="0" w:leftChars="0"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总价</w:t>
            </w:r>
          </w:p>
        </w:tc>
        <w:tc>
          <w:tcPr>
            <w:tcW w:w="0" w:type="auto"/>
            <w:gridSpan w:val="7"/>
          </w:tcPr>
          <w:p w14:paraId="494C6C8F">
            <w:pPr>
              <w:pStyle w:val="2"/>
              <w:spacing w:line="500" w:lineRule="exact"/>
              <w:ind w:left="0" w:leftChars="0" w:firstLine="0" w:firstLineChars="0"/>
              <w:rPr>
                <w:rFonts w:hint="eastAsia" w:ascii="仿宋_GB2312" w:hAnsi="仿宋_GB2312" w:eastAsia="仿宋_GB2312" w:cs="仿宋_GB2312"/>
                <w:sz w:val="24"/>
                <w:szCs w:val="24"/>
                <w:u w:val="single"/>
              </w:rPr>
            </w:pPr>
            <w:r>
              <w:rPr>
                <w:rFonts w:hint="eastAsia" w:ascii="仿宋_GB2312" w:hAnsi="仿宋_GB2312" w:eastAsia="仿宋_GB2312" w:cs="仿宋_GB2312"/>
                <w:sz w:val="24"/>
                <w:szCs w:val="24"/>
              </w:rPr>
              <w:t>（小写）</w:t>
            </w:r>
            <w:r>
              <w:rPr>
                <w:rFonts w:hint="eastAsia" w:ascii="仿宋_GB2312" w:hAnsi="仿宋_GB2312" w:eastAsia="仿宋_GB2312" w:cs="仿宋_GB2312"/>
                <w:sz w:val="24"/>
                <w:szCs w:val="24"/>
                <w:u w:val="single"/>
              </w:rPr>
              <w:t>￥        元</w:t>
            </w:r>
          </w:p>
        </w:tc>
      </w:tr>
      <w:tr w14:paraId="182AB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vMerge w:val="continue"/>
          </w:tcPr>
          <w:p w14:paraId="1C4432C5">
            <w:pPr>
              <w:pStyle w:val="2"/>
              <w:spacing w:line="500" w:lineRule="exact"/>
              <w:ind w:left="0" w:leftChars="0" w:firstLine="0" w:firstLineChars="0"/>
              <w:rPr>
                <w:rFonts w:hint="eastAsia" w:ascii="仿宋_GB2312" w:hAnsi="仿宋_GB2312" w:eastAsia="仿宋_GB2312" w:cs="仿宋_GB2312"/>
                <w:sz w:val="24"/>
                <w:szCs w:val="24"/>
              </w:rPr>
            </w:pPr>
          </w:p>
        </w:tc>
        <w:tc>
          <w:tcPr>
            <w:tcW w:w="0" w:type="auto"/>
            <w:gridSpan w:val="7"/>
          </w:tcPr>
          <w:p w14:paraId="7F5C6F67">
            <w:pPr>
              <w:pStyle w:val="2"/>
              <w:spacing w:line="500" w:lineRule="exact"/>
              <w:ind w:left="0" w:leftChars="0" w:firstLine="0" w:firstLineChars="0"/>
              <w:rPr>
                <w:rFonts w:hint="eastAsia" w:ascii="仿宋_GB2312" w:hAnsi="仿宋_GB2312" w:eastAsia="仿宋_GB2312" w:cs="仿宋_GB2312"/>
                <w:b/>
                <w:bCs/>
                <w:sz w:val="24"/>
                <w:szCs w:val="24"/>
                <w:u w:val="single"/>
              </w:rPr>
            </w:pPr>
            <w:r>
              <w:rPr>
                <w:rFonts w:hint="eastAsia" w:ascii="仿宋_GB2312" w:hAnsi="仿宋_GB2312" w:eastAsia="仿宋_GB2312" w:cs="仿宋_GB2312"/>
                <w:b/>
                <w:bCs/>
                <w:sz w:val="24"/>
                <w:szCs w:val="24"/>
              </w:rPr>
              <w:t>（大写）</w:t>
            </w:r>
            <w:r>
              <w:rPr>
                <w:rFonts w:hint="eastAsia" w:ascii="仿宋_GB2312" w:hAnsi="仿宋_GB2312" w:eastAsia="仿宋_GB2312" w:cs="仿宋_GB2312"/>
                <w:b/>
                <w:bCs/>
                <w:sz w:val="24"/>
                <w:szCs w:val="24"/>
                <w:u w:val="single"/>
              </w:rPr>
              <w:t>人民币          元整</w:t>
            </w:r>
          </w:p>
        </w:tc>
      </w:tr>
    </w:tbl>
    <w:p w14:paraId="3A14AF8C">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说明：1、本合同价格为最终结算价格，包括安装、</w:t>
      </w:r>
      <w:r>
        <w:rPr>
          <w:rFonts w:hint="eastAsia" w:ascii="仿宋_GB2312" w:hAnsi="仿宋_GB2312" w:eastAsia="仿宋_GB2312" w:cs="仿宋_GB2312"/>
          <w:color w:val="auto"/>
          <w:sz w:val="24"/>
          <w:szCs w:val="24"/>
        </w:rPr>
        <w:t>调试正常运行、验</w:t>
      </w:r>
      <w:r>
        <w:rPr>
          <w:rFonts w:hint="eastAsia" w:ascii="仿宋_GB2312" w:hAnsi="仿宋_GB2312" w:eastAsia="仿宋_GB2312" w:cs="仿宋_GB2312"/>
          <w:sz w:val="24"/>
          <w:szCs w:val="24"/>
        </w:rPr>
        <w:t>收合格后的价格（含保修费、零备件和运杂费、保险费、安装费、验收费、人员培训费、关税及进口环节增值税等所有税费及其它一切费用）。</w:t>
      </w:r>
    </w:p>
    <w:p w14:paraId="469F5424">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2、设备配置：详见设备配置清单、装箱单及产品彩页（含增配件）。</w:t>
      </w:r>
    </w:p>
    <w:p w14:paraId="696BD173">
      <w:pPr>
        <w:pStyle w:val="2"/>
        <w:numPr>
          <w:ilvl w:val="0"/>
          <w:numId w:val="1"/>
        </w:numPr>
        <w:spacing w:line="500" w:lineRule="exact"/>
        <w:ind w:left="0" w:leftChars="0"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交货、安装的期限和地点</w:t>
      </w:r>
    </w:p>
    <w:p w14:paraId="684F29F4">
      <w:pPr>
        <w:pStyle w:val="2"/>
        <w:spacing w:line="500" w:lineRule="exact"/>
        <w:ind w:left="0" w:leftChars="0" w:firstLine="480" w:firstLineChars="200"/>
        <w:rPr>
          <w:rFonts w:hint="eastAsia" w:ascii="仿宋_GB2312" w:hAnsi="仿宋_GB2312" w:eastAsia="仿宋_GB2312" w:cs="仿宋_GB2312"/>
          <w:color w:val="FF0000"/>
          <w:sz w:val="24"/>
          <w:szCs w:val="24"/>
          <w:lang w:val="en-GB"/>
        </w:rPr>
      </w:pPr>
      <w:r>
        <w:rPr>
          <w:rFonts w:hint="eastAsia" w:ascii="仿宋_GB2312" w:hAnsi="仿宋_GB2312" w:eastAsia="仿宋_GB2312" w:cs="仿宋_GB2312"/>
          <w:sz w:val="24"/>
          <w:szCs w:val="24"/>
        </w:rPr>
        <w:t>（一）交货期：</w:t>
      </w:r>
      <w:r>
        <w:rPr>
          <w:rFonts w:hint="eastAsia" w:ascii="仿宋_GB2312" w:hAnsi="仿宋_GB2312" w:eastAsia="仿宋_GB2312" w:cs="仿宋_GB2312"/>
          <w:sz w:val="24"/>
          <w:szCs w:val="24"/>
          <w:lang w:val="en-GB"/>
        </w:rPr>
        <w:t>合同签订之日起</w:t>
      </w:r>
      <w:r>
        <w:rPr>
          <w:rFonts w:hint="eastAsia" w:ascii="仿宋_GB2312" w:hAnsi="仿宋_GB2312" w:eastAsia="仿宋_GB2312" w:cs="仿宋_GB2312"/>
          <w:color w:val="auto"/>
          <w:sz w:val="24"/>
          <w:szCs w:val="24"/>
          <w:u w:val="single"/>
          <w:lang w:val="en-GB"/>
        </w:rPr>
        <w:t xml:space="preserve">  </w:t>
      </w:r>
      <w:r>
        <w:rPr>
          <w:rFonts w:hint="eastAsia" w:ascii="仿宋_GB2312" w:hAnsi="仿宋_GB2312" w:eastAsia="仿宋_GB2312" w:cs="仿宋_GB2312"/>
          <w:color w:val="auto"/>
          <w:sz w:val="24"/>
          <w:szCs w:val="24"/>
          <w:lang w:val="en-GB"/>
        </w:rPr>
        <w:t>个日历日内。</w:t>
      </w:r>
    </w:p>
    <w:p w14:paraId="4009552D">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（二）交货及安装地点：</w:t>
      </w:r>
      <w:r>
        <w:rPr>
          <w:rFonts w:hint="eastAsia" w:ascii="仿宋_GB2312" w:hAnsi="仿宋_GB2312" w:eastAsia="仿宋_GB2312" w:cs="仿宋_GB2312"/>
          <w:sz w:val="24"/>
          <w:szCs w:val="24"/>
          <w:lang w:eastAsia="zh-CN"/>
        </w:rPr>
        <w:t>富平县医院</w:t>
      </w:r>
      <w:r>
        <w:rPr>
          <w:rFonts w:hint="eastAsia" w:ascii="仿宋_GB2312" w:hAnsi="仿宋_GB2312" w:eastAsia="仿宋_GB2312" w:cs="仿宋_GB2312"/>
          <w:sz w:val="24"/>
          <w:szCs w:val="24"/>
        </w:rPr>
        <w:t>内。</w:t>
      </w:r>
    </w:p>
    <w:p w14:paraId="41156987">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（三）安装完成时间：接甲方通知后</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个工作日内全部调试完成，并可正常使用。</w:t>
      </w:r>
    </w:p>
    <w:p w14:paraId="6D7E3323">
      <w:pPr>
        <w:pStyle w:val="2"/>
        <w:spacing w:line="500" w:lineRule="exact"/>
        <w:ind w:left="0" w:leftChars="0"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三、验收标准和方法</w:t>
      </w:r>
    </w:p>
    <w:p w14:paraId="1D7CB06A">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（一）验收标准</w:t>
      </w:r>
    </w:p>
    <w:p w14:paraId="53889F29">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1、包装：符合出厂规范,《商品包装政府采购需求标准（试行）》《快递包装政府采购需求标准（试行）》，包装完整无破损，防雨、防潮等各种符号标识清楚，进口设备应具有原产国标识且标识清楚。</w:t>
      </w:r>
    </w:p>
    <w:p w14:paraId="3B4EBAC4">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2、安装：符合本合同项下产品的全部相关国家安全技术标准及甲方要求。</w:t>
      </w:r>
    </w:p>
    <w:p w14:paraId="565FC6FF">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3、产品：（1）必须为原装、全新、合格产品，渠道合法</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（2）符合供方与需方签订的购销合同</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（3）符合招、投标文件的技术要求</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（4）符合产品原样本技术数据</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（5）符合国家有关技术规范要求和安全、环保、节能等强制性标准</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（6）产品单证齐全（质量合格证、装箱清单、操作手册和维修手册等，如为进口产品，交货前须提供原产地证明、原厂生产检验合格证和海关手续等）。</w:t>
      </w:r>
    </w:p>
    <w:p w14:paraId="3361FDA7">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（二）验收方法</w:t>
      </w:r>
    </w:p>
    <w:p w14:paraId="514CC16A">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甲乙双方共同进行验收或依照有关法规、文件规定，由国家质量检验、商检等部门共同进行验收。所有安装、验收的手续由乙方办理并承担费用，甲方提供相关辅助。设备正常运行15个工作日后，经甲方通知，自通知送达之日起三日内，双方共同进行验收，甲方向乙方出具验收合格书面证明文件，视为设备验收合格。乙方逾期未到场或拒绝到场验收的，甲方可自行验收。</w:t>
      </w:r>
    </w:p>
    <w:p w14:paraId="08A4DFDF">
      <w:pPr>
        <w:pStyle w:val="2"/>
        <w:spacing w:line="500" w:lineRule="exact"/>
        <w:ind w:left="0" w:leftChars="0" w:firstLine="480" w:firstLineChars="200"/>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验收过程中发现设备存在瑕疵或质量问题的，乙方应无条件配合甲方进行维修、更换或退货工作，因此给甲方造成损失的，乙方就全部损失承担赔偿责任。在履行验收环节，乙方须按照《商品包装政府采购需求标准（试行）》《快递包装政府采购需求标准（试行）》的环保要求出具检测报告》</w:t>
      </w:r>
      <w:r>
        <w:rPr>
          <w:rFonts w:hint="eastAsia" w:ascii="仿宋_GB2312" w:hAnsi="仿宋_GB2312" w:eastAsia="仿宋_GB2312" w:cs="仿宋_GB2312"/>
          <w:sz w:val="24"/>
          <w:szCs w:val="24"/>
          <w:lang w:eastAsia="zh-CN"/>
        </w:rPr>
        <w:t>。</w:t>
      </w:r>
    </w:p>
    <w:p w14:paraId="382D11C1">
      <w:pPr>
        <w:pStyle w:val="2"/>
        <w:numPr>
          <w:ilvl w:val="0"/>
          <w:numId w:val="2"/>
        </w:numPr>
        <w:spacing w:line="500" w:lineRule="exact"/>
        <w:ind w:left="0" w:leftChars="0"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保修</w:t>
      </w:r>
    </w:p>
    <w:p w14:paraId="70BB3C24">
      <w:pPr>
        <w:pStyle w:val="2"/>
        <w:numPr>
          <w:ilvl w:val="0"/>
          <w:numId w:val="3"/>
        </w:numPr>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到货时生产日期距合同签订日期≤6个月</w:t>
      </w:r>
      <w:r>
        <w:rPr>
          <w:rFonts w:hint="eastAsia" w:ascii="仿宋_GB2312" w:hAnsi="仿宋_GB2312" w:eastAsia="仿宋_GB2312" w:cs="仿宋_GB2312"/>
          <w:sz w:val="24"/>
          <w:szCs w:val="24"/>
          <w:lang w:eastAsia="zh-CN"/>
        </w:rPr>
        <w:t>。</w:t>
      </w:r>
    </w:p>
    <w:p w14:paraId="382EE0ED">
      <w:pPr>
        <w:pStyle w:val="2"/>
        <w:numPr>
          <w:ilvl w:val="0"/>
          <w:numId w:val="3"/>
        </w:numPr>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原厂</w:t>
      </w:r>
      <w:r>
        <w:rPr>
          <w:rFonts w:hint="eastAsia" w:ascii="仿宋_GB2312" w:hAnsi="仿宋_GB2312" w:eastAsia="仿宋_GB2312" w:cs="仿宋_GB2312"/>
          <w:sz w:val="24"/>
          <w:szCs w:val="24"/>
        </w:rPr>
        <w:t>质保期限≥</w:t>
      </w: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rPr>
        <w:t>年</w:t>
      </w:r>
      <w:r>
        <w:rPr>
          <w:rFonts w:hint="eastAsia" w:ascii="仿宋_GB2312" w:hAnsi="仿宋_GB2312" w:eastAsia="仿宋_GB2312" w:cs="仿宋_GB2312"/>
          <w:sz w:val="24"/>
          <w:szCs w:val="24"/>
          <w:lang w:eastAsia="zh-CN"/>
        </w:rPr>
        <w:t>。</w:t>
      </w:r>
    </w:p>
    <w:p w14:paraId="176A5464">
      <w:pPr>
        <w:pStyle w:val="2"/>
        <w:numPr>
          <w:ilvl w:val="0"/>
          <w:numId w:val="3"/>
        </w:numPr>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乙方</w:t>
      </w:r>
      <w:r>
        <w:rPr>
          <w:rFonts w:hint="eastAsia" w:ascii="仿宋_GB2312" w:hAnsi="仿宋_GB2312" w:eastAsia="仿宋_GB2312" w:cs="仿宋_GB2312"/>
          <w:sz w:val="24"/>
          <w:szCs w:val="24"/>
        </w:rPr>
        <w:t>承诺的质保时间超过招标文件要求的，按其承诺时间质保</w:t>
      </w:r>
      <w:r>
        <w:rPr>
          <w:rFonts w:hint="eastAsia" w:ascii="仿宋_GB2312" w:hAnsi="仿宋_GB2312" w:eastAsia="仿宋_GB2312" w:cs="仿宋_GB2312"/>
          <w:sz w:val="24"/>
          <w:szCs w:val="24"/>
          <w:lang w:eastAsia="zh-CN"/>
        </w:rPr>
        <w:t>。</w:t>
      </w:r>
    </w:p>
    <w:p w14:paraId="78D232B0">
      <w:pPr>
        <w:pStyle w:val="2"/>
        <w:numPr>
          <w:ilvl w:val="0"/>
          <w:numId w:val="3"/>
        </w:numPr>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所有产品质量必须符合国家有关规范和相关政策。所有设备及辅材必须是未使用过的新产品，质量优良、渠道正当，配置合理。</w:t>
      </w:r>
    </w:p>
    <w:p w14:paraId="7CFF757B">
      <w:pPr>
        <w:pStyle w:val="2"/>
        <w:numPr>
          <w:ilvl w:val="0"/>
          <w:numId w:val="3"/>
        </w:numPr>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质保期出现的质量问题由</w:t>
      </w:r>
      <w:r>
        <w:rPr>
          <w:rFonts w:hint="eastAsia" w:ascii="仿宋_GB2312" w:hAnsi="仿宋_GB2312" w:eastAsia="仿宋_GB2312" w:cs="仿宋_GB2312"/>
          <w:sz w:val="24"/>
          <w:szCs w:val="24"/>
          <w:lang w:val="en-US" w:eastAsia="zh-CN"/>
        </w:rPr>
        <w:t>乙方</w:t>
      </w:r>
      <w:r>
        <w:rPr>
          <w:rFonts w:hint="eastAsia" w:ascii="仿宋_GB2312" w:hAnsi="仿宋_GB2312" w:eastAsia="仿宋_GB2312" w:cs="仿宋_GB2312"/>
          <w:sz w:val="24"/>
          <w:szCs w:val="24"/>
        </w:rPr>
        <w:t>负责解决并承担所有费用。质保期后如需更换零部件，中标人应以优惠价提供。</w:t>
      </w:r>
    </w:p>
    <w:p w14:paraId="0D15253F">
      <w:pPr>
        <w:pStyle w:val="2"/>
        <w:numPr>
          <w:ilvl w:val="0"/>
          <w:numId w:val="3"/>
        </w:numPr>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开机率：保修期内，设备年开机率达到98％，故障率低于2％。累计停机时长每满24小时一次，保修期顺延5个工作日（停机时长24小时，保修期顺延5个工作日，停机时长48小时，保修期顺延10个工作日，以此类推）。</w:t>
      </w:r>
    </w:p>
    <w:p w14:paraId="7F4294E9">
      <w:pPr>
        <w:pStyle w:val="2"/>
        <w:numPr>
          <w:ilvl w:val="0"/>
          <w:numId w:val="2"/>
        </w:numPr>
        <w:spacing w:line="500" w:lineRule="exact"/>
        <w:ind w:left="0" w:leftChars="0"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人员培训</w:t>
      </w:r>
    </w:p>
    <w:p w14:paraId="3857A33C">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装机后乙方为甲方相关医护、技术及维修人员提供培训，直至双方认证合格，培训约定如下：</w:t>
      </w:r>
    </w:p>
    <w:p w14:paraId="151E008D">
      <w:pPr>
        <w:tabs>
          <w:tab w:val="left" w:pos="360"/>
        </w:tabs>
        <w:topLinePunct/>
        <w:spacing w:line="500" w:lineRule="exact"/>
        <w:ind w:firstLine="480" w:firstLineChars="200"/>
        <w:rPr>
          <w:rFonts w:hint="eastAsia" w:ascii="仿宋_GB2312" w:hAnsi="仿宋_GB2312" w:eastAsia="仿宋_GB2312" w:cs="仿宋_GB2312"/>
          <w:color w:val="000000"/>
          <w:sz w:val="24"/>
          <w:szCs w:val="24"/>
          <w:u w:val="single"/>
        </w:rPr>
      </w:pPr>
      <w:r>
        <w:rPr>
          <w:rFonts w:hint="eastAsia" w:ascii="仿宋_GB2312" w:hAnsi="仿宋_GB2312" w:eastAsia="仿宋_GB2312" w:cs="仿宋_GB2312"/>
          <w:color w:val="000000"/>
          <w:sz w:val="24"/>
          <w:szCs w:val="24"/>
        </w:rPr>
        <w:t>（一）培训对象及人数：</w:t>
      </w:r>
      <w:r>
        <w:rPr>
          <w:rFonts w:hint="eastAsia" w:ascii="仿宋_GB2312" w:hAnsi="仿宋_GB2312" w:eastAsia="仿宋_GB2312" w:cs="仿宋_GB2312"/>
          <w:color w:val="000000"/>
          <w:sz w:val="24"/>
          <w:szCs w:val="24"/>
          <w:u w:val="single"/>
          <w:lang w:val="en-US" w:eastAsia="zh-CN"/>
        </w:rPr>
        <w:t xml:space="preserve">                          </w:t>
      </w:r>
    </w:p>
    <w:p w14:paraId="3B07ED33">
      <w:pPr>
        <w:tabs>
          <w:tab w:val="left" w:pos="360"/>
        </w:tabs>
        <w:topLinePunct/>
        <w:spacing w:line="500" w:lineRule="exact"/>
        <w:ind w:firstLine="480" w:firstLineChars="200"/>
        <w:rPr>
          <w:rFonts w:hint="eastAsia" w:ascii="仿宋_GB2312" w:hAnsi="仿宋_GB2312" w:eastAsia="仿宋_GB2312" w:cs="仿宋_GB2312"/>
          <w:color w:val="000000"/>
          <w:sz w:val="24"/>
          <w:szCs w:val="24"/>
          <w:u w:val="single"/>
        </w:rPr>
      </w:pPr>
      <w:r>
        <w:rPr>
          <w:rFonts w:hint="eastAsia" w:ascii="仿宋_GB2312" w:hAnsi="仿宋_GB2312" w:eastAsia="仿宋_GB2312" w:cs="仿宋_GB2312"/>
          <w:color w:val="000000"/>
          <w:sz w:val="24"/>
          <w:szCs w:val="24"/>
        </w:rPr>
        <w:t>（二）培训方式及地点：</w:t>
      </w:r>
      <w:r>
        <w:rPr>
          <w:rFonts w:hint="eastAsia"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u w:val="single"/>
        </w:rPr>
        <w:t xml:space="preserve">         </w:t>
      </w:r>
    </w:p>
    <w:p w14:paraId="3A239E69">
      <w:pPr>
        <w:pStyle w:val="2"/>
        <w:spacing w:line="500" w:lineRule="exact"/>
        <w:ind w:left="0" w:leftChars="0" w:firstLine="480"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sz w:val="24"/>
          <w:szCs w:val="24"/>
        </w:rPr>
        <w:t>（三）培训时间及费用：</w:t>
      </w:r>
      <w:r>
        <w:rPr>
          <w:rFonts w:hint="eastAsia" w:ascii="仿宋_GB2312" w:hAnsi="仿宋_GB2312" w:eastAsia="仿宋_GB2312" w:cs="仿宋_GB2312"/>
          <w:sz w:val="24"/>
          <w:szCs w:val="24"/>
          <w:u w:val="single"/>
        </w:rPr>
        <w:t>免费培训，直至双方认证合格</w:t>
      </w:r>
    </w:p>
    <w:p w14:paraId="0380F6AB">
      <w:pPr>
        <w:tabs>
          <w:tab w:val="left" w:pos="360"/>
        </w:tabs>
        <w:topLinePunct/>
        <w:spacing w:line="500" w:lineRule="exact"/>
        <w:ind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六、付款方式和条件</w:t>
      </w:r>
    </w:p>
    <w:p w14:paraId="4A8EC722">
      <w:pPr>
        <w:pStyle w:val="2"/>
        <w:spacing w:line="500" w:lineRule="exact"/>
        <w:ind w:left="0" w:leftChars="0" w:firstLine="480" w:firstLineChars="200"/>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（一）合同签订且采购人收到供应商提供的增值税普通发票后，达到付款条件起10个工作日内，支付合同总金额的40.0</w:t>
      </w:r>
      <w:r>
        <w:rPr>
          <w:rFonts w:hint="eastAsia" w:ascii="仿宋_GB2312" w:hAnsi="仿宋_GB2312" w:eastAsia="仿宋_GB2312" w:cs="仿宋_GB2312"/>
          <w:color w:val="auto"/>
          <w:sz w:val="24"/>
          <w:szCs w:val="24"/>
          <w:lang w:val="en-US" w:eastAsia="zh-CN"/>
        </w:rPr>
        <w:t>0</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lang w:val="en-US" w:eastAsia="zh-CN"/>
        </w:rPr>
        <w:t>验收合格</w:t>
      </w:r>
      <w:r>
        <w:rPr>
          <w:rFonts w:hint="eastAsia" w:ascii="仿宋_GB2312" w:hAnsi="仿宋_GB2312" w:eastAsia="仿宋_GB2312" w:cs="仿宋_GB2312"/>
          <w:color w:val="auto"/>
          <w:sz w:val="24"/>
          <w:szCs w:val="24"/>
        </w:rPr>
        <w:t>且采购人收到供应商提供的增值税普通发票后，达到付款条件起10个工作日内，支付合同总金额的</w:t>
      </w:r>
      <w:r>
        <w:rPr>
          <w:rFonts w:hint="eastAsia" w:ascii="仿宋_GB2312" w:hAnsi="仿宋_GB2312" w:eastAsia="仿宋_GB2312" w:cs="仿宋_GB2312"/>
          <w:color w:val="auto"/>
          <w:sz w:val="24"/>
          <w:szCs w:val="24"/>
          <w:lang w:val="en-US" w:eastAsia="zh-CN"/>
        </w:rPr>
        <w:t>100</w:t>
      </w:r>
      <w:r>
        <w:rPr>
          <w:rFonts w:hint="eastAsia" w:ascii="仿宋_GB2312" w:hAnsi="仿宋_GB2312" w:eastAsia="仿宋_GB2312" w:cs="仿宋_GB2312"/>
          <w:color w:val="auto"/>
          <w:sz w:val="24"/>
          <w:szCs w:val="24"/>
        </w:rPr>
        <w:t>.0</w:t>
      </w:r>
      <w:r>
        <w:rPr>
          <w:rFonts w:hint="eastAsia" w:ascii="仿宋_GB2312" w:hAnsi="仿宋_GB2312" w:eastAsia="仿宋_GB2312" w:cs="仿宋_GB2312"/>
          <w:color w:val="auto"/>
          <w:sz w:val="24"/>
          <w:szCs w:val="24"/>
          <w:lang w:val="en-US" w:eastAsia="zh-CN"/>
        </w:rPr>
        <w:t>0</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eastAsia="zh-CN"/>
        </w:rPr>
        <w:t>。</w:t>
      </w:r>
    </w:p>
    <w:p w14:paraId="27A0137F">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（二）支付方式</w:t>
      </w:r>
    </w:p>
    <w:p w14:paraId="4318C920">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通过银行转帐方式将款项转入乙方银行帐户。乙方银行帐户信息如下:</w:t>
      </w:r>
    </w:p>
    <w:p w14:paraId="28E8B03C">
      <w:pPr>
        <w:pStyle w:val="2"/>
        <w:tabs>
          <w:tab w:val="left" w:pos="180"/>
          <w:tab w:val="left" w:pos="9360"/>
        </w:tabs>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帐 户 全 称: </w:t>
      </w:r>
    </w:p>
    <w:p w14:paraId="01BDBEF3">
      <w:pPr>
        <w:pStyle w:val="2"/>
        <w:tabs>
          <w:tab w:val="left" w:pos="180"/>
          <w:tab w:val="left" w:pos="9360"/>
        </w:tabs>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帐      </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号:</w:t>
      </w:r>
    </w:p>
    <w:p w14:paraId="675318E3">
      <w:pPr>
        <w:pStyle w:val="2"/>
        <w:tabs>
          <w:tab w:val="left" w:pos="180"/>
          <w:tab w:val="left" w:pos="9360"/>
        </w:tabs>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开  户  行: </w:t>
      </w:r>
    </w:p>
    <w:p w14:paraId="79EEA789">
      <w:pPr>
        <w:pStyle w:val="2"/>
        <w:tabs>
          <w:tab w:val="left" w:pos="9360"/>
        </w:tabs>
        <w:spacing w:line="500" w:lineRule="exact"/>
        <w:ind w:left="0" w:leftChars="0" w:firstLine="480" w:firstLineChars="200"/>
        <w:rPr>
          <w:rFonts w:hint="eastAsia" w:ascii="仿宋_GB2312" w:hAnsi="仿宋_GB2312" w:eastAsia="仿宋_GB2312" w:cs="仿宋_GB2312"/>
          <w:sz w:val="24"/>
          <w:szCs w:val="24"/>
          <w:u w:val="single"/>
        </w:rPr>
      </w:pPr>
      <w:r>
        <w:rPr>
          <w:rFonts w:hint="eastAsia" w:ascii="仿宋_GB2312" w:hAnsi="仿宋_GB2312" w:eastAsia="仿宋_GB2312" w:cs="仿宋_GB2312"/>
          <w:sz w:val="24"/>
          <w:szCs w:val="24"/>
          <w:u w:val="single"/>
        </w:rPr>
        <w:t>甲方仅认可上述指定账户并向该账户付款。如乙方账户信息变更，乙方应出具由法定代表人签署的书面变更文件并加盖乙方公司公章，否则甲方有权拒绝向指定账户之外的任何账户付款，并且由此导致的付款延迟责任由乙方承担。</w:t>
      </w:r>
    </w:p>
    <w:p w14:paraId="539E3944">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（三）结算要求：乙方必须在设备验收合格后，向甲方一次性开具符合要求的合同全</w:t>
      </w:r>
      <w:r>
        <w:rPr>
          <w:rFonts w:hint="eastAsia" w:ascii="仿宋_GB2312" w:hAnsi="仿宋_GB2312" w:eastAsia="仿宋_GB2312" w:cs="仿宋_GB2312"/>
          <w:color w:val="auto"/>
          <w:sz w:val="24"/>
          <w:szCs w:val="24"/>
        </w:rPr>
        <w:t>款正式发票。</w:t>
      </w:r>
    </w:p>
    <w:p w14:paraId="7807C156">
      <w:pPr>
        <w:pStyle w:val="2"/>
        <w:spacing w:line="500" w:lineRule="exact"/>
        <w:ind w:left="0" w:leftChars="0"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七、违约责任</w:t>
      </w:r>
    </w:p>
    <w:p w14:paraId="5C910610">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甲方在验收中，如果发现乙方所交付的设备型号、规格、质量等不符合合同约定或国家标准的，甲方可向乙方提出书面异议，并有权拒收设备。乙方在接到甲方书面异议后，应在十个工作日内负责处理，如逾期未处理即视为默认甲方提出的异议和处理意见，由此产生的全部后果由乙方自行承担。</w:t>
      </w:r>
    </w:p>
    <w:p w14:paraId="42A27D89">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甲方在设备使用过程中，如果发现乙方所交付的设备型号、规格、质量等不符合合同约定或国家标准的，甲方可向乙方提出书面异议，并有权要求乙方免费维修、更换。乙方在接到甲方书面异议后，应在十个工作日内负责处理，如逾期未处理即视为默认甲方提出的异议和处理意见，由此产生的全部后果由乙方承担。</w:t>
      </w:r>
    </w:p>
    <w:p w14:paraId="6EB6D5EC">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三）乙方不能按期交货，每延迟壹天，应付不能交货部分货款5‰的延迟付款违约金。累计支付的延迟付款违约金额不超过逾期交货部分货款总额的10%。逾期交货超过20天，甲方有权单方解除合同，自甲方合同解除通知送达之日，合同解除生效。</w:t>
      </w:r>
    </w:p>
    <w:p w14:paraId="7739A0D0">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合同解除后，甲方有权拒收乙方货物且无需支付未交货部分货款。由此产生的全部法律责任及费用支出由乙方自行承担。</w:t>
      </w:r>
    </w:p>
    <w:p w14:paraId="78DB42EC">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（四）乙方如没有按合同规定履行售后服务承诺，甲方可另行选择第三方单位进行修复，其费用全部由乙方支付，且甲方有权追究乙方的违约责任。</w:t>
      </w:r>
    </w:p>
    <w:p w14:paraId="0EA33F37">
      <w:pPr>
        <w:pStyle w:val="2"/>
        <w:numPr>
          <w:ilvl w:val="0"/>
          <w:numId w:val="4"/>
        </w:numPr>
        <w:spacing w:line="500" w:lineRule="exact"/>
        <w:ind w:left="0" w:leftChars="0"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不可抗力</w:t>
      </w:r>
    </w:p>
    <w:p w14:paraId="27BCCE9D">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任何一方由于诸如战争、严重火灾、洪水、台风、地震、国家政府政策或其他不可抗力的事件使合同执行受阻，则合同执行由双方协商后相应延长或终止。受阻方应随时采取所有合理步骤以减少因不可抗力事件所导致合同执行的任何延迟。</w:t>
      </w:r>
    </w:p>
    <w:p w14:paraId="114F2844">
      <w:pPr>
        <w:pStyle w:val="2"/>
        <w:numPr>
          <w:ilvl w:val="0"/>
          <w:numId w:val="4"/>
        </w:numPr>
        <w:spacing w:line="500" w:lineRule="exact"/>
        <w:ind w:left="0" w:leftChars="0"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争议解决方式</w:t>
      </w:r>
    </w:p>
    <w:p w14:paraId="24C87A44">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因本合同而发生的争议或纠纷，甲乙双方应先协商解决，协商不成时可向甲方所在地的人民法院提请诉讼。</w:t>
      </w:r>
    </w:p>
    <w:p w14:paraId="3221931E">
      <w:pPr>
        <w:pStyle w:val="2"/>
        <w:tabs>
          <w:tab w:val="left" w:pos="180"/>
          <w:tab w:val="left" w:pos="9360"/>
        </w:tabs>
        <w:spacing w:line="240" w:lineRule="auto"/>
        <w:ind w:left="0" w:leftChars="0" w:firstLine="0" w:firstLineChars="0"/>
        <w:rPr>
          <w:rFonts w:hint="eastAsia" w:ascii="仿宋_GB2312" w:hAnsi="仿宋_GB2312" w:eastAsia="仿宋_GB2312" w:cs="仿宋_GB2312"/>
          <w:color w:val="auto"/>
          <w:sz w:val="24"/>
          <w:szCs w:val="24"/>
        </w:rPr>
      </w:pPr>
    </w:p>
    <w:p w14:paraId="4D15B0E7">
      <w:pPr>
        <w:pStyle w:val="2"/>
        <w:spacing w:line="500" w:lineRule="exact"/>
        <w:ind w:leftChars="0" w:firstLine="281"/>
        <w:rPr>
          <w:rFonts w:hint="eastAsia" w:ascii="仿宋_GB2312" w:hAnsi="仿宋_GB2312" w:eastAsia="仿宋_GB2312" w:cs="仿宋_GB2312"/>
          <w:color w:val="auto"/>
          <w:sz w:val="24"/>
          <w:szCs w:val="24"/>
        </w:rPr>
      </w:pPr>
      <w:r>
        <w:rPr>
          <w:rFonts w:hint="eastAsia" w:ascii="仿宋_GB2312" w:hAnsi="仿宋_GB2312" w:eastAsia="仿宋_GB2312" w:cs="仿宋_GB2312"/>
          <w:b/>
          <w:bCs/>
          <w:sz w:val="24"/>
          <w:szCs w:val="24"/>
        </w:rPr>
        <w:t>十、合同生效</w:t>
      </w:r>
    </w:p>
    <w:p w14:paraId="543060F0">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合同自甲乙双方代表签字并盖章后生效。本合同一式肆份,甲乙双方各执贰份。本合同未尽事宜由甲乙双方协商解决，并作出书面补充规定（协议），补充规定作为本合同的组成部分，与本合同具有同等法律效力。</w:t>
      </w:r>
    </w:p>
    <w:p w14:paraId="5F03BAEA">
      <w:pPr>
        <w:pStyle w:val="2"/>
        <w:spacing w:line="500" w:lineRule="exact"/>
        <w:ind w:left="0" w:leftChars="0" w:firstLine="0" w:firstLineChars="0"/>
        <w:rPr>
          <w:rFonts w:hint="eastAsia" w:ascii="仿宋_GB2312" w:hAnsi="仿宋_GB2312" w:eastAsia="仿宋_GB2312" w:cs="仿宋_GB2312"/>
          <w:b/>
          <w:bCs/>
          <w:sz w:val="24"/>
          <w:szCs w:val="24"/>
        </w:rPr>
      </w:pPr>
    </w:p>
    <w:p w14:paraId="2D269A25">
      <w:pPr>
        <w:pStyle w:val="2"/>
        <w:spacing w:line="500" w:lineRule="exact"/>
        <w:ind w:left="0" w:leftChars="0" w:firstLine="0" w:firstLineChars="0"/>
        <w:jc w:val="center"/>
        <w:rPr>
          <w:rFonts w:hint="eastAsia" w:ascii="仿宋_GB2312" w:hAnsi="仿宋_GB2312" w:eastAsia="仿宋_GB2312" w:cs="仿宋_GB2312"/>
          <w:b/>
          <w:bCs/>
          <w:sz w:val="24"/>
          <w:szCs w:val="24"/>
        </w:rPr>
      </w:pPr>
      <w:bookmarkStart w:id="1" w:name="_Hlk134693783"/>
      <w:r>
        <w:rPr>
          <w:rFonts w:hint="eastAsia" w:ascii="仿宋_GB2312" w:hAnsi="仿宋_GB2312" w:eastAsia="仿宋_GB2312" w:cs="仿宋_GB2312"/>
          <w:b/>
          <w:bCs/>
          <w:sz w:val="24"/>
          <w:szCs w:val="24"/>
        </w:rPr>
        <w:t>（以下无正文，仅为供需双方签章及合同附件）</w:t>
      </w:r>
    </w:p>
    <w:p w14:paraId="3CF44FF0">
      <w:pPr>
        <w:spacing w:line="500" w:lineRule="exact"/>
        <w:ind w:left="840" w:leftChars="400" w:firstLine="1920" w:firstLineChars="8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本合同附件，共</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页，后附</w:t>
      </w:r>
    </w:p>
    <w:bookmarkEnd w:id="0"/>
    <w:tbl>
      <w:tblPr>
        <w:tblStyle w:val="3"/>
        <w:tblW w:w="10667" w:type="dxa"/>
        <w:jc w:val="center"/>
        <w:tblLayout w:type="fixed"/>
        <w:tblCellMar>
          <w:top w:w="0" w:type="dxa"/>
          <w:left w:w="108" w:type="dxa"/>
          <w:bottom w:w="0" w:type="dxa"/>
          <w:right w:w="108" w:type="dxa"/>
        </w:tblCellMar>
      </w:tblPr>
      <w:tblGrid>
        <w:gridCol w:w="1779"/>
        <w:gridCol w:w="3346"/>
        <w:gridCol w:w="1779"/>
        <w:gridCol w:w="3763"/>
      </w:tblGrid>
      <w:tr w14:paraId="1F7405E8">
        <w:tblPrEx>
          <w:tblCellMar>
            <w:top w:w="0" w:type="dxa"/>
            <w:left w:w="108" w:type="dxa"/>
            <w:bottom w:w="0" w:type="dxa"/>
            <w:right w:w="108" w:type="dxa"/>
          </w:tblCellMar>
        </w:tblPrEx>
        <w:trPr>
          <w:cantSplit/>
          <w:trHeight w:val="829" w:hRule="atLeast"/>
          <w:jc w:val="center"/>
        </w:trPr>
        <w:tc>
          <w:tcPr>
            <w:tcW w:w="1779" w:type="dxa"/>
            <w:vAlign w:val="center"/>
          </w:tcPr>
          <w:p w14:paraId="03AB8382">
            <w:pPr>
              <w:topLinePunct/>
              <w:spacing w:line="580" w:lineRule="exact"/>
              <w:jc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kern w:val="28"/>
                <w:sz w:val="24"/>
                <w:szCs w:val="24"/>
              </w:rPr>
              <w:t>需方(甲方)：</w:t>
            </w:r>
          </w:p>
        </w:tc>
        <w:tc>
          <w:tcPr>
            <w:tcW w:w="3346" w:type="dxa"/>
            <w:vAlign w:val="center"/>
          </w:tcPr>
          <w:p w14:paraId="65E0B31E">
            <w:pPr>
              <w:topLinePunct/>
              <w:spacing w:line="580" w:lineRule="exact"/>
              <w:jc w:val="center"/>
              <w:rPr>
                <w:rFonts w:hint="eastAsia" w:ascii="仿宋_GB2312" w:hAnsi="仿宋_GB2312" w:eastAsia="仿宋_GB2312" w:cs="仿宋_GB2312"/>
                <w:b/>
                <w:bCs/>
                <w:color w:val="000000"/>
                <w:sz w:val="24"/>
                <w:szCs w:val="24"/>
                <w:lang w:eastAsia="zh-CN"/>
              </w:rPr>
            </w:pPr>
            <w:r>
              <w:rPr>
                <w:rFonts w:hint="eastAsia" w:ascii="仿宋_GB2312" w:hAnsi="仿宋_GB2312" w:eastAsia="仿宋_GB2312" w:cs="仿宋_GB2312"/>
                <w:b/>
                <w:bCs/>
                <w:color w:val="000000"/>
                <w:kern w:val="28"/>
                <w:sz w:val="24"/>
                <w:szCs w:val="24"/>
                <w:lang w:eastAsia="zh-CN"/>
              </w:rPr>
              <w:t>富平县医院</w:t>
            </w:r>
          </w:p>
        </w:tc>
        <w:tc>
          <w:tcPr>
            <w:tcW w:w="1779" w:type="dxa"/>
            <w:vAlign w:val="center"/>
          </w:tcPr>
          <w:p w14:paraId="78447C22">
            <w:pPr>
              <w:topLinePunct/>
              <w:spacing w:line="580" w:lineRule="exact"/>
              <w:jc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kern w:val="28"/>
                <w:sz w:val="24"/>
                <w:szCs w:val="24"/>
              </w:rPr>
              <w:t>供方(乙方)：</w:t>
            </w:r>
          </w:p>
        </w:tc>
        <w:tc>
          <w:tcPr>
            <w:tcW w:w="3763" w:type="dxa"/>
            <w:vAlign w:val="center"/>
          </w:tcPr>
          <w:p w14:paraId="765B1651">
            <w:pPr>
              <w:topLinePunct/>
              <w:spacing w:line="580" w:lineRule="exact"/>
              <w:rPr>
                <w:rFonts w:hint="eastAsia" w:ascii="仿宋_GB2312" w:hAnsi="仿宋_GB2312" w:eastAsia="仿宋_GB2312" w:cs="仿宋_GB2312"/>
                <w:b/>
                <w:bCs/>
                <w:color w:val="000000"/>
                <w:kern w:val="28"/>
                <w:sz w:val="24"/>
                <w:szCs w:val="24"/>
              </w:rPr>
            </w:pPr>
          </w:p>
        </w:tc>
      </w:tr>
      <w:tr w14:paraId="5CC47138">
        <w:tblPrEx>
          <w:tblCellMar>
            <w:top w:w="0" w:type="dxa"/>
            <w:left w:w="108" w:type="dxa"/>
            <w:bottom w:w="0" w:type="dxa"/>
            <w:right w:w="108" w:type="dxa"/>
          </w:tblCellMar>
        </w:tblPrEx>
        <w:trPr>
          <w:cantSplit/>
          <w:trHeight w:val="895" w:hRule="atLeast"/>
          <w:jc w:val="center"/>
        </w:trPr>
        <w:tc>
          <w:tcPr>
            <w:tcW w:w="1779" w:type="dxa"/>
            <w:vAlign w:val="center"/>
          </w:tcPr>
          <w:p w14:paraId="41135F16">
            <w:pPr>
              <w:topLinePunct/>
              <w:spacing w:line="580" w:lineRule="exact"/>
              <w:jc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rPr>
              <w:t>法定代表人：</w:t>
            </w:r>
          </w:p>
        </w:tc>
        <w:tc>
          <w:tcPr>
            <w:tcW w:w="3346" w:type="dxa"/>
            <w:vAlign w:val="center"/>
          </w:tcPr>
          <w:p w14:paraId="1F33A59D">
            <w:pPr>
              <w:topLinePunct/>
              <w:spacing w:line="580" w:lineRule="exact"/>
              <w:ind w:left="200"/>
              <w:rPr>
                <w:rFonts w:hint="eastAsia" w:ascii="仿宋_GB2312" w:hAnsi="仿宋_GB2312" w:eastAsia="仿宋_GB2312" w:cs="仿宋_GB2312"/>
                <w:b/>
                <w:bCs/>
                <w:color w:val="000000"/>
                <w:sz w:val="24"/>
                <w:szCs w:val="24"/>
                <w:u w:val="single"/>
              </w:rPr>
            </w:pPr>
            <w:r>
              <w:rPr>
                <w:rFonts w:hint="eastAsia" w:ascii="仿宋_GB2312" w:hAnsi="仿宋_GB2312" w:eastAsia="仿宋_GB2312" w:cs="仿宋_GB2312"/>
                <w:b/>
                <w:bCs/>
                <w:color w:val="000000"/>
                <w:sz w:val="24"/>
                <w:szCs w:val="24"/>
                <w:u w:val="single"/>
              </w:rPr>
              <w:t xml:space="preserve">                  </w:t>
            </w:r>
          </w:p>
        </w:tc>
        <w:tc>
          <w:tcPr>
            <w:tcW w:w="1779" w:type="dxa"/>
            <w:vMerge w:val="restart"/>
            <w:vAlign w:val="center"/>
          </w:tcPr>
          <w:p w14:paraId="1B652A9D">
            <w:pPr>
              <w:topLinePunct/>
              <w:spacing w:line="580" w:lineRule="exact"/>
              <w:jc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rPr>
              <w:t>法定代表人</w:t>
            </w:r>
          </w:p>
          <w:p w14:paraId="132093D1">
            <w:pPr>
              <w:topLinePunct/>
              <w:spacing w:line="580" w:lineRule="exact"/>
              <w:jc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rPr>
              <w:t>或</w:t>
            </w:r>
          </w:p>
          <w:p w14:paraId="63D3770A">
            <w:pPr>
              <w:topLinePunct/>
              <w:spacing w:line="580" w:lineRule="exact"/>
              <w:jc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rPr>
              <w:t>委托代理人</w:t>
            </w:r>
          </w:p>
        </w:tc>
        <w:tc>
          <w:tcPr>
            <w:tcW w:w="3763" w:type="dxa"/>
            <w:vMerge w:val="restart"/>
            <w:vAlign w:val="center"/>
          </w:tcPr>
          <w:p w14:paraId="428AAABA">
            <w:pPr>
              <w:topLinePunct/>
              <w:spacing w:line="580" w:lineRule="exact"/>
              <w:rPr>
                <w:rFonts w:hint="eastAsia" w:ascii="仿宋_GB2312" w:hAnsi="仿宋_GB2312" w:eastAsia="仿宋_GB2312" w:cs="仿宋_GB2312"/>
                <w:b/>
                <w:bCs/>
                <w:color w:val="000000"/>
                <w:sz w:val="24"/>
                <w:szCs w:val="24"/>
                <w:u w:val="single"/>
              </w:rPr>
            </w:pPr>
            <w:r>
              <w:rPr>
                <w:rFonts w:hint="eastAsia" w:ascii="仿宋_GB2312" w:hAnsi="仿宋_GB2312" w:eastAsia="仿宋_GB2312" w:cs="仿宋_GB2312"/>
                <w:b/>
                <w:bCs/>
                <w:color w:val="000000"/>
                <w:sz w:val="24"/>
                <w:szCs w:val="24"/>
                <w:u w:val="single"/>
              </w:rPr>
              <w:t xml:space="preserve">                      </w:t>
            </w:r>
          </w:p>
        </w:tc>
      </w:tr>
      <w:tr w14:paraId="0C342FD4">
        <w:tblPrEx>
          <w:tblCellMar>
            <w:top w:w="0" w:type="dxa"/>
            <w:left w:w="108" w:type="dxa"/>
            <w:bottom w:w="0" w:type="dxa"/>
            <w:right w:w="108" w:type="dxa"/>
          </w:tblCellMar>
        </w:tblPrEx>
        <w:trPr>
          <w:cantSplit/>
          <w:trHeight w:val="782" w:hRule="atLeast"/>
          <w:jc w:val="center"/>
        </w:trPr>
        <w:tc>
          <w:tcPr>
            <w:tcW w:w="1779" w:type="dxa"/>
            <w:vAlign w:val="center"/>
          </w:tcPr>
          <w:p w14:paraId="77384E67">
            <w:pPr>
              <w:topLinePunct/>
              <w:spacing w:line="580" w:lineRule="exact"/>
              <w:jc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rPr>
              <w:t>委托代理人：</w:t>
            </w:r>
          </w:p>
        </w:tc>
        <w:tc>
          <w:tcPr>
            <w:tcW w:w="3346" w:type="dxa"/>
            <w:vAlign w:val="center"/>
          </w:tcPr>
          <w:p w14:paraId="4624B62F">
            <w:pPr>
              <w:topLinePunct/>
              <w:spacing w:line="580" w:lineRule="exact"/>
              <w:ind w:left="200"/>
              <w:rPr>
                <w:rFonts w:hint="eastAsia" w:ascii="仿宋_GB2312" w:hAnsi="仿宋_GB2312" w:eastAsia="仿宋_GB2312" w:cs="仿宋_GB2312"/>
                <w:b/>
                <w:bCs/>
                <w:color w:val="000000"/>
                <w:sz w:val="24"/>
                <w:szCs w:val="24"/>
                <w:u w:val="single"/>
              </w:rPr>
            </w:pPr>
            <w:r>
              <w:rPr>
                <w:rFonts w:hint="eastAsia" w:ascii="仿宋_GB2312" w:hAnsi="仿宋_GB2312" w:eastAsia="仿宋_GB2312" w:cs="仿宋_GB2312"/>
                <w:b/>
                <w:bCs/>
                <w:color w:val="000000"/>
                <w:sz w:val="24"/>
                <w:szCs w:val="24"/>
                <w:u w:val="single"/>
              </w:rPr>
              <w:t xml:space="preserve">                  </w:t>
            </w:r>
          </w:p>
        </w:tc>
        <w:tc>
          <w:tcPr>
            <w:tcW w:w="1779" w:type="dxa"/>
            <w:vMerge w:val="continue"/>
            <w:vAlign w:val="center"/>
          </w:tcPr>
          <w:p w14:paraId="096E1127">
            <w:pPr>
              <w:topLinePunct/>
              <w:spacing w:line="580" w:lineRule="exact"/>
              <w:jc w:val="center"/>
              <w:rPr>
                <w:rFonts w:hint="eastAsia" w:ascii="仿宋_GB2312" w:hAnsi="仿宋_GB2312" w:eastAsia="仿宋_GB2312" w:cs="仿宋_GB2312"/>
                <w:b/>
                <w:bCs/>
                <w:color w:val="000000"/>
                <w:sz w:val="24"/>
                <w:szCs w:val="24"/>
              </w:rPr>
            </w:pPr>
          </w:p>
        </w:tc>
        <w:tc>
          <w:tcPr>
            <w:tcW w:w="3763" w:type="dxa"/>
            <w:vMerge w:val="continue"/>
            <w:vAlign w:val="center"/>
          </w:tcPr>
          <w:p w14:paraId="5E94C41B">
            <w:pPr>
              <w:topLinePunct/>
              <w:spacing w:line="580" w:lineRule="exact"/>
              <w:ind w:left="200"/>
              <w:rPr>
                <w:rFonts w:hint="eastAsia" w:ascii="仿宋_GB2312" w:hAnsi="仿宋_GB2312" w:eastAsia="仿宋_GB2312" w:cs="仿宋_GB2312"/>
                <w:b/>
                <w:bCs/>
                <w:color w:val="000000"/>
                <w:sz w:val="24"/>
                <w:szCs w:val="24"/>
              </w:rPr>
            </w:pPr>
          </w:p>
        </w:tc>
      </w:tr>
      <w:tr w14:paraId="377EF7FE">
        <w:tblPrEx>
          <w:tblCellMar>
            <w:top w:w="0" w:type="dxa"/>
            <w:left w:w="108" w:type="dxa"/>
            <w:bottom w:w="0" w:type="dxa"/>
            <w:right w:w="108" w:type="dxa"/>
          </w:tblCellMar>
        </w:tblPrEx>
        <w:trPr>
          <w:cantSplit/>
          <w:trHeight w:val="810" w:hRule="atLeast"/>
          <w:jc w:val="center"/>
        </w:trPr>
        <w:tc>
          <w:tcPr>
            <w:tcW w:w="1779" w:type="dxa"/>
            <w:vAlign w:val="center"/>
          </w:tcPr>
          <w:p w14:paraId="491BA0B2">
            <w:pPr>
              <w:topLinePunct/>
              <w:spacing w:line="580" w:lineRule="exact"/>
              <w:jc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rPr>
              <w:t>经  办  人：</w:t>
            </w:r>
          </w:p>
        </w:tc>
        <w:tc>
          <w:tcPr>
            <w:tcW w:w="3346" w:type="dxa"/>
            <w:vAlign w:val="center"/>
          </w:tcPr>
          <w:p w14:paraId="43F0ADD9">
            <w:pPr>
              <w:topLinePunct/>
              <w:spacing w:line="580" w:lineRule="exact"/>
              <w:ind w:left="200"/>
              <w:rPr>
                <w:rFonts w:hint="eastAsia" w:ascii="仿宋_GB2312" w:hAnsi="仿宋_GB2312" w:eastAsia="仿宋_GB2312" w:cs="仿宋_GB2312"/>
                <w:b/>
                <w:bCs/>
                <w:color w:val="000000"/>
                <w:sz w:val="24"/>
                <w:szCs w:val="24"/>
                <w:u w:val="single"/>
              </w:rPr>
            </w:pPr>
            <w:r>
              <w:rPr>
                <w:rFonts w:hint="eastAsia" w:ascii="仿宋_GB2312" w:hAnsi="仿宋_GB2312" w:eastAsia="仿宋_GB2312" w:cs="仿宋_GB2312"/>
                <w:b/>
                <w:bCs/>
                <w:color w:val="000000"/>
                <w:sz w:val="24"/>
                <w:szCs w:val="24"/>
                <w:u w:val="single"/>
              </w:rPr>
              <w:t xml:space="preserve">                  </w:t>
            </w:r>
          </w:p>
        </w:tc>
        <w:tc>
          <w:tcPr>
            <w:tcW w:w="1779" w:type="dxa"/>
            <w:vMerge w:val="continue"/>
            <w:vAlign w:val="center"/>
          </w:tcPr>
          <w:p w14:paraId="034A27DD">
            <w:pPr>
              <w:topLinePunct/>
              <w:spacing w:line="580" w:lineRule="exact"/>
              <w:ind w:left="200"/>
              <w:jc w:val="center"/>
              <w:rPr>
                <w:rFonts w:hint="eastAsia" w:ascii="仿宋_GB2312" w:hAnsi="仿宋_GB2312" w:eastAsia="仿宋_GB2312" w:cs="仿宋_GB2312"/>
                <w:b/>
                <w:bCs/>
                <w:color w:val="000000"/>
                <w:sz w:val="24"/>
                <w:szCs w:val="24"/>
              </w:rPr>
            </w:pPr>
          </w:p>
        </w:tc>
        <w:tc>
          <w:tcPr>
            <w:tcW w:w="3763" w:type="dxa"/>
            <w:vMerge w:val="continue"/>
            <w:vAlign w:val="center"/>
          </w:tcPr>
          <w:p w14:paraId="4EE80E72">
            <w:pPr>
              <w:topLinePunct/>
              <w:spacing w:line="580" w:lineRule="exact"/>
              <w:ind w:left="200"/>
              <w:rPr>
                <w:rFonts w:hint="eastAsia" w:ascii="仿宋_GB2312" w:hAnsi="仿宋_GB2312" w:eastAsia="仿宋_GB2312" w:cs="仿宋_GB2312"/>
                <w:b/>
                <w:bCs/>
                <w:color w:val="000000"/>
                <w:sz w:val="24"/>
                <w:szCs w:val="24"/>
              </w:rPr>
            </w:pPr>
          </w:p>
        </w:tc>
      </w:tr>
      <w:tr w14:paraId="7D2B9218">
        <w:tblPrEx>
          <w:tblCellMar>
            <w:top w:w="0" w:type="dxa"/>
            <w:left w:w="108" w:type="dxa"/>
            <w:bottom w:w="0" w:type="dxa"/>
            <w:right w:w="108" w:type="dxa"/>
          </w:tblCellMar>
        </w:tblPrEx>
        <w:trPr>
          <w:cantSplit/>
          <w:trHeight w:val="820" w:hRule="atLeast"/>
          <w:jc w:val="center"/>
        </w:trPr>
        <w:tc>
          <w:tcPr>
            <w:tcW w:w="1779" w:type="dxa"/>
            <w:vAlign w:val="center"/>
          </w:tcPr>
          <w:p w14:paraId="1CFCAE2E">
            <w:pPr>
              <w:topLinePunct/>
              <w:spacing w:line="580" w:lineRule="exact"/>
              <w:jc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kern w:val="28"/>
                <w:sz w:val="24"/>
                <w:szCs w:val="24"/>
              </w:rPr>
              <w:t>盖      章：</w:t>
            </w:r>
          </w:p>
        </w:tc>
        <w:tc>
          <w:tcPr>
            <w:tcW w:w="3346" w:type="dxa"/>
            <w:vAlign w:val="center"/>
          </w:tcPr>
          <w:p w14:paraId="24B2EB90">
            <w:pPr>
              <w:topLinePunct/>
              <w:spacing w:line="580" w:lineRule="exact"/>
              <w:ind w:left="200"/>
              <w:rPr>
                <w:rFonts w:hint="eastAsia" w:ascii="仿宋_GB2312" w:hAnsi="仿宋_GB2312" w:eastAsia="仿宋_GB2312" w:cs="仿宋_GB2312"/>
                <w:b/>
                <w:bCs/>
                <w:color w:val="000000"/>
                <w:sz w:val="24"/>
                <w:szCs w:val="24"/>
                <w:u w:val="single"/>
              </w:rPr>
            </w:pPr>
            <w:r>
              <w:rPr>
                <w:rFonts w:hint="eastAsia" w:ascii="仿宋_GB2312" w:hAnsi="仿宋_GB2312" w:eastAsia="仿宋_GB2312" w:cs="仿宋_GB2312"/>
                <w:b/>
                <w:bCs/>
                <w:color w:val="000000"/>
                <w:sz w:val="24"/>
                <w:szCs w:val="24"/>
                <w:u w:val="single"/>
              </w:rPr>
              <w:t xml:space="preserve">                  </w:t>
            </w:r>
          </w:p>
        </w:tc>
        <w:tc>
          <w:tcPr>
            <w:tcW w:w="1779" w:type="dxa"/>
            <w:vAlign w:val="center"/>
          </w:tcPr>
          <w:p w14:paraId="7F03A669">
            <w:pPr>
              <w:topLinePunct/>
              <w:spacing w:line="580" w:lineRule="exact"/>
              <w:jc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kern w:val="28"/>
                <w:sz w:val="24"/>
                <w:szCs w:val="24"/>
              </w:rPr>
              <w:t>盖      章：</w:t>
            </w:r>
          </w:p>
        </w:tc>
        <w:tc>
          <w:tcPr>
            <w:tcW w:w="3763" w:type="dxa"/>
            <w:vAlign w:val="center"/>
          </w:tcPr>
          <w:p w14:paraId="4A1405B3">
            <w:pPr>
              <w:topLinePunct/>
              <w:spacing w:line="580" w:lineRule="exact"/>
              <w:rPr>
                <w:rFonts w:hint="eastAsia" w:ascii="仿宋_GB2312" w:hAnsi="仿宋_GB2312" w:eastAsia="仿宋_GB2312" w:cs="仿宋_GB2312"/>
                <w:b/>
                <w:bCs/>
                <w:color w:val="000000"/>
                <w:sz w:val="24"/>
                <w:szCs w:val="24"/>
                <w:u w:val="single"/>
              </w:rPr>
            </w:pPr>
            <w:r>
              <w:rPr>
                <w:rFonts w:hint="eastAsia" w:ascii="仿宋_GB2312" w:hAnsi="仿宋_GB2312" w:eastAsia="仿宋_GB2312" w:cs="仿宋_GB2312"/>
                <w:b/>
                <w:bCs/>
                <w:color w:val="000000"/>
                <w:sz w:val="24"/>
                <w:szCs w:val="24"/>
                <w:u w:val="single"/>
              </w:rPr>
              <w:t xml:space="preserve">                      </w:t>
            </w:r>
          </w:p>
        </w:tc>
      </w:tr>
      <w:tr w14:paraId="75CD1444">
        <w:tblPrEx>
          <w:tblCellMar>
            <w:top w:w="0" w:type="dxa"/>
            <w:left w:w="108" w:type="dxa"/>
            <w:bottom w:w="0" w:type="dxa"/>
            <w:right w:w="108" w:type="dxa"/>
          </w:tblCellMar>
        </w:tblPrEx>
        <w:trPr>
          <w:cantSplit/>
          <w:trHeight w:val="868" w:hRule="atLeast"/>
          <w:jc w:val="center"/>
        </w:trPr>
        <w:tc>
          <w:tcPr>
            <w:tcW w:w="1779" w:type="dxa"/>
            <w:vAlign w:val="center"/>
          </w:tcPr>
          <w:p w14:paraId="0B909C68">
            <w:pPr>
              <w:topLinePunct/>
              <w:spacing w:line="580" w:lineRule="exact"/>
              <w:rPr>
                <w:rFonts w:hint="eastAsia" w:ascii="仿宋_GB2312" w:hAnsi="仿宋_GB2312" w:eastAsia="仿宋_GB2312" w:cs="仿宋_GB2312"/>
                <w:b/>
                <w:bCs/>
                <w:color w:val="000000"/>
                <w:kern w:val="28"/>
                <w:sz w:val="24"/>
                <w:szCs w:val="24"/>
              </w:rPr>
            </w:pPr>
            <w:r>
              <w:rPr>
                <w:rFonts w:hint="eastAsia" w:ascii="仿宋_GB2312" w:hAnsi="仿宋_GB2312" w:eastAsia="仿宋_GB2312" w:cs="仿宋_GB2312"/>
                <w:b/>
                <w:bCs/>
                <w:color w:val="000000"/>
                <w:kern w:val="28"/>
                <w:sz w:val="24"/>
                <w:szCs w:val="24"/>
              </w:rPr>
              <w:t>盖 章日 期：</w:t>
            </w:r>
          </w:p>
        </w:tc>
        <w:tc>
          <w:tcPr>
            <w:tcW w:w="3346" w:type="dxa"/>
            <w:vAlign w:val="center"/>
          </w:tcPr>
          <w:p w14:paraId="45CCF4A8">
            <w:pPr>
              <w:topLinePunct/>
              <w:spacing w:line="580" w:lineRule="exact"/>
              <w:ind w:left="200"/>
              <w:rPr>
                <w:rFonts w:hint="eastAsia" w:ascii="仿宋_GB2312" w:hAnsi="仿宋_GB2312" w:eastAsia="仿宋_GB2312" w:cs="仿宋_GB2312"/>
                <w:b/>
                <w:bCs/>
                <w:color w:val="000000"/>
                <w:sz w:val="24"/>
                <w:szCs w:val="24"/>
                <w:u w:val="single"/>
              </w:rPr>
            </w:pPr>
            <w:r>
              <w:rPr>
                <w:rFonts w:hint="eastAsia" w:ascii="仿宋_GB2312" w:hAnsi="仿宋_GB2312" w:eastAsia="仿宋_GB2312" w:cs="仿宋_GB2312"/>
                <w:b/>
                <w:bCs/>
                <w:color w:val="000000"/>
                <w:sz w:val="24"/>
                <w:szCs w:val="24"/>
                <w:u w:val="single"/>
              </w:rPr>
              <w:t xml:space="preserve">      </w:t>
            </w:r>
            <w:r>
              <w:rPr>
                <w:rFonts w:hint="eastAsia" w:ascii="仿宋_GB2312" w:hAnsi="仿宋_GB2312" w:eastAsia="仿宋_GB2312" w:cs="仿宋_GB2312"/>
                <w:b/>
                <w:bCs/>
                <w:color w:val="000000"/>
                <w:sz w:val="24"/>
                <w:szCs w:val="24"/>
              </w:rPr>
              <w:t>年</w:t>
            </w:r>
            <w:r>
              <w:rPr>
                <w:rFonts w:hint="eastAsia" w:ascii="仿宋_GB2312" w:hAnsi="仿宋_GB2312" w:eastAsia="仿宋_GB2312" w:cs="仿宋_GB2312"/>
                <w:b/>
                <w:bCs/>
                <w:color w:val="000000"/>
                <w:sz w:val="24"/>
                <w:szCs w:val="24"/>
                <w:u w:val="single"/>
              </w:rPr>
              <w:t xml:space="preserve">   </w:t>
            </w:r>
            <w:r>
              <w:rPr>
                <w:rFonts w:hint="eastAsia" w:ascii="仿宋_GB2312" w:hAnsi="仿宋_GB2312" w:eastAsia="仿宋_GB2312" w:cs="仿宋_GB2312"/>
                <w:b/>
                <w:bCs/>
                <w:color w:val="000000"/>
                <w:sz w:val="24"/>
                <w:szCs w:val="24"/>
              </w:rPr>
              <w:t>月</w:t>
            </w:r>
            <w:r>
              <w:rPr>
                <w:rFonts w:hint="eastAsia" w:ascii="仿宋_GB2312" w:hAnsi="仿宋_GB2312" w:eastAsia="仿宋_GB2312" w:cs="仿宋_GB2312"/>
                <w:b/>
                <w:bCs/>
                <w:color w:val="000000"/>
                <w:sz w:val="24"/>
                <w:szCs w:val="24"/>
                <w:u w:val="single"/>
              </w:rPr>
              <w:t xml:space="preserve">   </w:t>
            </w:r>
            <w:r>
              <w:rPr>
                <w:rFonts w:hint="eastAsia" w:ascii="仿宋_GB2312" w:hAnsi="仿宋_GB2312" w:eastAsia="仿宋_GB2312" w:cs="仿宋_GB2312"/>
                <w:b/>
                <w:bCs/>
                <w:color w:val="000000"/>
                <w:sz w:val="24"/>
                <w:szCs w:val="24"/>
              </w:rPr>
              <w:t>日</w:t>
            </w:r>
          </w:p>
        </w:tc>
        <w:tc>
          <w:tcPr>
            <w:tcW w:w="1779" w:type="dxa"/>
            <w:vAlign w:val="center"/>
          </w:tcPr>
          <w:p w14:paraId="62D2B7AE">
            <w:pPr>
              <w:topLinePunct/>
              <w:spacing w:line="580" w:lineRule="exact"/>
              <w:jc w:val="center"/>
              <w:rPr>
                <w:rFonts w:hint="eastAsia" w:ascii="仿宋_GB2312" w:hAnsi="仿宋_GB2312" w:eastAsia="仿宋_GB2312" w:cs="仿宋_GB2312"/>
                <w:b/>
                <w:bCs/>
                <w:color w:val="000000"/>
                <w:kern w:val="28"/>
                <w:sz w:val="24"/>
                <w:szCs w:val="24"/>
              </w:rPr>
            </w:pPr>
            <w:r>
              <w:rPr>
                <w:rFonts w:hint="eastAsia" w:ascii="仿宋_GB2312" w:hAnsi="仿宋_GB2312" w:eastAsia="仿宋_GB2312" w:cs="仿宋_GB2312"/>
                <w:b/>
                <w:bCs/>
                <w:color w:val="000000"/>
                <w:kern w:val="28"/>
                <w:sz w:val="24"/>
                <w:szCs w:val="24"/>
              </w:rPr>
              <w:t>盖 章日 期：</w:t>
            </w:r>
          </w:p>
        </w:tc>
        <w:tc>
          <w:tcPr>
            <w:tcW w:w="3763" w:type="dxa"/>
            <w:vAlign w:val="center"/>
          </w:tcPr>
          <w:p w14:paraId="48DD8892">
            <w:pPr>
              <w:topLinePunct/>
              <w:spacing w:line="580" w:lineRule="exact"/>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u w:val="single"/>
              </w:rPr>
              <w:t xml:space="preserve">       </w:t>
            </w:r>
            <w:r>
              <w:rPr>
                <w:rFonts w:hint="eastAsia" w:ascii="仿宋_GB2312" w:hAnsi="仿宋_GB2312" w:eastAsia="仿宋_GB2312" w:cs="仿宋_GB2312"/>
                <w:b/>
                <w:bCs/>
                <w:color w:val="000000"/>
                <w:sz w:val="24"/>
                <w:szCs w:val="24"/>
              </w:rPr>
              <w:t>年</w:t>
            </w:r>
            <w:r>
              <w:rPr>
                <w:rFonts w:hint="eastAsia" w:ascii="仿宋_GB2312" w:hAnsi="仿宋_GB2312" w:eastAsia="仿宋_GB2312" w:cs="仿宋_GB2312"/>
                <w:b/>
                <w:bCs/>
                <w:color w:val="000000"/>
                <w:sz w:val="24"/>
                <w:szCs w:val="24"/>
                <w:u w:val="single"/>
              </w:rPr>
              <w:t xml:space="preserve">    </w:t>
            </w:r>
            <w:r>
              <w:rPr>
                <w:rFonts w:hint="eastAsia" w:ascii="仿宋_GB2312" w:hAnsi="仿宋_GB2312" w:eastAsia="仿宋_GB2312" w:cs="仿宋_GB2312"/>
                <w:b/>
                <w:bCs/>
                <w:color w:val="000000"/>
                <w:sz w:val="24"/>
                <w:szCs w:val="24"/>
              </w:rPr>
              <w:t>月</w:t>
            </w:r>
            <w:r>
              <w:rPr>
                <w:rFonts w:hint="eastAsia" w:ascii="仿宋_GB2312" w:hAnsi="仿宋_GB2312" w:eastAsia="仿宋_GB2312" w:cs="仿宋_GB2312"/>
                <w:b/>
                <w:bCs/>
                <w:color w:val="000000"/>
                <w:sz w:val="24"/>
                <w:szCs w:val="24"/>
                <w:u w:val="single"/>
              </w:rPr>
              <w:t xml:space="preserve">    </w:t>
            </w:r>
            <w:r>
              <w:rPr>
                <w:rFonts w:hint="eastAsia" w:ascii="仿宋_GB2312" w:hAnsi="仿宋_GB2312" w:eastAsia="仿宋_GB2312" w:cs="仿宋_GB2312"/>
                <w:b/>
                <w:bCs/>
                <w:color w:val="000000"/>
                <w:sz w:val="24"/>
                <w:szCs w:val="24"/>
              </w:rPr>
              <w:t>日</w:t>
            </w:r>
          </w:p>
        </w:tc>
      </w:tr>
      <w:bookmarkEnd w:id="1"/>
    </w:tbl>
    <w:p w14:paraId="133FD5F4">
      <w:pPr>
        <w:rPr>
          <w:rFonts w:hint="eastAsia" w:ascii="仿宋_GB2312" w:hAnsi="仿宋_GB2312" w:eastAsia="仿宋_GB2312" w:cs="仿宋_GB2312"/>
        </w:rPr>
      </w:pPr>
    </w:p>
    <w:p w14:paraId="2A3821F1">
      <w:pPr>
        <w:pStyle w:val="5"/>
        <w:rPr>
          <w:rFonts w:hint="eastAsia" w:ascii="仿宋_GB2312" w:hAnsi="仿宋_GB2312" w:eastAsia="仿宋_GB2312" w:cs="仿宋_GB2312"/>
          <w:lang w:val="en-US" w:eastAsia="zh-Hans"/>
        </w:rPr>
      </w:pPr>
    </w:p>
    <w:p w14:paraId="25553231"/>
    <w:p w14:paraId="244904B5">
      <w:pPr>
        <w:pStyle w:val="5"/>
        <w:rPr>
          <w:rFonts w:hint="eastAsia"/>
          <w:lang w:val="en-US" w:eastAsia="zh-Hans"/>
        </w:rPr>
      </w:pPr>
    </w:p>
    <w:p w14:paraId="5E0C5559"/>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B0146A"/>
    <w:multiLevelType w:val="multilevel"/>
    <w:tmpl w:val="42B0146A"/>
    <w:lvl w:ilvl="0" w:tentative="0">
      <w:start w:val="1"/>
      <w:numFmt w:val="japaneseCounting"/>
      <w:lvlText w:val="%1、"/>
      <w:lvlJc w:val="left"/>
      <w:pPr>
        <w:tabs>
          <w:tab w:val="left" w:pos="1280"/>
        </w:tabs>
        <w:ind w:left="1280" w:hanging="720"/>
      </w:pPr>
      <w:rPr>
        <w:rFonts w:hint="eastAsia"/>
      </w:rPr>
    </w:lvl>
    <w:lvl w:ilvl="1" w:tentative="0">
      <w:start w:val="1"/>
      <w:numFmt w:val="japaneseCounting"/>
      <w:lvlText w:val="（%2）"/>
      <w:lvlJc w:val="left"/>
      <w:pPr>
        <w:tabs>
          <w:tab w:val="left" w:pos="1700"/>
        </w:tabs>
        <w:ind w:left="1700" w:hanging="720"/>
      </w:pPr>
      <w:rPr>
        <w:rFonts w:hint="eastAsia"/>
      </w:rPr>
    </w:lvl>
    <w:lvl w:ilvl="2" w:tentative="0">
      <w:start w:val="1"/>
      <w:numFmt w:val="lowerRoman"/>
      <w:lvlText w:val="%3."/>
      <w:lvlJc w:val="right"/>
      <w:pPr>
        <w:tabs>
          <w:tab w:val="left" w:pos="1820"/>
        </w:tabs>
        <w:ind w:left="1820" w:hanging="420"/>
      </w:pPr>
    </w:lvl>
    <w:lvl w:ilvl="3" w:tentative="0">
      <w:start w:val="1"/>
      <w:numFmt w:val="decimal"/>
      <w:lvlText w:val="%4."/>
      <w:lvlJc w:val="left"/>
      <w:pPr>
        <w:tabs>
          <w:tab w:val="left" w:pos="2240"/>
        </w:tabs>
        <w:ind w:left="2240" w:hanging="420"/>
      </w:pPr>
    </w:lvl>
    <w:lvl w:ilvl="4" w:tentative="0">
      <w:start w:val="1"/>
      <w:numFmt w:val="lowerLetter"/>
      <w:lvlText w:val="%5)"/>
      <w:lvlJc w:val="left"/>
      <w:pPr>
        <w:tabs>
          <w:tab w:val="left" w:pos="2660"/>
        </w:tabs>
        <w:ind w:left="2660" w:hanging="420"/>
      </w:pPr>
    </w:lvl>
    <w:lvl w:ilvl="5" w:tentative="0">
      <w:start w:val="1"/>
      <w:numFmt w:val="lowerRoman"/>
      <w:lvlText w:val="%6."/>
      <w:lvlJc w:val="right"/>
      <w:pPr>
        <w:tabs>
          <w:tab w:val="left" w:pos="3080"/>
        </w:tabs>
        <w:ind w:left="3080" w:hanging="420"/>
      </w:pPr>
    </w:lvl>
    <w:lvl w:ilvl="6" w:tentative="0">
      <w:start w:val="1"/>
      <w:numFmt w:val="decimal"/>
      <w:lvlText w:val="%7."/>
      <w:lvlJc w:val="left"/>
      <w:pPr>
        <w:tabs>
          <w:tab w:val="left" w:pos="3500"/>
        </w:tabs>
        <w:ind w:left="3500" w:hanging="420"/>
      </w:pPr>
    </w:lvl>
    <w:lvl w:ilvl="7" w:tentative="0">
      <w:start w:val="1"/>
      <w:numFmt w:val="lowerLetter"/>
      <w:lvlText w:val="%8)"/>
      <w:lvlJc w:val="left"/>
      <w:pPr>
        <w:tabs>
          <w:tab w:val="left" w:pos="3920"/>
        </w:tabs>
        <w:ind w:left="3920" w:hanging="420"/>
      </w:pPr>
    </w:lvl>
    <w:lvl w:ilvl="8" w:tentative="0">
      <w:start w:val="1"/>
      <w:numFmt w:val="lowerRoman"/>
      <w:lvlText w:val="%9."/>
      <w:lvlJc w:val="right"/>
      <w:pPr>
        <w:tabs>
          <w:tab w:val="left" w:pos="4340"/>
        </w:tabs>
        <w:ind w:left="4340" w:hanging="420"/>
      </w:pPr>
    </w:lvl>
  </w:abstractNum>
  <w:abstractNum w:abstractNumId="1">
    <w:nsid w:val="67CD6CBD"/>
    <w:multiLevelType w:val="multilevel"/>
    <w:tmpl w:val="67CD6CBD"/>
    <w:lvl w:ilvl="0" w:tentative="0">
      <w:start w:val="8"/>
      <w:numFmt w:val="japaneseCounting"/>
      <w:lvlText w:val="%1、"/>
      <w:lvlJc w:val="left"/>
      <w:pPr>
        <w:ind w:left="1129" w:hanging="720"/>
      </w:pPr>
      <w:rPr>
        <w:rFonts w:hint="default"/>
      </w:rPr>
    </w:lvl>
    <w:lvl w:ilvl="1" w:tentative="0">
      <w:start w:val="1"/>
      <w:numFmt w:val="lowerLetter"/>
      <w:lvlText w:val="%2)"/>
      <w:lvlJc w:val="left"/>
      <w:pPr>
        <w:ind w:left="1249" w:hanging="420"/>
      </w:pPr>
    </w:lvl>
    <w:lvl w:ilvl="2" w:tentative="0">
      <w:start w:val="1"/>
      <w:numFmt w:val="lowerRoman"/>
      <w:lvlText w:val="%3."/>
      <w:lvlJc w:val="right"/>
      <w:pPr>
        <w:ind w:left="1669" w:hanging="420"/>
      </w:pPr>
    </w:lvl>
    <w:lvl w:ilvl="3" w:tentative="0">
      <w:start w:val="1"/>
      <w:numFmt w:val="decimal"/>
      <w:lvlText w:val="%4."/>
      <w:lvlJc w:val="left"/>
      <w:pPr>
        <w:ind w:left="2089" w:hanging="420"/>
      </w:pPr>
    </w:lvl>
    <w:lvl w:ilvl="4" w:tentative="0">
      <w:start w:val="1"/>
      <w:numFmt w:val="lowerLetter"/>
      <w:lvlText w:val="%5)"/>
      <w:lvlJc w:val="left"/>
      <w:pPr>
        <w:ind w:left="2509" w:hanging="420"/>
      </w:pPr>
    </w:lvl>
    <w:lvl w:ilvl="5" w:tentative="0">
      <w:start w:val="1"/>
      <w:numFmt w:val="lowerRoman"/>
      <w:lvlText w:val="%6."/>
      <w:lvlJc w:val="right"/>
      <w:pPr>
        <w:ind w:left="2929" w:hanging="420"/>
      </w:pPr>
    </w:lvl>
    <w:lvl w:ilvl="6" w:tentative="0">
      <w:start w:val="1"/>
      <w:numFmt w:val="decimal"/>
      <w:lvlText w:val="%7."/>
      <w:lvlJc w:val="left"/>
      <w:pPr>
        <w:ind w:left="3349" w:hanging="420"/>
      </w:pPr>
    </w:lvl>
    <w:lvl w:ilvl="7" w:tentative="0">
      <w:start w:val="1"/>
      <w:numFmt w:val="lowerLetter"/>
      <w:lvlText w:val="%8)"/>
      <w:lvlJc w:val="left"/>
      <w:pPr>
        <w:ind w:left="3769" w:hanging="420"/>
      </w:pPr>
    </w:lvl>
    <w:lvl w:ilvl="8" w:tentative="0">
      <w:start w:val="1"/>
      <w:numFmt w:val="lowerRoman"/>
      <w:lvlText w:val="%9."/>
      <w:lvlJc w:val="right"/>
      <w:pPr>
        <w:ind w:left="4189" w:hanging="420"/>
      </w:pPr>
    </w:lvl>
  </w:abstractNum>
  <w:abstractNum w:abstractNumId="2">
    <w:nsid w:val="6DAF2517"/>
    <w:multiLevelType w:val="multilevel"/>
    <w:tmpl w:val="6DAF2517"/>
    <w:lvl w:ilvl="0" w:tentative="0">
      <w:start w:val="4"/>
      <w:numFmt w:val="japaneseCounting"/>
      <w:lvlText w:val="%1、"/>
      <w:lvlJc w:val="left"/>
      <w:pPr>
        <w:ind w:left="1146" w:hanging="720"/>
      </w:pPr>
      <w:rPr>
        <w:rFonts w:hint="default" w:hAnsi="Times New Roman"/>
        <w:lang w:val="en-US"/>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3">
    <w:nsid w:val="70DB0966"/>
    <w:multiLevelType w:val="singleLevel"/>
    <w:tmpl w:val="70DB0966"/>
    <w:lvl w:ilvl="0" w:tentative="0">
      <w:start w:val="1"/>
      <w:numFmt w:val="decimal"/>
      <w:lvlText w:val="%1."/>
      <w:lvlJc w:val="left"/>
      <w:pPr>
        <w:tabs>
          <w:tab w:val="left" w:pos="312"/>
        </w:tabs>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EDD6B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Indent 3"/>
    <w:basedOn w:val="1"/>
    <w:qFormat/>
    <w:uiPriority w:val="0"/>
    <w:pPr>
      <w:topLinePunct/>
      <w:spacing w:line="360" w:lineRule="auto"/>
      <w:ind w:left="199" w:leftChars="95" w:firstLine="210" w:firstLineChars="100"/>
    </w:pPr>
    <w:rPr>
      <w:color w:val="000000"/>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2026-07-23T06:44:11Z</dcterms:created>
  <dc:creator>admin</dc:creator>
  <cp:lastModifiedBy>简简单单ヾ</cp:lastModifiedBy>
  <dcterms:modified xsi:type="dcterms:W3CDTF">2026-07-23T06:44:15Z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KSOTemplateDocerSaveRecord">
    <vt:lpwstr>eyJoZGlkIjoiY2QwYmY1OTUyYTNlNTlhOGJkMTU2MGFlNmZjMGFiNzAiLCJ1c2VySWQiOiI0Mjg2MTgwMjkifQ==</vt:lpwstr>
  </property>
  <property fmtid="{D5CDD505-2E9C-101B-9397-08002B2CF9AE}" pid="4" name="ICV">
    <vt:lpwstr>ABCD65741331401E84E704D22B0B9B68_12</vt:lpwstr>
  </property>
</Properties>
</file>