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FE293">
      <w:pPr>
        <w:pStyle w:val="4"/>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1.组织专家或技术机构制定承压类特种设备完整性管理工作方案、方案论证、建立完整性管理体系（或专项制度）、操作指南、评价标准等。</w:t>
      </w:r>
    </w:p>
    <w:p w14:paraId="47492F1B">
      <w:pPr>
        <w:pStyle w:val="4"/>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2.在中国石油天然气股份有限公司长庆石化分公司开展完整性管理试点。</w:t>
      </w:r>
    </w:p>
    <w:p w14:paraId="6D1BD8FA">
      <w:pPr>
        <w:pStyle w:val="4"/>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对试点单位开展特种设备安全风险评估，通过风险评估，重点掌握我省承压类高风险单位及超过设计使用年限设备的安全状况，为科学分级分类打造坚实基础。通过分级管控，分类监管，督促企业落实风险分级管控及隐患排查治理，遏制各类事故的发生。</w:t>
      </w:r>
    </w:p>
    <w:p w14:paraId="52FA1BE9">
      <w:pPr>
        <w:pStyle w:val="4"/>
        <w:spacing w:line="360" w:lineRule="auto"/>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4.对承压类特种设备完整性管理工作情况进行全面总结和绩效评估验收，提炼可复制的经验，为广泛推广应用建立技术储备，为组织制定承压类特种设备完整性管理相关国家或者行业技术标准提供技术依据。</w:t>
      </w:r>
    </w:p>
    <w:p w14:paraId="3CBF99A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5E0710"/>
    <w:rsid w:val="6A5E07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2026-09-28T09:38:00Z</dcterms:created>
  <dc:creator>Administrator</dc:creator>
  <cp:lastModifiedBy>Administrator</cp:lastModifiedBy>
  <dcterms:modified xsi:type="dcterms:W3CDTF">2026-09-28T09:38:27Z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BA63D181A17149D3ABDCB2A58CC6409A_11</vt:lpwstr>
  </property>
  <property fmtid="{D5CDD505-2E9C-101B-9397-08002B2CF9AE}" pid="4" name="KSOTemplateDocerSaveRecord">
    <vt:lpwstr>eyJoZGlkIjoiZDJlODVkNGQ2YTFiMTA3ODNkNjU2YmE4MzkwZWZjN2UiLCJ1c2VySWQiOiIyNTUwMzE5MDEifQ==</vt:lpwstr>
  </property>
</Properties>
</file>