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版本号：ZX2026-06-7020260908002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便携式代谢监测系统采购项目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ZX2026-06-70</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便携式代谢监测系统采购项目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ZX2026-06-70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便携式代谢监测系统采购项目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本项目为便携式代谢监测系统采购项目，1批。具体内容详见招标文件第三章。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进口产品提供所投产品厂家授权书或总代理商授权书：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王琦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无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采购包1保证金金额：8,670.00元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代理服务费收费标准：按照定额4687元整收取。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本项目为便携式代谢监测系统采购项目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便携式代谢监测系统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标的名称：便携式代谢监测系统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1102"/>
              <w:gridCol w:w="469"/>
              <w:gridCol w:w="889"/>
            </w:tblGrid>
            <w:tr>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w:t>
                  </w:r>
                  <w:r>
                    <w:rPr>
                      <w:rFonts w:ascii="仿宋_GB2312" w:hAnsi="仿宋_GB2312" w:cs="仿宋_GB2312" w:eastAsia="仿宋_GB2312"/>
                      <w:sz w:val="24"/>
                    </w:rPr>
                    <w:t>名称</w:t>
                  </w: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便携式代谢监测系统</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pPr>
              <w:pStyle w:val="null3"/>
              <w:jc w:val="both"/>
            </w:pPr>
            <w:r>
              <w:rPr>
                <w:rFonts w:ascii="仿宋_GB2312" w:hAnsi="仿宋_GB2312" w:cs="仿宋_GB2312" w:eastAsia="仿宋_GB2312"/>
                <w:sz w:val="24"/>
                <w:b/>
              </w:rPr>
              <w:t>二、参数要求</w:t>
            </w:r>
          </w:p>
          <w:p>
            <w:pPr>
              <w:pStyle w:val="null3"/>
              <w:jc w:val="both"/>
            </w:pPr>
            <w:r>
              <w:rPr>
                <w:rFonts w:ascii="仿宋_GB2312" w:hAnsi="仿宋_GB2312" w:cs="仿宋_GB2312" w:eastAsia="仿宋_GB2312"/>
                <w:sz w:val="24"/>
              </w:rPr>
              <w:t>（一）设备技术指标要求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能</w:t>
            </w:r>
            <w:r>
              <w:rPr>
                <w:rFonts w:ascii="仿宋_GB2312" w:hAnsi="仿宋_GB2312" w:cs="仿宋_GB2312" w:eastAsia="仿宋_GB2312"/>
                <w:sz w:val="24"/>
              </w:rPr>
              <w:t>同时兼容一口气法和微型混合室法测量，能够满足不同运动负荷状态下连续呼吸流量采集需求。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流</w:t>
            </w:r>
            <w:r>
              <w:rPr>
                <w:rFonts w:ascii="仿宋_GB2312" w:hAnsi="仿宋_GB2312" w:cs="仿宋_GB2312" w:eastAsia="仿宋_GB2312"/>
                <w:sz w:val="24"/>
              </w:rPr>
              <w:t>量</w:t>
            </w:r>
            <w:r>
              <w:rPr>
                <w:rFonts w:ascii="仿宋_GB2312" w:hAnsi="仿宋_GB2312" w:cs="仿宋_GB2312" w:eastAsia="仿宋_GB2312"/>
                <w:sz w:val="24"/>
              </w:rPr>
              <w:t>测</w:t>
            </w:r>
            <w:r>
              <w:rPr>
                <w:rFonts w:ascii="仿宋_GB2312" w:hAnsi="仿宋_GB2312" w:cs="仿宋_GB2312" w:eastAsia="仿宋_GB2312"/>
                <w:sz w:val="24"/>
              </w:rPr>
              <w:t>量</w:t>
            </w:r>
            <w:r>
              <w:rPr>
                <w:rFonts w:ascii="仿宋_GB2312" w:hAnsi="仿宋_GB2312" w:cs="仿宋_GB2312" w:eastAsia="仿宋_GB2312"/>
                <w:sz w:val="24"/>
              </w:rPr>
              <w:t>范围及精度</w:t>
            </w:r>
            <w:r>
              <w:rPr>
                <w:rFonts w:ascii="仿宋_GB2312" w:hAnsi="仿宋_GB2312" w:cs="仿宋_GB2312" w:eastAsia="仿宋_GB2312"/>
                <w:sz w:val="24"/>
              </w:rPr>
              <w:t>：</w:t>
            </w:r>
            <w:r>
              <w:rPr>
                <w:rFonts w:ascii="仿宋_GB2312" w:hAnsi="仿宋_GB2312" w:cs="仿宋_GB2312" w:eastAsia="仿宋_GB2312"/>
                <w:sz w:val="24"/>
              </w:rPr>
              <w:t>范围4～300Lmin，精度</w:t>
            </w:r>
            <w:r>
              <w:rPr>
                <w:rFonts w:ascii="仿宋_GB2312" w:hAnsi="仿宋_GB2312" w:cs="仿宋_GB2312" w:eastAsia="仿宋_GB2312"/>
                <w:sz w:val="24"/>
              </w:rPr>
              <w:t>：</w:t>
            </w:r>
            <w:r>
              <w:rPr>
                <w:rFonts w:ascii="仿宋_GB2312" w:hAnsi="仿宋_GB2312" w:cs="仿宋_GB2312" w:eastAsia="仿宋_GB2312"/>
                <w:sz w:val="24"/>
              </w:rPr>
              <w:t>±3%，满足运动代谢数据计算要求。</w:t>
            </w:r>
          </w:p>
          <w:p>
            <w:pPr>
              <w:pStyle w:val="null3"/>
              <w:jc w:val="both"/>
            </w:pPr>
            <w:r>
              <w:rPr>
                <w:rFonts w:ascii="仿宋_GB2312" w:hAnsi="仿宋_GB2312" w:cs="仿宋_GB2312" w:eastAsia="仿宋_GB2312"/>
                <w:sz w:val="24"/>
              </w:rPr>
              <w:t>3. O</w:t>
            </w:r>
            <w:r>
              <w:rPr>
                <w:rFonts w:ascii="仿宋_GB2312" w:hAnsi="仿宋_GB2312" w:cs="仿宋_GB2312" w:eastAsia="仿宋_GB2312"/>
                <w:sz w:val="24"/>
                <w:vertAlign w:val="subscript"/>
              </w:rPr>
              <w:t>2</w:t>
            </w:r>
            <w:r>
              <w:rPr>
                <w:rFonts w:ascii="仿宋_GB2312" w:hAnsi="仿宋_GB2312" w:cs="仿宋_GB2312" w:eastAsia="仿宋_GB2312"/>
                <w:sz w:val="24"/>
              </w:rPr>
              <w:t>分析范围应覆盖人体呼吸代谢测试需要，测量范围不低于0～100%，分析精度±0.1%，响应时间＜150ms。</w:t>
            </w:r>
          </w:p>
          <w:p>
            <w:pPr>
              <w:pStyle w:val="null3"/>
              <w:jc w:val="both"/>
            </w:pPr>
            <w:r>
              <w:rPr>
                <w:rFonts w:ascii="仿宋_GB2312" w:hAnsi="仿宋_GB2312" w:cs="仿宋_GB2312" w:eastAsia="仿宋_GB2312"/>
                <w:sz w:val="24"/>
              </w:rPr>
              <w:t>4. CO</w:t>
            </w:r>
            <w:r>
              <w:rPr>
                <w:rFonts w:ascii="仿宋_GB2312" w:hAnsi="仿宋_GB2312" w:cs="仿宋_GB2312" w:eastAsia="仿宋_GB2312"/>
                <w:sz w:val="24"/>
                <w:vertAlign w:val="subscript"/>
              </w:rPr>
              <w:t>2</w:t>
            </w:r>
            <w:r>
              <w:rPr>
                <w:rFonts w:ascii="仿宋_GB2312" w:hAnsi="仿宋_GB2312" w:cs="仿宋_GB2312" w:eastAsia="仿宋_GB2312"/>
                <w:sz w:val="24"/>
              </w:rPr>
              <w:t>分析范围应覆盖人体呼吸代谢测试需要，测量范围不低于0～10%，分析精度±1%，响应时间＜150ms。</w:t>
            </w:r>
          </w:p>
          <w:p>
            <w:pPr>
              <w:pStyle w:val="null3"/>
              <w:jc w:val="both"/>
            </w:pPr>
            <w:r>
              <w:rPr>
                <w:rFonts w:ascii="仿宋_GB2312" w:hAnsi="仿宋_GB2312" w:cs="仿宋_GB2312" w:eastAsia="仿宋_GB2312"/>
                <w:sz w:val="24"/>
              </w:rPr>
              <w:t>▲5.至少</w:t>
            </w:r>
            <w:r>
              <w:rPr>
                <w:rFonts w:ascii="仿宋_GB2312" w:hAnsi="仿宋_GB2312" w:cs="仿宋_GB2312" w:eastAsia="仿宋_GB2312"/>
                <w:sz w:val="24"/>
              </w:rPr>
              <w:t>能</w:t>
            </w:r>
            <w:r>
              <w:rPr>
                <w:rFonts w:ascii="仿宋_GB2312" w:hAnsi="仿宋_GB2312" w:cs="仿宋_GB2312" w:eastAsia="仿宋_GB2312"/>
                <w:sz w:val="24"/>
              </w:rPr>
              <w:t>测量或计算</w:t>
            </w:r>
            <w:r>
              <w:rPr>
                <w:rFonts w:ascii="仿宋_GB2312" w:hAnsi="仿宋_GB2312" w:cs="仿宋_GB2312" w:eastAsia="仿宋_GB2312"/>
                <w:sz w:val="24"/>
              </w:rPr>
              <w:t>VO</w:t>
            </w:r>
            <w:r>
              <w:rPr>
                <w:rFonts w:ascii="仿宋_GB2312" w:hAnsi="仿宋_GB2312" w:cs="仿宋_GB2312" w:eastAsia="仿宋_GB2312"/>
                <w:sz w:val="24"/>
                <w:vertAlign w:val="subscript"/>
              </w:rPr>
              <w:t>2</w:t>
            </w:r>
            <w:r>
              <w:rPr>
                <w:rFonts w:ascii="仿宋_GB2312" w:hAnsi="仿宋_GB2312" w:cs="仿宋_GB2312" w:eastAsia="仿宋_GB2312"/>
                <w:sz w:val="24"/>
              </w:rPr>
              <w:t>、VCO</w:t>
            </w:r>
            <w:r>
              <w:rPr>
                <w:rFonts w:ascii="仿宋_GB2312" w:hAnsi="仿宋_GB2312" w:cs="仿宋_GB2312" w:eastAsia="仿宋_GB2312"/>
                <w:sz w:val="24"/>
                <w:vertAlign w:val="subscript"/>
              </w:rPr>
              <w:t>2</w:t>
            </w:r>
            <w:r>
              <w:rPr>
                <w:rFonts w:ascii="仿宋_GB2312" w:hAnsi="仿宋_GB2312" w:cs="仿宋_GB2312" w:eastAsia="仿宋_GB2312"/>
                <w:sz w:val="24"/>
              </w:rPr>
              <w:t>、VE、Vt、RQ/RER、MET、VO</w:t>
            </w:r>
            <w:r>
              <w:rPr>
                <w:rFonts w:ascii="仿宋_GB2312" w:hAnsi="仿宋_GB2312" w:cs="仿宋_GB2312" w:eastAsia="仿宋_GB2312"/>
                <w:sz w:val="24"/>
                <w:vertAlign w:val="subscript"/>
              </w:rPr>
              <w:t>2</w:t>
            </w:r>
            <w:r>
              <w:rPr>
                <w:rFonts w:ascii="仿宋_GB2312" w:hAnsi="仿宋_GB2312" w:cs="仿宋_GB2312" w:eastAsia="仿宋_GB2312"/>
                <w:sz w:val="24"/>
              </w:rPr>
              <w:t>/kg、VO</w:t>
            </w:r>
            <w:r>
              <w:rPr>
                <w:rFonts w:ascii="仿宋_GB2312" w:hAnsi="仿宋_GB2312" w:cs="仿宋_GB2312" w:eastAsia="仿宋_GB2312"/>
                <w:sz w:val="24"/>
                <w:vertAlign w:val="subscript"/>
              </w:rPr>
              <w:t>2</w:t>
            </w:r>
            <w:r>
              <w:rPr>
                <w:rFonts w:ascii="仿宋_GB2312" w:hAnsi="仿宋_GB2312" w:cs="仿宋_GB2312" w:eastAsia="仿宋_GB2312"/>
                <w:sz w:val="24"/>
              </w:rPr>
              <w:t>max、HR</w:t>
            </w:r>
            <w:r>
              <w:rPr>
                <w:rFonts w:ascii="仿宋_GB2312" w:hAnsi="仿宋_GB2312" w:cs="仿宋_GB2312" w:eastAsia="仿宋_GB2312"/>
                <w:sz w:val="24"/>
              </w:rPr>
              <w:t>等指标，并支</w:t>
            </w:r>
            <w:r>
              <w:rPr>
                <w:rFonts w:ascii="仿宋_GB2312" w:hAnsi="仿宋_GB2312" w:cs="仿宋_GB2312" w:eastAsia="仿宋_GB2312"/>
                <w:sz w:val="24"/>
              </w:rPr>
              <w:t>TI、TE、Ttot、FetO</w:t>
            </w:r>
            <w:r>
              <w:rPr>
                <w:rFonts w:ascii="仿宋_GB2312" w:hAnsi="仿宋_GB2312" w:cs="仿宋_GB2312" w:eastAsia="仿宋_GB2312"/>
                <w:sz w:val="24"/>
                <w:vertAlign w:val="subscript"/>
              </w:rPr>
              <w:t>2</w:t>
            </w:r>
            <w:r>
              <w:rPr>
                <w:rFonts w:ascii="仿宋_GB2312" w:hAnsi="仿宋_GB2312" w:cs="仿宋_GB2312" w:eastAsia="仿宋_GB2312"/>
                <w:sz w:val="24"/>
              </w:rPr>
              <w:t>、FetCO</w:t>
            </w:r>
            <w:r>
              <w:rPr>
                <w:rFonts w:ascii="仿宋_GB2312" w:hAnsi="仿宋_GB2312" w:cs="仿宋_GB2312" w:eastAsia="仿宋_GB2312"/>
                <w:sz w:val="24"/>
                <w:vertAlign w:val="subscript"/>
              </w:rPr>
              <w:t>2</w:t>
            </w:r>
            <w:r>
              <w:rPr>
                <w:rFonts w:ascii="仿宋_GB2312" w:hAnsi="仿宋_GB2312" w:cs="仿宋_GB2312" w:eastAsia="仿宋_GB2312"/>
                <w:sz w:val="24"/>
              </w:rPr>
              <w:t>、、VE/VO</w:t>
            </w:r>
            <w:r>
              <w:rPr>
                <w:rFonts w:ascii="仿宋_GB2312" w:hAnsi="仿宋_GB2312" w:cs="仿宋_GB2312" w:eastAsia="仿宋_GB2312"/>
                <w:sz w:val="24"/>
                <w:vertAlign w:val="subscript"/>
              </w:rPr>
              <w:t>2</w:t>
            </w:r>
            <w:r>
              <w:rPr>
                <w:rFonts w:ascii="仿宋_GB2312" w:hAnsi="仿宋_GB2312" w:cs="仿宋_GB2312" w:eastAsia="仿宋_GB2312"/>
                <w:sz w:val="24"/>
              </w:rPr>
              <w:t>、VO</w:t>
            </w:r>
            <w:r>
              <w:rPr>
                <w:rFonts w:ascii="仿宋_GB2312" w:hAnsi="仿宋_GB2312" w:cs="仿宋_GB2312" w:eastAsia="仿宋_GB2312"/>
                <w:sz w:val="24"/>
                <w:vertAlign w:val="subscript"/>
              </w:rPr>
              <w:t>2</w:t>
            </w:r>
            <w:r>
              <w:rPr>
                <w:rFonts w:ascii="仿宋_GB2312" w:hAnsi="仿宋_GB2312" w:cs="仿宋_GB2312" w:eastAsia="仿宋_GB2312"/>
                <w:sz w:val="24"/>
              </w:rPr>
              <w:t>/HR、VT1、VT2、BR、REE、F</w:t>
            </w:r>
            <w:r>
              <w:rPr>
                <w:rFonts w:ascii="仿宋_GB2312" w:hAnsi="仿宋_GB2312" w:cs="仿宋_GB2312" w:eastAsia="仿宋_GB2312"/>
                <w:sz w:val="24"/>
              </w:rPr>
              <w:t>AT MAX</w:t>
            </w:r>
            <w:r>
              <w:rPr>
                <w:rFonts w:ascii="仿宋_GB2312" w:hAnsi="仿宋_GB2312" w:cs="仿宋_GB2312" w:eastAsia="仿宋_GB2312"/>
                <w:sz w:val="24"/>
              </w:rPr>
              <w:t>等扩展指标测试和自动分析。（提供佐证材料）</w:t>
            </w:r>
          </w:p>
          <w:p>
            <w:pPr>
              <w:pStyle w:val="null3"/>
              <w:jc w:val="both"/>
            </w:pPr>
            <w:r>
              <w:rPr>
                <w:rFonts w:ascii="仿宋_GB2312" w:hAnsi="仿宋_GB2312" w:cs="仿宋_GB2312" w:eastAsia="仿宋_GB2312"/>
                <w:sz w:val="24"/>
              </w:rPr>
              <w:t>6.支持运动状态下数据连续采集、保存、报告生成和数据导出。</w:t>
            </w:r>
          </w:p>
          <w:p>
            <w:pPr>
              <w:pStyle w:val="null3"/>
              <w:jc w:val="both"/>
            </w:pPr>
            <w:r>
              <w:rPr>
                <w:rFonts w:ascii="仿宋_GB2312" w:hAnsi="仿宋_GB2312" w:cs="仿宋_GB2312" w:eastAsia="仿宋_GB2312"/>
                <w:sz w:val="24"/>
              </w:rPr>
              <w:t>7.具备气体校准和流量校准功能，能够满足测试数据准确性和可追溯性要求。</w:t>
            </w:r>
          </w:p>
          <w:p>
            <w:pPr>
              <w:pStyle w:val="null3"/>
              <w:jc w:val="both"/>
            </w:pPr>
            <w:r>
              <w:rPr>
                <w:rFonts w:ascii="仿宋_GB2312" w:hAnsi="仿宋_GB2312" w:cs="仿宋_GB2312" w:eastAsia="仿宋_GB2312"/>
                <w:sz w:val="24"/>
              </w:rPr>
              <w:t>8.支持无线数据传输、本地数据存储或其他等效数据保存方式。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能</w:t>
            </w:r>
            <w:r>
              <w:rPr>
                <w:rFonts w:ascii="仿宋_GB2312" w:hAnsi="仿宋_GB2312" w:cs="仿宋_GB2312" w:eastAsia="仿宋_GB2312"/>
                <w:sz w:val="24"/>
              </w:rPr>
              <w:t>与跑台、功率车、心率监测设备等外部设备联用或同步。</w:t>
            </w:r>
            <w:r>
              <w:rPr>
                <w:rFonts w:ascii="仿宋_GB2312" w:hAnsi="仿宋_GB2312" w:cs="仿宋_GB2312" w:eastAsia="仿宋_GB2312"/>
                <w:sz w:val="24"/>
              </w:rPr>
              <w:t>（提供佐证材料）</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能</w:t>
            </w:r>
            <w:r>
              <w:rPr>
                <w:rFonts w:ascii="仿宋_GB2312" w:hAnsi="仿宋_GB2312" w:cs="仿宋_GB2312" w:eastAsia="仿宋_GB2312"/>
                <w:sz w:val="24"/>
              </w:rPr>
              <w:t>拓展物理混合室法</w:t>
            </w:r>
            <w:r>
              <w:rPr>
                <w:rFonts w:ascii="仿宋_GB2312" w:hAnsi="仿宋_GB2312" w:cs="仿宋_GB2312" w:eastAsia="仿宋_GB2312"/>
                <w:sz w:val="24"/>
              </w:rPr>
              <w:t>，满足实验室及特殊运动测试使用需求。</w:t>
            </w:r>
          </w:p>
          <w:p>
            <w:pPr>
              <w:pStyle w:val="null3"/>
              <w:jc w:val="both"/>
            </w:pPr>
            <w:r>
              <w:rPr>
                <w:rFonts w:ascii="仿宋_GB2312" w:hAnsi="仿宋_GB2312" w:cs="仿宋_GB2312" w:eastAsia="仿宋_GB2312"/>
                <w:sz w:val="24"/>
              </w:rPr>
              <w:t>▲11. 符合IP54防护等级认证，防尘、防水设计，</w:t>
            </w:r>
            <w:r>
              <w:rPr>
                <w:rFonts w:ascii="仿宋_GB2312" w:hAnsi="仿宋_GB2312" w:cs="仿宋_GB2312" w:eastAsia="仿宋_GB2312"/>
                <w:sz w:val="24"/>
              </w:rPr>
              <w:t>能在</w:t>
            </w:r>
            <w:r>
              <w:rPr>
                <w:rFonts w:ascii="仿宋_GB2312" w:hAnsi="仿宋_GB2312" w:cs="仿宋_GB2312" w:eastAsia="仿宋_GB2312"/>
                <w:sz w:val="24"/>
              </w:rPr>
              <w:t>不同气候环境下进行测试如雨雪气候。（提供佐证材料）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12.主机采用一体化集成式设计，自带操作界面，能独立完成定标与测试，无需电脑端控制。</w:t>
            </w:r>
            <w:r>
              <w:rPr>
                <w:rFonts w:ascii="仿宋_GB2312" w:hAnsi="仿宋_GB2312" w:cs="仿宋_GB2312" w:eastAsia="仿宋_GB2312"/>
                <w:sz w:val="24"/>
              </w:rPr>
              <w:t>（提供佐证材料）</w:t>
            </w:r>
          </w:p>
          <w:p>
            <w:pPr>
              <w:pStyle w:val="null3"/>
              <w:jc w:val="both"/>
            </w:pPr>
            <w:r>
              <w:rPr>
                <w:rFonts w:ascii="仿宋_GB2312" w:hAnsi="仿宋_GB2312" w:cs="仿宋_GB2312" w:eastAsia="仿宋_GB2312"/>
                <w:sz w:val="24"/>
                <w:b/>
              </w:rPr>
              <w:t>（二）配置要求</w:t>
            </w:r>
          </w:p>
          <w:p>
            <w:pPr>
              <w:pStyle w:val="null3"/>
              <w:jc w:val="both"/>
            </w:pPr>
            <w:r>
              <w:rPr>
                <w:rFonts w:ascii="仿宋_GB2312" w:hAnsi="仿宋_GB2312" w:cs="仿宋_GB2312" w:eastAsia="仿宋_GB2312"/>
                <w:sz w:val="24"/>
              </w:rPr>
              <w:t>13.主机及数据采集分析系统1套，内置气体分析模块1套，流量测量模块1套，佩戴及呼吸采集附件1套（包含面罩、头带、采样线等），无线心率采集或遥测模块1套，可配合主机采集HR、HRmax等心率指标，校准组件1套，内置蓝牙数据传输模块，便携背带附件1套。</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投标人提</w:t>
            </w:r>
            <w:r>
              <w:rPr>
                <w:rFonts w:ascii="仿宋_GB2312" w:hAnsi="仿宋_GB2312" w:cs="仿宋_GB2312" w:eastAsia="仿宋_GB2312"/>
                <w:sz w:val="24"/>
              </w:rPr>
              <w:t>供保证设备正常安装、调试、培训和运行所需的其他必要附件。</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合同签订后60日内安装调试完成，保证可正常使用。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进口产品付款条件：签订合同前向学校缴纳5%的履约保证金，由采购人委托外贸进出口公司开出100%不可撤销信用证，采购人与中标商签订技术协议后，采购人将全额中标金额付至采购人与指定外贸公司开立的保证金账户，外贸公司凭甲方出具的《外贸业务委托单》实施开立即期不可撤销信用证等操作;货到采购人指定地点验收合格后，100%货款凭最终用户&lt;西安科技大学&gt;签署的验收报告解付，解付需甲方指令。缴纳的5%履约保证金无质量问题一次性无息退还。 国产产品付款方式：（1）非中小企业中标付款方式：签订合同前向学校缴纳5%的履约保证金，国内产品安装调试经学校验收合格后一次性支付全款，同时缴纳的5%履约保证金无质量问题一次性无息退还。（2）中小企业中标付款方式：签订合同前向学校缴纳5%的履约保证金，合同签订后采购人支付40%合同金额的预付款。国内产品安装调试经学校验收合格后一次性支付60%合同金额的余款，同时缴纳的5%履约保证金无质量问题一次性无息退还，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进口产品： 1、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 国产产品： 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整体验收即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质保期：设备验收合格后二年。 售后服务响应时间（质保期内）：即时响应（包括电话响应）；电话响应无法解决24小时内到达现场。修复时间72小时内解决；如在72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一、项目说明：1、本项目允许采购进口产品。 如果因信息不对称等原因，仍有满足需求的国内产品要求参与采购竞争的，采购人及其委托的采购代理机构不对其加以限制，按照公平竞争原则实施采购。2、“进口产品”是指通过中国海关报关验放进入中国境内且产自关境外的产品。 二、报价说明：1、因采购人具有教科文进口环节减免税资格，进口设备可以报免税报价，不在教科文减免范围的设备应按含税开展报价。免税报价包含外贸代理服务费。2、免税报价免除仅为进口环节的教科文减免税（进口环节增值税）3、供应商报价未明确免税报价的视为含税报价。 三、付款条件相关要求： 进口产品付款方式：进口产品付款条件：签订合同前向学校缴纳5%的履约保证金，由采购人委托外贸进出口公司开出100%不可撤销信用证，采购人与中标商签订技术协议后，采购人将全额中标金额付至采购人与指定外贸公司开立的保证金账户，外贸公司凭甲方出具的《外贸业务委托单》实施开立即期不可撤销信用证等操作;货到采购人指定地点验收合格后，100%货款凭最终用户&lt;西安科技大学&gt;签署的验收报告解付，解付需甲方指令。缴纳的5%履约保证金无质量问题一次性无息退还。 国产产品付款方式：（1）非中小企业中标付款方式：签订合同前向学校缴纳5%的履约保证金，国内产品安装调试经学校验收合格后一次性支付全款，同时缴纳的5%履约保证金无质量问题一次性无息退还。（2）中小企业中标付款方式：签订合同前向学校缴纳5%的履约保证金，合同签订后采购人支付40%合同金额的预付款。国内产品安装调试经学校验收合格后一次性支付60%合同金额的余款，同时缴纳的5%履约保证金无质量问题一次性无息退还。 四、投标保证金注意事项：（1）投标保证金须从供应商户名支付，如从个人户名或非供应商户名支付，将被拒绝，视为自动放弃投标权利（该个人是供应商的情形除外）；以保函形式交纳投标保证金的，供应商应在投标截止时间前将保函扫描成清晰的PDF文件，发送至邮箱2559647209@qq.com（邮件命名：项目编号），并将保函原件单独递交至代理机构财务；供应商应在文件中附保函复印件。保函必须由具有开具投标保函资格的单位开具；若供应商违约，开具保函单位承担连带责任；（2）投标保证金的提交金额、时间不满足招标文件要求的，投标无效；（3）投标保证金以采购代理机构到账凭证为准，供应商无需更换交纳凭证，由采购代理机构统一提供。（4）未按指定账户提交的，我公司将退回，供应商须在文件递交截止时间前按照指定账户再次提交。 五、本项目落实《国务院办公厅关于在政府采购中实施本国产品标准及相关政策的通知》-(国办发[2025]34号)政策:①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8月（含8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8月（含8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进口产品提供所投产品厂家授权书或总代理商授权书</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w:t>
            </w:r>
          </w:p>
        </w:tc>
        <w:tc>
          <w:tcPr>
            <w:tcW w:type="dxa" w:w="3322"/>
          </w:tcPr>
          <w:p>
            <w:pPr>
              <w:pStyle w:val="null3"/>
            </w:pPr>
            <w:r>
              <w:rPr>
                <w:rFonts w:ascii="仿宋_GB2312" w:hAnsi="仿宋_GB2312" w:cs="仿宋_GB2312" w:eastAsia="仿宋_GB2312"/>
              </w:rPr>
              <w:t>本项目为非专门面向中小企业采购。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满足本招标文件3.4商务要求中“交货时间、交货地点、质量保修范围和保修期要求、验收标准和方法、包装方式及运输”要求的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根据投标人所投产品技术参数对3.3技术参数与性能指标中“二、技术要求”的响应情况进行评审： ①标“▲”参数，供应商满足参数要求的每项得5分，满分20分。“▲”指标必须提供有效佐证材料，否则视为负偏离。 ②非“▲”参数（技术参数要求提供佐证材料的以佐证材料为准，未要求的以技术响应偏离表为准），每满足1项计0.3分，满分3分。 备注：1.标注“▲”号参数佐证材料可为检测报告或产品彩页或功能截图或官网截图或加盖厂家公章的技术说明书。 2.要求提供佐证材料的，佐证材料与技术响应偏离表响应内容不一致的，以佐证材料为准；未要求提供佐证材料的，以技术响应偏离表响应内容为准。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投标人提供针对本项目的实施方案，包括但不限于①供货组织安排、物力调配及保障措施；②安装调试方案；③实施步骤、进度计划和保证措施；④验收方案等。 满足项目实施需求，无瑕疵，计8分； 每存在一处瑕疵扣1分；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1实施方案.docx</w:t>
            </w:r>
          </w:p>
        </w:tc>
      </w:tr>
      <w:tr>
        <w:tc>
          <w:tcPr>
            <w:tcW w:type="dxa" w:w="831"/>
            <w:vMerge/>
          </w:tcPr>
          <w:p/>
        </w:tc>
        <w:tc>
          <w:tcPr>
            <w:tcW w:type="dxa" w:w="1661"/>
          </w:tcPr>
          <w:p>
            <w:pPr>
              <w:pStyle w:val="null3"/>
            </w:pPr>
            <w:r>
              <w:rPr>
                <w:rFonts w:ascii="仿宋_GB2312" w:hAnsi="仿宋_GB2312" w:cs="仿宋_GB2312" w:eastAsia="仿宋_GB2312"/>
              </w:rPr>
              <w:t>产品性能及质量保障</w:t>
            </w:r>
          </w:p>
        </w:tc>
        <w:tc>
          <w:tcPr>
            <w:tcW w:type="dxa" w:w="2492"/>
          </w:tcPr>
          <w:p>
            <w:pPr>
              <w:pStyle w:val="null3"/>
            </w:pPr>
            <w:r>
              <w:rPr>
                <w:rFonts w:ascii="仿宋_GB2312" w:hAnsi="仿宋_GB2312" w:cs="仿宋_GB2312" w:eastAsia="仿宋_GB2312"/>
              </w:rPr>
              <w:t>投标人针对本项目所投产品质量保证进行说明，包括①产品选型、性能、技术成熟度；②软硬件兼容与适配；③提供全生命周期内的质量保证承诺等。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2产品性能及质量保障.docx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投标人响应的质保期在满足招标文件的基础上，每增加一年，加2分，最多加8分。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3质保期.docx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投标人在招标文件规定的交货期要求的基础上，每提前2天加1分，本项最多计4分。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商务部分偏离表.docx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投标人针对本项目提供培训方案，方案应至少包括但不限于①培训时间计划、培训频次及培训人员安排；②培训内容设计安排（设备原理和技术性能、仪器操作、仪器维护、简单维修等）。 满足项目实施需求，无瑕疵，计2分； 每存在一处瑕疵扣0.5分； 存在4处及以上瑕疵或未提供，不计分。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投标人针对本项目有具体的售后服务方案，包括但不限于：①本地化服务能力说明、售后服务范围及保障措施；②各类问题响应解决时间、响应方式；③备品备件保障、软件升级维护；④定期回访计划安排等。 满足项目实施需求，无瑕疵，计4分； 每存在一处瑕疵扣0.5分； 存在8处及以上瑕疵或未提供，不计分。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5售后服务方案.docx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投标人针对本项目提供固定联络人及联系方式，提供配合采购人提供技术支持的承诺。 固定联络人及联系方式明确；承诺内容具体并加盖投标人公章，提供齐全得1分。未提供不计分 备注：未提供或未按照要求提供内容具体的加盖公章的承诺或承诺内容不完整的均不得分。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提供投标人或生产厂家2023年1月1日（以合同签订日期为准）至今完整业绩材料。每提供1个完整业绩材料得2分，最高得8分。 备注： ①一份完整业绩材料包括合同关键页扫描件（必须清晰体现签约主体和日期、合同名称及内容、合同金额核心要素），中标公告（中标通知书）或项目款结算发票（部分）或收款记录。 ②同类项目是指合同中必须包含本项目所投产品（同品牌同型号）。</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7业绩.docx</w:t>
            </w:r>
          </w:p>
        </w:tc>
      </w:tr>
      <w:tr>
        <w:tc>
          <w:tcPr>
            <w:tcW w:type="dxa" w:w="831"/>
            <w:vMerge/>
          </w:tcPr>
          <w:p/>
        </w:tc>
        <w:tc>
          <w:tcPr>
            <w:tcW w:type="dxa" w:w="1661"/>
          </w:tcPr>
          <w:p>
            <w:pPr>
              <w:pStyle w:val="null3"/>
            </w:pPr>
            <w:r>
              <w:rPr>
                <w:rFonts w:ascii="仿宋_GB2312" w:hAnsi="仿宋_GB2312" w:cs="仿宋_GB2312" w:eastAsia="仿宋_GB2312"/>
              </w:rPr>
              <w:t>评价</w:t>
            </w:r>
          </w:p>
        </w:tc>
        <w:tc>
          <w:tcPr>
            <w:tcW w:type="dxa" w:w="2492"/>
          </w:tcPr>
          <w:p>
            <w:pPr>
              <w:pStyle w:val="null3"/>
            </w:pPr>
            <w:r>
              <w:rPr>
                <w:rFonts w:ascii="仿宋_GB2312" w:hAnsi="仿宋_GB2312" w:cs="仿宋_GB2312" w:eastAsia="仿宋_GB2312"/>
              </w:rPr>
              <w:t>投标人每提供一份客户满意度评价计1分，满分5分。 注：满意度评价必须提供客户公章或二级部门盖章，一个客户只能提供一份满意度。</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8评价.docx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为节能产品经国家认证的计0.5分；为环境标志产品经国家认证的计0.5分，投标人所投标的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详见附件：1实施方案.docx</w:t>
      </w:r>
    </w:p>
    <w:p>
      <w:pPr>
        <w:pStyle w:val="null3"/>
        <w:ind w:firstLine="960"/>
      </w:pPr>
      <w:r>
        <w:rPr>
          <w:rFonts w:ascii="仿宋_GB2312" w:hAnsi="仿宋_GB2312" w:cs="仿宋_GB2312" w:eastAsia="仿宋_GB2312"/>
        </w:rPr>
        <w:t>详见附件：2产品性能及质量保障.docx</w:t>
      </w:r>
    </w:p>
    <w:p>
      <w:pPr>
        <w:pStyle w:val="null3"/>
        <w:ind w:firstLine="960"/>
      </w:pPr>
      <w:r>
        <w:rPr>
          <w:rFonts w:ascii="仿宋_GB2312" w:hAnsi="仿宋_GB2312" w:cs="仿宋_GB2312" w:eastAsia="仿宋_GB2312"/>
        </w:rPr>
        <w:t>详见附件：3质保期.docx</w:t>
      </w:r>
    </w:p>
    <w:p>
      <w:pPr>
        <w:pStyle w:val="null3"/>
        <w:ind w:firstLine="960"/>
      </w:pPr>
      <w:r>
        <w:rPr>
          <w:rFonts w:ascii="仿宋_GB2312" w:hAnsi="仿宋_GB2312" w:cs="仿宋_GB2312" w:eastAsia="仿宋_GB2312"/>
        </w:rPr>
        <w:t>详见附件：4培训方案.docx</w:t>
      </w:r>
    </w:p>
    <w:p>
      <w:pPr>
        <w:pStyle w:val="null3"/>
        <w:ind w:firstLine="960"/>
      </w:pPr>
      <w:r>
        <w:rPr>
          <w:rFonts w:ascii="仿宋_GB2312" w:hAnsi="仿宋_GB2312" w:cs="仿宋_GB2312" w:eastAsia="仿宋_GB2312"/>
        </w:rPr>
        <w:t>详见附件：5售后服务方案.docx</w:t>
      </w:r>
    </w:p>
    <w:p>
      <w:pPr>
        <w:pStyle w:val="null3"/>
        <w:ind w:firstLine="960"/>
      </w:pPr>
      <w:r>
        <w:rPr>
          <w:rFonts w:ascii="仿宋_GB2312" w:hAnsi="仿宋_GB2312" w:cs="仿宋_GB2312" w:eastAsia="仿宋_GB2312"/>
        </w:rPr>
        <w:t>详见附件：6承诺.docx</w:t>
      </w:r>
    </w:p>
    <w:p>
      <w:pPr>
        <w:pStyle w:val="null3"/>
        <w:ind w:firstLine="960"/>
      </w:pPr>
      <w:r>
        <w:rPr>
          <w:rFonts w:ascii="仿宋_GB2312" w:hAnsi="仿宋_GB2312" w:cs="仿宋_GB2312" w:eastAsia="仿宋_GB2312"/>
        </w:rPr>
        <w:t>详见附件：7业绩.docx</w:t>
      </w:r>
    </w:p>
    <w:p>
      <w:pPr>
        <w:pStyle w:val="null3"/>
        <w:ind w:firstLine="960"/>
      </w:pPr>
      <w:r>
        <w:rPr>
          <w:rFonts w:ascii="仿宋_GB2312" w:hAnsi="仿宋_GB2312" w:cs="仿宋_GB2312" w:eastAsia="仿宋_GB2312"/>
        </w:rPr>
        <w:t>详见附件：8评价.docx</w:t>
      </w:r>
    </w:p>
    <w:p>
      <w:pPr>
        <w:pStyle w:val="null3"/>
        <w:ind w:firstLine="960"/>
      </w:pPr>
      <w:r>
        <w:rPr>
          <w:rFonts w:ascii="仿宋_GB2312" w:hAnsi="仿宋_GB2312" w:cs="仿宋_GB2312" w:eastAsia="仿宋_GB2312"/>
        </w:rPr>
        <w:t>详见附件：9节能环保.docx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