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版本号：SDZC2026-06620260612001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全数字3.0T磁共振和多排螺旋CT维保服务项目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SDZC2026-066</w:t>
      </w:r>
      <w:r>
        <w:br/>
      </w:r>
      <w:r>
        <w:br/>
      </w:r>
      <w:r>
        <w:br/>
      </w:r>
    </w:p>
    <w:p>
      <w:pPr>
        <w:pStyle w:val="null3"/>
        <w:jc w:val="center"/>
        <w:outlineLvl w:val="2"/>
      </w:pPr>
      <w:r>
        <w:rPr>
          <w:rFonts w:ascii="仿宋_GB2312" w:hAnsi="仿宋_GB2312" w:cs="仿宋_GB2312" w:eastAsia="仿宋_GB2312"/>
          <w:sz w:val="28"/>
          <w:b/>
        </w:rPr>
        <w:t>蒲城县医院</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蒲城县医院</w:t>
      </w:r>
      <w:r>
        <w:rPr>
          <w:rFonts w:ascii="仿宋_GB2312" w:hAnsi="仿宋_GB2312" w:cs="仿宋_GB2312" w:eastAsia="仿宋_GB2312"/>
        </w:rPr>
        <w:t>委托，拟对</w:t>
      </w:r>
      <w:r>
        <w:rPr>
          <w:rFonts w:ascii="仿宋_GB2312" w:hAnsi="仿宋_GB2312" w:cs="仿宋_GB2312" w:eastAsia="仿宋_GB2312"/>
        </w:rPr>
        <w:t>全数字3.0T磁共振和多排螺旋CT维保服务项目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SDZC2026-066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全数字3.0T磁共振和多排螺旋CT维保服务项目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全数字3.0T磁共振和多排螺旋CT维保服务项目</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采购包1（全数字3.0T磁共振和多排螺旋CT维保服务项目）：属于专门面向中小企业采购。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1、提供供应商合法注册的法人或者其他组织的营业执照等证明文件、自然人的身份证明：提供供应商合法注册的法人或者其他组织的营业执照等证明文件、自然人的身份证明；</w:t>
      </w:r>
    </w:p>
    <w:p>
      <w:pPr>
        <w:pStyle w:val="null3"/>
      </w:pPr>
      <w:r>
        <w:rPr>
          <w:rFonts w:ascii="仿宋_GB2312" w:hAnsi="仿宋_GB2312" w:cs="仿宋_GB2312" w:eastAsia="仿宋_GB2312"/>
        </w:rPr>
        <w:t>2、财务状况报告：财务状况报告：提供具有财务审计资质单位出具合法有效的2024年度或2025年度财务报告（成立时间至开标时间不足一年的可提供成立后任意时段的资产负债表）或其基本开⼾银⾏出具的资信证明或政府采购信用担保机构出具的担保函；</w:t>
      </w:r>
    </w:p>
    <w:p>
      <w:pPr>
        <w:pStyle w:val="null3"/>
      </w:pPr>
      <w:r>
        <w:rPr>
          <w:rFonts w:ascii="仿宋_GB2312" w:hAnsi="仿宋_GB2312" w:cs="仿宋_GB2312" w:eastAsia="仿宋_GB2312"/>
        </w:rPr>
        <w:t>3、税收缴纳证明：税收缴纳证明：提供2025年6月至今任意一个月的税收缴纳凭据（增值税、企业所得税至少提供一种，依法免税的投标人应提供相关文件证明）；</w:t>
      </w:r>
    </w:p>
    <w:p>
      <w:pPr>
        <w:pStyle w:val="null3"/>
      </w:pPr>
      <w:r>
        <w:rPr>
          <w:rFonts w:ascii="仿宋_GB2312" w:hAnsi="仿宋_GB2312" w:cs="仿宋_GB2312" w:eastAsia="仿宋_GB2312"/>
        </w:rPr>
        <w:t>4、社会保障资金缴纳证明：社会保障资金缴纳证明：提供2025年12月至今任意一个月的社保缴纳凭据或社保机构开具的社会保险参保缴纳情况证明（依法不需要缴纳社会保障资金的投标人应提供相关证明）；</w:t>
      </w:r>
    </w:p>
    <w:p>
      <w:pPr>
        <w:pStyle w:val="null3"/>
      </w:pPr>
      <w:r>
        <w:rPr>
          <w:rFonts w:ascii="仿宋_GB2312" w:hAnsi="仿宋_GB2312" w:cs="仿宋_GB2312" w:eastAsia="仿宋_GB2312"/>
        </w:rPr>
        <w:t>5、提供具有履行本合同所必需的设备和专业技术能力的说明及承诺：提供具有履行本合同所必需的设备和专业技术能力的说明及承诺（提供书面承诺，加盖投标人公章）；</w:t>
      </w:r>
    </w:p>
    <w:p>
      <w:pPr>
        <w:pStyle w:val="null3"/>
      </w:pPr>
      <w:r>
        <w:rPr>
          <w:rFonts w:ascii="仿宋_GB2312" w:hAnsi="仿宋_GB2312" w:cs="仿宋_GB2312" w:eastAsia="仿宋_GB2312"/>
        </w:rPr>
        <w:t>6、提供参加政府采购活动前三年内在经营活动中没有重大违法记录的书面声明：提供参加政府采购活动前三年内在经营活动中没有重大违法记录的书面声明（提供书面声明，加盖投标人公章）；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及被授权人身份证复印件、同时提供被授权人2026年3月至今任意一个月在本单位的社保资金缴纳凭证）；法定代表人直接参加投标提供法定代表人资格证明书（附法定代表人身份证复印件）；采购文件凡是法定代表人之处，非法人单位的负责人均参照执行(式样见文件格式)；</w:t>
      </w:r>
    </w:p>
    <w:p>
      <w:pPr>
        <w:pStyle w:val="null3"/>
      </w:pPr>
      <w:r>
        <w:rPr>
          <w:rFonts w:ascii="仿宋_GB2312" w:hAnsi="仿宋_GB2312" w:cs="仿宋_GB2312" w:eastAsia="仿宋_GB2312"/>
        </w:rPr>
        <w:t>8、投标保证金交纳凭证或担保函：投标保证金交纳凭证或担保函（投标保证金交纳凭证为银行凭证及基本账户证明资料，担保函为财政部门认可的政府采购信用担保机构出具）；</w:t>
      </w:r>
    </w:p>
    <w:p>
      <w:pPr>
        <w:pStyle w:val="null3"/>
      </w:pPr>
      <w:r>
        <w:rPr>
          <w:rFonts w:ascii="仿宋_GB2312" w:hAnsi="仿宋_GB2312" w:cs="仿宋_GB2312" w:eastAsia="仿宋_GB2312"/>
        </w:rPr>
        <w:t>9、信用查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由代理机构在“信用中国”网站和中国政府采购网站进行查询，截图留档；如网站无投标人信息的，投标人须提供相关证明资料或书面声明）；</w:t>
      </w:r>
    </w:p>
    <w:p>
      <w:pPr>
        <w:pStyle w:val="null3"/>
      </w:pPr>
      <w:r>
        <w:rPr>
          <w:rFonts w:ascii="仿宋_GB2312" w:hAnsi="仿宋_GB2312" w:cs="仿宋_GB2312" w:eastAsia="仿宋_GB2312"/>
        </w:rPr>
        <w:t>10、控股关系查询：单位负责人为同一人或者存在直接控股、管理关系的不同投标人，不得参加同一合同项下的政府采购活动（根据财库【2019】38号文规定，此项在投标截止日当天由代理机构在“国家企业信用信息公示系统”进行查询，截图留档；如网站无投标人信息的，投标人须提供相关证明资料或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蒲城县医院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蒲城县延安街14号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0913-7205811</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西安市经开区凤城八路正尚国际金融广场A座7层703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宋芳芳（4号工位）、王涛、魏蕾</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029-86673953/86518381/89299829/89293231转804</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0913-7255613</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开户银行：西安银行股份有限公司文景路支行</w:t>
            </w:r>
          </w:p>
          <w:p>
            <w:pPr>
              <w:pStyle w:val="null3"/>
            </w:pPr>
            <w:r>
              <w:rPr>
                <w:rFonts w:ascii="仿宋_GB2312" w:hAnsi="仿宋_GB2312" w:cs="仿宋_GB2312" w:eastAsia="仿宋_GB2312"/>
              </w:rPr>
              <w:t>银行账号：7070 1151 0000 0135 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原《国家计委关于印发&lt;招标代理服务收费管理暂行办法&gt;的通知》(计价格〔2002〕1980号)、《国家发展改革委关于降低部分建设项目收费标准规范收费行为等有关问题的通知》(发改价格〔2011〕534号)规定执行。财务部联系方式： 029-86673953、86518381、89299829、89293231 转814或813 备注：投标人在汇款时须注明项目编号+项目简称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蒲城县医院</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蒲城县医院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蒲城县医院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以招标文件、合同要求为准。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联系人：宋芳芳、王涛、魏蕾</w:t>
      </w:r>
    </w:p>
    <w:p>
      <w:pPr>
        <w:pStyle w:val="null3"/>
      </w:pPr>
      <w:r>
        <w:rPr>
          <w:rFonts w:ascii="仿宋_GB2312" w:hAnsi="仿宋_GB2312" w:cs="仿宋_GB2312" w:eastAsia="仿宋_GB2312"/>
        </w:rPr>
        <w:t>联系电话：029-86673953转804</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全数字3.0T磁共振和多排螺旋CT维保服务项目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全数字3.0T磁共振和多排螺旋CT维保服务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标的名称：全数字3.0T磁共振和多排螺旋CT维保服务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rPr>
              <w:t>一、维保对象：飞利浦 Brilliance iCT 、飞利浦 Ingenia 3.0T 磁共振</w:t>
            </w:r>
          </w:p>
          <w:p>
            <w:pPr>
              <w:pStyle w:val="null3"/>
            </w:pPr>
            <w:r>
              <w:rPr>
                <w:rFonts w:ascii="仿宋_GB2312" w:hAnsi="仿宋_GB2312" w:cs="仿宋_GB2312" w:eastAsia="仿宋_GB2312"/>
              </w:rPr>
              <w:t>二、服务期限：三年（预算为一年的费用，当年考核合格，续签下一年合同）</w:t>
            </w:r>
          </w:p>
          <w:p>
            <w:pPr>
              <w:pStyle w:val="null3"/>
            </w:pPr>
            <w:r>
              <w:rPr>
                <w:rFonts w:ascii="仿宋_GB2312" w:hAnsi="仿宋_GB2312" w:cs="仿宋_GB2312" w:eastAsia="仿宋_GB2312"/>
              </w:rPr>
              <w:t>三、服务类型：整机全年保养，不限次数的现场人工服务，零备件更换。</w:t>
            </w:r>
          </w:p>
          <w:p>
            <w:pPr>
              <w:pStyle w:val="null3"/>
            </w:pPr>
            <w:r>
              <w:rPr>
                <w:rFonts w:ascii="仿宋_GB2312" w:hAnsi="仿宋_GB2312" w:cs="仿宋_GB2312" w:eastAsia="仿宋_GB2312"/>
              </w:rPr>
              <w:t>四、服务内容：</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序号</w:t>
                  </w:r>
                </w:p>
              </w:tc>
              <w:tc>
                <w:tcPr>
                  <w:tcW w:type="dxa" w:w="1276"/>
                </w:tcPr>
                <w:p>
                  <w:pPr>
                    <w:pStyle w:val="null3"/>
                  </w:pPr>
                  <w:r>
                    <w:rPr>
                      <w:rFonts w:ascii="仿宋_GB2312" w:hAnsi="仿宋_GB2312" w:cs="仿宋_GB2312" w:eastAsia="仿宋_GB2312"/>
                    </w:rPr>
                    <w:t>服务内容</w:t>
                  </w:r>
                </w:p>
              </w:tc>
            </w:tr>
            <w:tr>
              <w:tc>
                <w:tcPr>
                  <w:tcW w:type="dxa" w:w="1276"/>
                </w:tcPr>
                <w:p>
                  <w:pPr>
                    <w:pStyle w:val="null3"/>
                  </w:pPr>
                  <w:r>
                    <w:rPr>
                      <w:rFonts w:ascii="仿宋_GB2312" w:hAnsi="仿宋_GB2312" w:cs="仿宋_GB2312" w:eastAsia="仿宋_GB2312"/>
                    </w:rPr>
                    <w:t>1</w:t>
                  </w:r>
                </w:p>
              </w:tc>
              <w:tc>
                <w:tcPr>
                  <w:tcW w:type="dxa" w:w="1276"/>
                </w:tcPr>
                <w:p>
                  <w:pPr>
                    <w:pStyle w:val="null3"/>
                  </w:pPr>
                  <w:r>
                    <w:rPr>
                      <w:rFonts w:ascii="仿宋_GB2312" w:hAnsi="仿宋_GB2312" w:cs="仿宋_GB2312" w:eastAsia="仿宋_GB2312"/>
                    </w:rPr>
                    <w:t>128排CT整机质保：提供飞利浦 Brilliance iCT 整机维保服务，覆盖整机所有核心部件及系统，包括但不限于球管、探测器、高压发生器、数据采集系统、后处理工作站、扫描床及所属辅件（第三方外围设备除外，在服务期限内如未更换球管，服务期结束时提供一支全新球管）</w:t>
                  </w:r>
                </w:p>
              </w:tc>
            </w:tr>
            <w:tr>
              <w:tc>
                <w:tcPr>
                  <w:tcW w:type="dxa" w:w="1276"/>
                </w:tcPr>
                <w:p>
                  <w:pPr>
                    <w:pStyle w:val="null3"/>
                  </w:pPr>
                  <w:r>
                    <w:rPr>
                      <w:rFonts w:ascii="仿宋_GB2312" w:hAnsi="仿宋_GB2312" w:cs="仿宋_GB2312" w:eastAsia="仿宋_GB2312"/>
                    </w:rPr>
                    <w:t>2</w:t>
                  </w:r>
                </w:p>
              </w:tc>
              <w:tc>
                <w:tcPr>
                  <w:tcW w:type="dxa" w:w="1276"/>
                </w:tcPr>
                <w:p>
                  <w:pPr>
                    <w:pStyle w:val="null3"/>
                  </w:pPr>
                  <w:r>
                    <w:rPr>
                      <w:rFonts w:ascii="仿宋_GB2312" w:hAnsi="仿宋_GB2312" w:cs="仿宋_GB2312" w:eastAsia="仿宋_GB2312"/>
                    </w:rPr>
                    <w:t>3.0T磁共振整机质保：提供飞利浦 Ingenia 3.0T 磁共振维保服务，覆盖磁体系统（含磁体、诊断线圈）、电子系统（梯度柜、射频柜、系统柜、计算机、扫描床及辅件）、制冷系统（冷头、吸附器、氦压缩机、高低压氦气管）、液氦正常消耗、配套精密空调、室外水冷机组、稳压电源（第三方外围设备除外）。</w:t>
                  </w:r>
                </w:p>
              </w:tc>
            </w:tr>
            <w:tr>
              <w:tc>
                <w:tcPr>
                  <w:tcW w:type="dxa" w:w="1276"/>
                </w:tcPr>
                <w:p>
                  <w:pPr>
                    <w:pStyle w:val="null3"/>
                  </w:pPr>
                  <w:r>
                    <w:rPr>
                      <w:rFonts w:ascii="仿宋_GB2312" w:hAnsi="仿宋_GB2312" w:cs="仿宋_GB2312" w:eastAsia="仿宋_GB2312"/>
                    </w:rPr>
                    <w:t>3</w:t>
                  </w:r>
                </w:p>
              </w:tc>
              <w:tc>
                <w:tcPr>
                  <w:tcW w:type="dxa" w:w="1276"/>
                </w:tcPr>
                <w:p>
                  <w:pPr>
                    <w:pStyle w:val="null3"/>
                  </w:pPr>
                  <w:r>
                    <w:rPr>
                      <w:rFonts w:ascii="仿宋_GB2312" w:hAnsi="仿宋_GB2312" w:cs="仿宋_GB2312" w:eastAsia="仿宋_GB2312"/>
                    </w:rPr>
                    <w:t>附属设备维保：全影像科所有巨鲨医用显示器整机保修及定期维护，确保满足临床诊断影像质量要求。</w:t>
                  </w:r>
                </w:p>
              </w:tc>
            </w:tr>
            <w:tr>
              <w:tc>
                <w:tcPr>
                  <w:tcW w:type="dxa" w:w="1276"/>
                </w:tcPr>
                <w:p>
                  <w:pPr>
                    <w:pStyle w:val="null3"/>
                  </w:pPr>
                  <w:r>
                    <w:rPr>
                      <w:rFonts w:ascii="仿宋_GB2312" w:hAnsi="仿宋_GB2312" w:cs="仿宋_GB2312" w:eastAsia="仿宋_GB2312"/>
                    </w:rPr>
                    <w:t>4</w:t>
                  </w:r>
                </w:p>
              </w:tc>
              <w:tc>
                <w:tcPr>
                  <w:tcW w:type="dxa" w:w="1276"/>
                </w:tcPr>
                <w:p>
                  <w:pPr>
                    <w:pStyle w:val="null3"/>
                  </w:pPr>
                  <w:r>
                    <w:rPr>
                      <w:rFonts w:ascii="仿宋_GB2312" w:hAnsi="仿宋_GB2312" w:cs="仿宋_GB2312" w:eastAsia="仿宋_GB2312"/>
                    </w:rPr>
                    <w:t>提供头颈CTA影像智能辅助诊断系统、医学影像报告AI质控系统功能及部署。</w:t>
                  </w:r>
                </w:p>
              </w:tc>
            </w:tr>
          </w:tbl>
          <w:p>
            <w:pPr>
              <w:pStyle w:val="null3"/>
            </w:pPr>
            <w:r>
              <w:rPr>
                <w:rFonts w:ascii="仿宋_GB2312" w:hAnsi="仿宋_GB2312" w:cs="仿宋_GB2312" w:eastAsia="仿宋_GB2312"/>
              </w:rPr>
              <w:t>五、服务要求</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序号</w:t>
                  </w:r>
                </w:p>
              </w:tc>
              <w:tc>
                <w:tcPr>
                  <w:tcW w:type="dxa" w:w="1276"/>
                </w:tcPr>
                <w:p>
                  <w:pPr>
                    <w:pStyle w:val="null3"/>
                  </w:pPr>
                  <w:r>
                    <w:rPr>
                      <w:rFonts w:ascii="仿宋_GB2312" w:hAnsi="仿宋_GB2312" w:cs="仿宋_GB2312" w:eastAsia="仿宋_GB2312"/>
                    </w:rPr>
                    <w:t>服务要求</w:t>
                  </w:r>
                </w:p>
              </w:tc>
            </w:tr>
            <w:tr>
              <w:tc>
                <w:tcPr>
                  <w:tcW w:type="dxa" w:w="1276"/>
                </w:tcPr>
                <w:p>
                  <w:pPr>
                    <w:pStyle w:val="null3"/>
                  </w:pPr>
                  <w:r>
                    <w:rPr>
                      <w:rFonts w:ascii="仿宋_GB2312" w:hAnsi="仿宋_GB2312" w:cs="仿宋_GB2312" w:eastAsia="仿宋_GB2312"/>
                    </w:rPr>
                    <w:t>1</w:t>
                  </w:r>
                </w:p>
              </w:tc>
              <w:tc>
                <w:tcPr>
                  <w:tcW w:type="dxa" w:w="1276"/>
                </w:tcPr>
                <w:p>
                  <w:pPr>
                    <w:pStyle w:val="null3"/>
                  </w:pPr>
                  <w:r>
                    <w:rPr>
                      <w:rFonts w:ascii="仿宋_GB2312" w:hAnsi="仿宋_GB2312" w:cs="仿宋_GB2312" w:eastAsia="仿宋_GB2312"/>
                    </w:rPr>
                    <w:t>服务响应：24×365 天维修热线服务，1小时内电话响应，8小时内到达现场。</w:t>
                  </w:r>
                </w:p>
              </w:tc>
            </w:tr>
            <w:tr>
              <w:tc>
                <w:tcPr>
                  <w:tcW w:type="dxa" w:w="1276"/>
                </w:tcPr>
                <w:p>
                  <w:pPr>
                    <w:pStyle w:val="null3"/>
                  </w:pPr>
                  <w:r>
                    <w:rPr>
                      <w:rFonts w:ascii="仿宋_GB2312" w:hAnsi="仿宋_GB2312" w:cs="仿宋_GB2312" w:eastAsia="仿宋_GB2312"/>
                    </w:rPr>
                    <w:t>2</w:t>
                  </w:r>
                </w:p>
              </w:tc>
              <w:tc>
                <w:tcPr>
                  <w:tcW w:type="dxa" w:w="1276"/>
                </w:tcPr>
                <w:p>
                  <w:pPr>
                    <w:pStyle w:val="null3"/>
                  </w:pPr>
                  <w:r>
                    <w:rPr>
                      <w:rFonts w:ascii="仿宋_GB2312" w:hAnsi="仿宋_GB2312" w:cs="仿宋_GB2312" w:eastAsia="仿宋_GB2312"/>
                    </w:rPr>
                    <w:t>开机率：设备年开机率≥95%（全年按 365 天计算，年停机天数≤18天）；单次故障维修≤3天。每超出 1 天，保修顺延5天。</w:t>
                  </w:r>
                </w:p>
              </w:tc>
            </w:tr>
            <w:tr>
              <w:tc>
                <w:tcPr>
                  <w:tcW w:type="dxa" w:w="1276"/>
                </w:tcPr>
                <w:p>
                  <w:pPr>
                    <w:pStyle w:val="null3"/>
                  </w:pPr>
                  <w:r>
                    <w:rPr>
                      <w:rFonts w:ascii="仿宋_GB2312" w:hAnsi="仿宋_GB2312" w:cs="仿宋_GB2312" w:eastAsia="仿宋_GB2312"/>
                    </w:rPr>
                    <w:t>3</w:t>
                  </w:r>
                </w:p>
              </w:tc>
              <w:tc>
                <w:tcPr>
                  <w:tcW w:type="dxa" w:w="1276"/>
                </w:tcPr>
                <w:p>
                  <w:pPr>
                    <w:pStyle w:val="null3"/>
                  </w:pPr>
                  <w:r>
                    <w:rPr>
                      <w:rFonts w:ascii="仿宋_GB2312" w:hAnsi="仿宋_GB2312" w:cs="仿宋_GB2312" w:eastAsia="仿宋_GB2312"/>
                    </w:rPr>
                    <w:t>定期保养服务：每年≥4 次全面设备检测与保养，出具详细保养报告单；</w:t>
                  </w:r>
                </w:p>
                <w:p>
                  <w:pPr>
                    <w:pStyle w:val="null3"/>
                  </w:pPr>
                  <w:r>
                    <w:rPr>
                      <w:rFonts w:ascii="仿宋_GB2312" w:hAnsi="仿宋_GB2312" w:cs="仿宋_GB2312" w:eastAsia="仿宋_GB2312"/>
                    </w:rPr>
                    <w:t>保养内容包括安全检查、影像质量检查、设备清洁、性能测试校准、运行状态评估等。</w:t>
                  </w:r>
                </w:p>
              </w:tc>
            </w:tr>
            <w:tr>
              <w:tc>
                <w:tcPr>
                  <w:tcW w:type="dxa" w:w="1276"/>
                </w:tcPr>
                <w:p>
                  <w:pPr>
                    <w:pStyle w:val="null3"/>
                  </w:pPr>
                  <w:r>
                    <w:rPr>
                      <w:rFonts w:ascii="仿宋_GB2312" w:hAnsi="仿宋_GB2312" w:cs="仿宋_GB2312" w:eastAsia="仿宋_GB2312"/>
                    </w:rPr>
                    <w:t>4</w:t>
                  </w:r>
                </w:p>
              </w:tc>
              <w:tc>
                <w:tcPr>
                  <w:tcW w:type="dxa" w:w="1276"/>
                </w:tcPr>
                <w:p>
                  <w:pPr>
                    <w:pStyle w:val="null3"/>
                  </w:pPr>
                  <w:r>
                    <w:rPr>
                      <w:rFonts w:ascii="仿宋_GB2312" w:hAnsi="仿宋_GB2312" w:cs="仿宋_GB2312" w:eastAsia="仿宋_GB2312"/>
                    </w:rPr>
                    <w:t>质量控制：提供的备品、配件需为全新备品、配件，更换关键部件时需提供合法来源渠道证明材料。维保设备每次出现故障修复后，相关技术指标、参数、性能、校准数据，必须符合设备的技术要求，以及国家规定的强制标准。需提供承诺函。</w:t>
                  </w:r>
                </w:p>
              </w:tc>
            </w:tr>
            <w:tr>
              <w:tc>
                <w:tcPr>
                  <w:tcW w:type="dxa" w:w="1276"/>
                </w:tcPr>
                <w:p>
                  <w:pPr>
                    <w:pStyle w:val="null3"/>
                  </w:pPr>
                  <w:r>
                    <w:rPr>
                      <w:rFonts w:ascii="仿宋_GB2312" w:hAnsi="仿宋_GB2312" w:cs="仿宋_GB2312" w:eastAsia="仿宋_GB2312"/>
                    </w:rPr>
                    <w:t>5</w:t>
                  </w:r>
                </w:p>
              </w:tc>
              <w:tc>
                <w:tcPr>
                  <w:tcW w:type="dxa" w:w="1276"/>
                </w:tcPr>
                <w:p>
                  <w:pPr>
                    <w:pStyle w:val="null3"/>
                  </w:pPr>
                  <w:r>
                    <w:rPr>
                      <w:rFonts w:ascii="仿宋_GB2312" w:hAnsi="仿宋_GB2312" w:cs="仿宋_GB2312" w:eastAsia="仿宋_GB2312"/>
                    </w:rPr>
                    <w:t>配合国家相关部门对设备的检测工作，发现问题及时处理。</w:t>
                  </w:r>
                </w:p>
              </w:tc>
            </w:tr>
            <w:tr>
              <w:tc>
                <w:tcPr>
                  <w:tcW w:type="dxa" w:w="1276"/>
                </w:tcPr>
                <w:p>
                  <w:pPr>
                    <w:pStyle w:val="null3"/>
                  </w:pPr>
                  <w:r>
                    <w:rPr>
                      <w:rFonts w:ascii="仿宋_GB2312" w:hAnsi="仿宋_GB2312" w:cs="仿宋_GB2312" w:eastAsia="仿宋_GB2312"/>
                    </w:rPr>
                    <w:t>6</w:t>
                  </w:r>
                </w:p>
              </w:tc>
              <w:tc>
                <w:tcPr>
                  <w:tcW w:type="dxa" w:w="1276"/>
                </w:tcPr>
                <w:p>
                  <w:pPr>
                    <w:pStyle w:val="null3"/>
                  </w:pPr>
                  <w:r>
                    <w:rPr>
                      <w:rFonts w:ascii="仿宋_GB2312" w:hAnsi="仿宋_GB2312" w:cs="仿宋_GB2312" w:eastAsia="仿宋_GB2312"/>
                    </w:rPr>
                    <w:t>每年向院方提交该设备维修保养总结报告，并装订成册。</w:t>
                  </w:r>
                </w:p>
              </w:tc>
            </w:tr>
            <w:tr>
              <w:tc>
                <w:tcPr>
                  <w:tcW w:type="dxa" w:w="1276"/>
                </w:tcPr>
                <w:p>
                  <w:pPr>
                    <w:pStyle w:val="null3"/>
                  </w:pPr>
                  <w:r>
                    <w:rPr>
                      <w:rFonts w:ascii="仿宋_GB2312" w:hAnsi="仿宋_GB2312" w:cs="仿宋_GB2312" w:eastAsia="仿宋_GB2312"/>
                    </w:rPr>
                    <w:t>7</w:t>
                  </w:r>
                </w:p>
              </w:tc>
              <w:tc>
                <w:tcPr>
                  <w:tcW w:type="dxa" w:w="1276"/>
                </w:tcPr>
                <w:p>
                  <w:pPr>
                    <w:pStyle w:val="null3"/>
                  </w:pPr>
                  <w:r>
                    <w:rPr>
                      <w:rFonts w:ascii="仿宋_GB2312" w:hAnsi="仿宋_GB2312" w:cs="仿宋_GB2312" w:eastAsia="仿宋_GB2312"/>
                    </w:rPr>
                    <w:t>提供头颈CTA影像智能辅助诊断系统功能</w:t>
                  </w:r>
                </w:p>
                <w:p>
                  <w:pPr>
                    <w:pStyle w:val="null3"/>
                  </w:pPr>
                  <w:r>
                    <w:rPr>
                      <w:rFonts w:ascii="仿宋_GB2312" w:hAnsi="仿宋_GB2312" w:cs="仿宋_GB2312" w:eastAsia="仿宋_GB2312"/>
                    </w:rPr>
                    <w:t>1.具备国家药监局第三类医疗器械注册证，提供证明材料。</w:t>
                  </w:r>
                </w:p>
                <w:p>
                  <w:pPr>
                    <w:pStyle w:val="null3"/>
                  </w:pPr>
                  <w:r>
                    <w:rPr>
                      <w:rFonts w:ascii="仿宋_GB2312" w:hAnsi="仿宋_GB2312" w:cs="仿宋_GB2312" w:eastAsia="仿宋_GB2312"/>
                    </w:rPr>
                    <w:t>2.经临床验证图像自动后处理合格率≥90% ，提供证明材料。</w:t>
                  </w:r>
                </w:p>
                <w:p>
                  <w:pPr>
                    <w:pStyle w:val="null3"/>
                  </w:pPr>
                  <w:r>
                    <w:rPr>
                      <w:rFonts w:ascii="仿宋_GB2312" w:hAnsi="仿宋_GB2312" w:cs="仿宋_GB2312" w:eastAsia="仿宋_GB2312"/>
                    </w:rPr>
                    <w:t>3.经临床验证，基于血管层面，对于≥50% 的狭窄，准确性≥90%，敏感性≥90%，提供证明材料。</w:t>
                  </w:r>
                </w:p>
                <w:p>
                  <w:pPr>
                    <w:pStyle w:val="null3"/>
                  </w:pPr>
                  <w:r>
                    <w:rPr>
                      <w:rFonts w:ascii="仿宋_GB2312" w:hAnsi="仿宋_GB2312" w:cs="仿宋_GB2312" w:eastAsia="仿宋_GB2312"/>
                    </w:rPr>
                    <w:t>4.系统具备血管斑块智能诊断功能：可疑血管斑块检出、血管斑块位置标记、血管管壁斑块分类、管腔狭窄程度评估等。</w:t>
                  </w:r>
                </w:p>
                <w:p>
                  <w:pPr>
                    <w:pStyle w:val="null3"/>
                  </w:pPr>
                  <w:r>
                    <w:rPr>
                      <w:rFonts w:ascii="仿宋_GB2312" w:hAnsi="仿宋_GB2312" w:cs="仿宋_GB2312" w:eastAsia="仿宋_GB2312"/>
                    </w:rPr>
                    <w:t>5.系统具备颅内动脉瘤智能诊断功能：可疑颅内动脉瘤检出、颅内动脉瘤标记定位颅内动脉瘤、针对动脉瘤的 VR 图像展示、颅内动脉瘤直径测量等。</w:t>
                  </w:r>
                </w:p>
              </w:tc>
            </w:tr>
            <w:tr>
              <w:tc>
                <w:tcPr>
                  <w:tcW w:type="dxa" w:w="1276"/>
                </w:tcPr>
                <w:p>
                  <w:pPr>
                    <w:pStyle w:val="null3"/>
                  </w:pPr>
                  <w:r>
                    <w:rPr>
                      <w:rFonts w:ascii="仿宋_GB2312" w:hAnsi="仿宋_GB2312" w:cs="仿宋_GB2312" w:eastAsia="仿宋_GB2312"/>
                    </w:rPr>
                    <w:t>8</w:t>
                  </w:r>
                </w:p>
              </w:tc>
              <w:tc>
                <w:tcPr>
                  <w:tcW w:type="dxa" w:w="1276"/>
                </w:tcPr>
                <w:p>
                  <w:pPr>
                    <w:pStyle w:val="null3"/>
                  </w:pPr>
                  <w:r>
                    <w:rPr>
                      <w:rFonts w:ascii="仿宋_GB2312" w:hAnsi="仿宋_GB2312" w:cs="仿宋_GB2312" w:eastAsia="仿宋_GB2312"/>
                    </w:rPr>
                    <w:t>提供医学影像报告 AI 质控系统功能</w:t>
                  </w:r>
                </w:p>
                <w:p>
                  <w:pPr>
                    <w:pStyle w:val="null3"/>
                  </w:pPr>
                  <w:r>
                    <w:rPr>
                      <w:rFonts w:ascii="仿宋_GB2312" w:hAnsi="仿宋_GB2312" w:cs="仿宋_GB2312" w:eastAsia="仿宋_GB2312"/>
                    </w:rPr>
                    <w:t>1.具备多维度自动质控检测功能，可实现报告完整性检测。</w:t>
                  </w:r>
                </w:p>
                <w:p>
                  <w:pPr>
                    <w:pStyle w:val="null3"/>
                  </w:pPr>
                  <w:r>
                    <w:rPr>
                      <w:rFonts w:ascii="仿宋_GB2312" w:hAnsi="仿宋_GB2312" w:cs="仿宋_GB2312" w:eastAsia="仿宋_GB2312"/>
                    </w:rPr>
                    <w:t>2.实时质控通过直连设备的方式，秒级反馈报告质控结果。</w:t>
                  </w:r>
                </w:p>
                <w:p>
                  <w:pPr>
                    <w:pStyle w:val="null3"/>
                  </w:pPr>
                  <w:r>
                    <w:rPr>
                      <w:rFonts w:ascii="仿宋_GB2312" w:hAnsi="仿宋_GB2312" w:cs="仿宋_GB2312" w:eastAsia="仿宋_GB2312"/>
                    </w:rPr>
                    <w:t>3.具备提供AI自动报告质控，智能识别检查部位等指标。</w:t>
                  </w: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注：以上要求为实质性要求，不得负偏离。</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根据项目情况按需配备。</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根据项目情况按需配备。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三年（预算为一年的费用，当年考核合格，续签下一年合同）</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蒲城县医院</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1、按国家现行项目实施规范和合同规定的验收评定标准等要求进行验收。2、验收以合同、招标文件、投标文件、合同等为依据3、每次维修后组织验收。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预付款，甲乙双方合同签订后，甲方收到乙方开具的发票后，达到付款条件起30个工作日内，支付合同总金额的50.0%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进度款，设备正常维保半年后，甲方收到乙方开具的发票后，达到付款条件起30个工作日内，支付合同总金额的40.0%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进度款，设备正常维保一年后，甲方收到乙方开具的发票后，达到付款条件起30个工作日内，支付合同总金额的10.0%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2.未按合同要求提供产品或产品质量不能满足技术要求，采购人有权终止合同，并对供方违约行为进行追究，同时按《中华人民共和国政府采购法》的有关规定进行处罚。</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1.退还保证金： 1.1在投标截止时间前撤回已提交投标文件的投标人的投标保证金，将在招标代理机构收到投标人书面撤回通知之日起5个工作日内退还。1.2所有未中标人的投标保证金，将在中标通知书发出后5个工作日内退还。1.3中标人的投标保证金在签订合同后，执合同予以5个工作日内退还。2、中标人在领取中标通知书时，向采购代理机构提供一正两副纸质投标文件用于备案及档案保存（纸质投标文件采用书籍（胶装）方式装订成册，与电子投标文件一致的签字、盖章的完整版本（正本为红章，副本不作要求））。</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应商需在项目电子化交易系统中按要求上传相应证明文件并进行电子签章。本项与“财务状况报告”为同一审查内容。</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供应商需在项目电子化交易系统中按要求填写《投标函》完成承诺并进行电子签章。本项目与“控股关系查询”为同一审查内容。</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3322"/>
          </w:tcPr>
          <w:p>
            <w:pPr>
              <w:pStyle w:val="null3"/>
            </w:pPr>
            <w:r>
              <w:rPr>
                <w:rFonts w:ascii="仿宋_GB2312" w:hAnsi="仿宋_GB2312" w:cs="仿宋_GB2312" w:eastAsia="仿宋_GB2312"/>
              </w:rPr>
              <w:t>提供供应商合法注册的法人或者其他组织的营业执照等证明文件、自然人的身份证明；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财务状况报告：提供具有财务审计资质单位出具合法有效的2024年度或2025年度财务报告（成立时间至开标时间不足一年的可提供成立后任意时段的资产负债表）或其基本开⼾银⾏出具的资信证明或政府采购信用担保机构出具的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税收缴纳证明：提供2025年6月至今任意一个月的税收缴纳凭据（增值税、企业所得税至少提供一种，依法免税的投标人应提供相关文件证明）；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社会保障资金缴纳证明：提供2025年12月至今任意一个月的社保缴纳凭据或社保机构开具的社会保险参保缴纳情况证明（依法不需要缴纳社会保障资金的投标人应提供相关证明）；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提供具有履行本合同所必需的设备和专业技术能力的说明及承诺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提供参加政府采购活动前三年内在经营活动中没有重大违法记录的书面声明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及被授权人身份证复印件、同时提供被授权人2026年3月至今任意一个月在本单位的社保资金缴纳凭证）；法定代表人直接参加投标提供法定代表人资格证明书（附法定代表人身份证复印件）；采购文件凡是法定代表人之处，非法人单位的负责人均参照执行(式样见文件格式)；</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投标保证金交纳凭证或担保函</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投标保证金交纳凭证或担保函（投标保证金交纳凭证为银行凭证及基本账户证明资料，担保函为财政部门认可的政府采购信用担保机构出具）；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根据财库【2019】38号文规定，此项在投标截止日当天由代理机构在“信用中国”网站和中国政府采购网站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根据财库【2019】38号文规定，此项在投标截止日当天由代理机构在“国家企业信用信息公示系统”进行查询，截图留档；如网站无投标人信息的，投标人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格式编制</w:t>
            </w:r>
          </w:p>
        </w:tc>
        <w:tc>
          <w:tcPr>
            <w:tcW w:type="dxa" w:w="3322"/>
          </w:tcPr>
          <w:p>
            <w:pPr>
              <w:pStyle w:val="null3"/>
            </w:pPr>
            <w:r>
              <w:rPr>
                <w:rFonts w:ascii="仿宋_GB2312" w:hAnsi="仿宋_GB2312" w:cs="仿宋_GB2312" w:eastAsia="仿宋_GB2312"/>
              </w:rPr>
              <w:t>除明确允许投标人可以自行编写的外，投标文件按照招标文件给定的格式和要求编制。</w:t>
            </w:r>
          </w:p>
        </w:tc>
        <w:tc>
          <w:tcPr>
            <w:tcW w:type="dxa" w:w="1661"/>
          </w:tcPr>
          <w:p>
            <w:pPr>
              <w:pStyle w:val="null3"/>
            </w:pPr>
            <w:r>
              <w:rPr>
                <w:rFonts w:ascii="仿宋_GB2312" w:hAnsi="仿宋_GB2312" w:cs="仿宋_GB2312" w:eastAsia="仿宋_GB2312"/>
              </w:rPr>
              <w:t>投标函 残疾人福利性单位声明函 拒绝政府采购领域商业贿赂承诺书.docx 中小企业声明函 标的清单 投标文件封面 法定代表人授权委托书.docx 响应偏离表.docx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盖章签字</w:t>
            </w:r>
          </w:p>
        </w:tc>
        <w:tc>
          <w:tcPr>
            <w:tcW w:type="dxa" w:w="3322"/>
          </w:tcPr>
          <w:p>
            <w:pPr>
              <w:pStyle w:val="null3"/>
            </w:pPr>
            <w:r>
              <w:rPr>
                <w:rFonts w:ascii="仿宋_GB2312" w:hAnsi="仿宋_GB2312" w:cs="仿宋_GB2312" w:eastAsia="仿宋_GB2312"/>
              </w:rPr>
              <w:t>投标文件按照招标文件的要求盖章签字</w:t>
            </w:r>
          </w:p>
        </w:tc>
        <w:tc>
          <w:tcPr>
            <w:tcW w:type="dxa" w:w="1661"/>
          </w:tcPr>
          <w:p>
            <w:pPr>
              <w:pStyle w:val="null3"/>
            </w:pPr>
            <w:r>
              <w:rPr>
                <w:rFonts w:ascii="仿宋_GB2312" w:hAnsi="仿宋_GB2312" w:cs="仿宋_GB2312" w:eastAsia="仿宋_GB2312"/>
              </w:rPr>
              <w:t>投标函 中小企业声明函 残疾人福利性单位声明函 拒绝政府采购领域商业贿赂承诺书.docx 标的清单 分项报价（格式自拟）.docx 法定代表人授权委托书.docx 响应偏离表.docx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投标报价未超过采购预算</w:t>
            </w:r>
          </w:p>
        </w:tc>
        <w:tc>
          <w:tcPr>
            <w:tcW w:type="dxa" w:w="1661"/>
          </w:tcPr>
          <w:p>
            <w:pPr>
              <w:pStyle w:val="null3"/>
            </w:pPr>
            <w:r>
              <w:rPr>
                <w:rFonts w:ascii="仿宋_GB2312" w:hAnsi="仿宋_GB2312" w:cs="仿宋_GB2312" w:eastAsia="仿宋_GB2312"/>
              </w:rPr>
              <w:t>投标函 标的清单 分项报价（格式自拟）.docx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投标有效期符合招标文件的要求</w:t>
            </w:r>
          </w:p>
        </w:tc>
        <w:tc>
          <w:tcPr>
            <w:tcW w:type="dxa" w:w="1661"/>
          </w:tcPr>
          <w:p>
            <w:pPr>
              <w:pStyle w:val="null3"/>
            </w:pPr>
            <w:r>
              <w:rPr>
                <w:rFonts w:ascii="仿宋_GB2312" w:hAnsi="仿宋_GB2312" w:cs="仿宋_GB2312" w:eastAsia="仿宋_GB2312"/>
              </w:rPr>
              <w:t>投标函 法定代表人授权委托书.docx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对招标文件商务要求作出明确且实质性响应</w:t>
            </w:r>
          </w:p>
        </w:tc>
        <w:tc>
          <w:tcPr>
            <w:tcW w:type="dxa" w:w="1661"/>
          </w:tcPr>
          <w:p>
            <w:pPr>
              <w:pStyle w:val="null3"/>
            </w:pPr>
            <w:r>
              <w:rPr>
                <w:rFonts w:ascii="仿宋_GB2312" w:hAnsi="仿宋_GB2312" w:cs="仿宋_GB2312" w:eastAsia="仿宋_GB2312"/>
              </w:rPr>
              <w:t>证明材料（招标文件第三章）.docx 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对招标文件技术要求作出明确响应，对不得偏离的要求作出实质性响应</w:t>
            </w:r>
          </w:p>
        </w:tc>
        <w:tc>
          <w:tcPr>
            <w:tcW w:type="dxa" w:w="1661"/>
          </w:tcPr>
          <w:p>
            <w:pPr>
              <w:pStyle w:val="null3"/>
            </w:pPr>
            <w:r>
              <w:rPr>
                <w:rFonts w:ascii="仿宋_GB2312" w:hAnsi="仿宋_GB2312" w:cs="仿宋_GB2312" w:eastAsia="仿宋_GB2312"/>
              </w:rPr>
              <w:t>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投标文件未含有采购人不能接受的附加条件</w:t>
            </w:r>
          </w:p>
        </w:tc>
        <w:tc>
          <w:tcPr>
            <w:tcW w:type="dxa" w:w="1661"/>
          </w:tcPr>
          <w:p>
            <w:pPr>
              <w:pStyle w:val="null3"/>
            </w:pPr>
            <w:r>
              <w:rPr>
                <w:rFonts w:ascii="仿宋_GB2312" w:hAnsi="仿宋_GB2312" w:cs="仿宋_GB2312" w:eastAsia="仿宋_GB2312"/>
              </w:rPr>
              <w:t>投标人认为需要提供的其他资料.docx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法律、法规和招标文件规定的其他无效投标情形。</w:t>
            </w:r>
          </w:p>
        </w:tc>
        <w:tc>
          <w:tcPr>
            <w:tcW w:type="dxa" w:w="1661"/>
          </w:tcPr>
          <w:p>
            <w:pPr>
              <w:pStyle w:val="null3"/>
            </w:pPr>
            <w:r>
              <w:rPr>
                <w:rFonts w:ascii="仿宋_GB2312" w:hAnsi="仿宋_GB2312" w:cs="仿宋_GB2312" w:eastAsia="仿宋_GB2312"/>
              </w:rPr>
              <w:t>投标人认为需要提供的其他资料.docx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项目整体服务方案</w:t>
            </w:r>
          </w:p>
        </w:tc>
        <w:tc>
          <w:tcPr>
            <w:tcW w:type="dxa" w:w="2492"/>
          </w:tcPr>
          <w:p>
            <w:pPr>
              <w:pStyle w:val="null3"/>
            </w:pPr>
            <w:r>
              <w:rPr>
                <w:rFonts w:ascii="仿宋_GB2312" w:hAnsi="仿宋_GB2312" w:cs="仿宋_GB2312" w:eastAsia="仿宋_GB2312"/>
              </w:rPr>
              <w:t>包括但不限于：①维保整体服务流程；②项目过程管理方案；③交接方案；④易损配件定期进行更换方案；⑤日常维护保养方案；⑥定期专业维护保养方案、预防性维护等。 评审标准：方案各项内容全面详细、工作目标清晰明确、阐述条理清晰、具有针对性、合理可行得18分。每有一项缺项扣3分，每有一处内容存在缺陷，扣1分，扣完为止，未提供相关内容本项不计分。 注：缺陷是指：内容与项目实际情况不符；套用其他项目方案或存在明显与本项目无关的文字内容；内容存在逻辑错误或表述错误或科学原理错误；涉及的规范及标准错误；存在不可能实现的情形；内容不完整，缺少重要节点（如仅有框架或标题、单项内容仅有复制采购内容的要求、涉及内容无重点）。</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整体服务方案.docx</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包括但不限于：①安全管理质量保证；②配合医院完成设备固件、软件升级，同步保障运行质量；③质量保障措施；④维修人员服务质量管理评价措施等。 评审标准：各项内容全面详细、工作目标清晰明确、阐述条理清晰、具有针对性、合理可行得12分。每有一项缺项扣3分，每有一处内容存在缺陷扣1分，扣完为止，未提供相关内容本项不计分。 注：缺陷是指：方案内容与项目实际情况不符；套用其他项目方案或存在明显与本项目无关的文字内容；内容存在逻辑错误或表述错误或科学原理错误；涉及的规范及标准错误；存在不可能实现的情形；内容不完整，缺少重要节点（如仅有框架或标题、单项内容仅有复制采购内容的要求、涉及内容无重点）。</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质量保证.docx</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包括但不限于：①维保工作时效保障方案；②确保系统维修后使用可靠、稳定、性能充分发挥的保证措施及承诺；③设备维修保养的重点难点分析等。 评审标准：各项内容全面详细、工作目标清晰明确、阐述条理清晰、具有针对性、合理可行得9分。每有一项缺项扣3分，每有一处内容存在缺陷扣1分，扣完为止，未提供相关内容本项不计分。 注：缺陷是指：方案内容与项目实际情况不符；套用其他项目方案或存在明显与本项目无关的文字内容；内容存在逻辑错误或表述错误或科学原理错误；涉及的规范及标准错误；存在不可能实现的情形；内容不完整，缺少重要节点（如仅有框架或标题、单项内容仅有复制采购内容的要求、涉及内容无重点）。</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保障措施.docx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包括但不限于：①回访、投诉与改进承诺；②售后服务方案；③响应时效承诺；④增值服务承诺、违约追责承诺；⑤维修后设备功能、精度、安全指标恢复至原厂标准，满足临床使用要求等。 评审标准：各项内容全面详细、工作目标清晰明确、阐述条理清晰、具有针对性、合理可行得15分。每有一项缺项扣3分，每有一处内容存在缺陷扣1分，扣完为止，未提供相关内容本项不计分。 注：缺陷是指：方案内容与项目实际情况不符；套用其他项目方案或存在明显与本项目无关的文字内容；内容存在逻辑错误或表述错误或科学原理错误；涉及的规范及标准错误；存在不可能实现的情形；内容不完整，缺少重要节点（如仅有框架或标题、单项内容仅有复制采购内容的要求、涉及内容无重点）。</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包括但不限于：①有组织机构设置及架构；②详细人员分工及工作职责划分；③专业配置合理；④日常管理制度等。 评审标准：各项内容全面详细、清晰明确、阐述条理清晰、具有针对性、合理可行得12分。每有一项缺项扣3分，每有一处内容存在缺陷扣1分，扣完为止，未提供相关内容本项不计分。 注：缺陷是指：方案内容与项目实际情况不符；套用其他项目方案或存在明显与本项目无关的文字内容；内容存在逻辑错误或表述错误或科学原理错误；涉及的规范及标准错误；存在不可能实现的情形；内容不完整，缺少重要节点（如仅有框架或标题、单项内容仅有复制采购内容的要求、涉及内容无重点）。</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人员配置.docx</w:t>
            </w:r>
          </w:p>
        </w:tc>
      </w:tr>
      <w:tr>
        <w:tc>
          <w:tcPr>
            <w:tcW w:type="dxa" w:w="831"/>
            <w:vMerge/>
          </w:tcPr>
          <w:p/>
        </w:tc>
        <w:tc>
          <w:tcPr>
            <w:tcW w:type="dxa" w:w="1661"/>
          </w:tcPr>
          <w:p>
            <w:pPr>
              <w:pStyle w:val="null3"/>
            </w:pPr>
            <w:r>
              <w:rPr>
                <w:rFonts w:ascii="仿宋_GB2312" w:hAnsi="仿宋_GB2312" w:cs="仿宋_GB2312" w:eastAsia="仿宋_GB2312"/>
              </w:rPr>
              <w:t>检测维修设备及工具</w:t>
            </w:r>
          </w:p>
        </w:tc>
        <w:tc>
          <w:tcPr>
            <w:tcW w:type="dxa" w:w="2492"/>
          </w:tcPr>
          <w:p>
            <w:pPr>
              <w:pStyle w:val="null3"/>
            </w:pPr>
            <w:r>
              <w:rPr>
                <w:rFonts w:ascii="仿宋_GB2312" w:hAnsi="仿宋_GB2312" w:cs="仿宋_GB2312" w:eastAsia="仿宋_GB2312"/>
              </w:rPr>
              <w:t>包括但不限于：①具有专业的硬件、软件检测维修设备及工具，设备及工具清单详细；②性能测试及校准等。 评审标准：各项内容全面详细、内容清晰明确、阐述条理清晰、具有针对性、合理可行得4分。每有一项缺项扣2分，每有一处内容存在缺陷，扣1分，扣完为止，未提供相关内容本项不计分。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检测维修设备及工具.docx</w:t>
            </w:r>
          </w:p>
        </w:tc>
      </w:tr>
      <w:tr>
        <w:tc>
          <w:tcPr>
            <w:tcW w:type="dxa" w:w="831"/>
            <w:vMerge/>
          </w:tcPr>
          <w:p/>
        </w:tc>
        <w:tc>
          <w:tcPr>
            <w:tcW w:type="dxa" w:w="1661"/>
          </w:tcPr>
          <w:p>
            <w:pPr>
              <w:pStyle w:val="null3"/>
            </w:pPr>
            <w:r>
              <w:rPr>
                <w:rFonts w:ascii="仿宋_GB2312" w:hAnsi="仿宋_GB2312" w:cs="仿宋_GB2312" w:eastAsia="仿宋_GB2312"/>
              </w:rPr>
              <w:t>应急预案及突发事件应急保障措施</w:t>
            </w:r>
          </w:p>
        </w:tc>
        <w:tc>
          <w:tcPr>
            <w:tcW w:type="dxa" w:w="2492"/>
          </w:tcPr>
          <w:p>
            <w:pPr>
              <w:pStyle w:val="null3"/>
            </w:pPr>
            <w:r>
              <w:rPr>
                <w:rFonts w:ascii="仿宋_GB2312" w:hAnsi="仿宋_GB2312" w:cs="仿宋_GB2312" w:eastAsia="仿宋_GB2312"/>
              </w:rPr>
              <w:t>包括但不限于：①节假日、夜间、急诊正常提供维保服务承诺；②重大数据预防及处置办法等；③突发事件应急保障措施；④保障机制；⑤突发情况快速响应时效等。 评审标准：各项内容全面详细、内容清晰明确、阐述条理清晰、具有针对性、合理可行得10分。每有一项缺项扣2分，每有一处内容存在缺陷，扣1分，扣完为止，未提供相关内容本项不计分。 备注：缺陷是指内容不合理、内容仅有粗略表述不具体、内容表述前后不一致、套用其他项目方案或与项目需求不匹配及其他不利于项目实施等任意一种情形。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应急预案及突发事件应急保障措施.docx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供应商需提供2023年1月至今类似项目业绩。每份2分，本项最多得10分。 注：投标文件中须附有完整合同（复印件加盖投标人公章，以合同签订时间为准。）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10%）×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详见附件：保障措施.docx</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详见附件：分项报价（格式自拟）.docx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详见附件：检测维修设备及工具.docx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详见附件：人员配置.docx</w:t>
      </w:r>
    </w:p>
    <w:p>
      <w:pPr>
        <w:pStyle w:val="null3"/>
        <w:ind w:firstLine="960"/>
      </w:pPr>
      <w:r>
        <w:rPr>
          <w:rFonts w:ascii="仿宋_GB2312" w:hAnsi="仿宋_GB2312" w:cs="仿宋_GB2312" w:eastAsia="仿宋_GB2312"/>
        </w:rPr>
        <w:t>详见附件：投标人认为需要提供的其他资料.docx</w:t>
      </w:r>
    </w:p>
    <w:p>
      <w:pPr>
        <w:pStyle w:val="null3"/>
        <w:ind w:firstLine="960"/>
      </w:pPr>
      <w:r>
        <w:rPr>
          <w:rFonts w:ascii="仿宋_GB2312" w:hAnsi="仿宋_GB2312" w:cs="仿宋_GB2312" w:eastAsia="仿宋_GB2312"/>
        </w:rPr>
        <w:t>详见附件：响应偏离表.docx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详见附件：应急预案及突发事件应急保障措施.docx</w:t>
      </w:r>
    </w:p>
    <w:p>
      <w:pPr>
        <w:pStyle w:val="null3"/>
        <w:ind w:firstLine="960"/>
      </w:pPr>
      <w:r>
        <w:rPr>
          <w:rFonts w:ascii="仿宋_GB2312" w:hAnsi="仿宋_GB2312" w:cs="仿宋_GB2312" w:eastAsia="仿宋_GB2312"/>
        </w:rPr>
        <w:t>详见附件：整体服务方案.docx</w:t>
      </w:r>
    </w:p>
    <w:p>
      <w:pPr>
        <w:pStyle w:val="null3"/>
        <w:ind w:firstLine="960"/>
      </w:pPr>
      <w:r>
        <w:rPr>
          <w:rFonts w:ascii="仿宋_GB2312" w:hAnsi="仿宋_GB2312" w:cs="仿宋_GB2312" w:eastAsia="仿宋_GB2312"/>
        </w:rPr>
        <w:t>详见附件：证明材料（招标文件第三章）.docx</w:t>
      </w:r>
    </w:p>
    <w:p>
      <w:pPr>
        <w:pStyle w:val="null3"/>
        <w:ind w:firstLine="960"/>
      </w:pPr>
      <w:r>
        <w:rPr>
          <w:rFonts w:ascii="仿宋_GB2312" w:hAnsi="仿宋_GB2312" w:cs="仿宋_GB2312" w:eastAsia="仿宋_GB2312"/>
        </w:rPr>
        <w:t>详见附件：质量保证.docx</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详见附件：政府采购 服务 公开合同模板.docx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