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版本号：SZT2026-SN-SC-ZC-HW-0597.1B120260904001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振动、冲击传感器校准系统采购项目(二次)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SZT2026-SN-SC-ZC-HW-0597.1B1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振动、冲击传感器校准系统采购项目(二次)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SZT2026-SN-SC-ZC-HW-0597.1B1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振动、冲击传感器校准系统采购项目(二次)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振动、冲击传感器校准系统采购项目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高日兴、赵倩、陈璐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029-87304326、029-87304306、029-87304326转873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 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振动、冲击传感器校准系统采购项目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振动、冲击传感器校准系统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标的名称：振动、冲击传感器校准系统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产品名称</w:t>
                  </w:r>
                </w:p>
              </w:tc>
              <w:tc>
                <w:tcPr>
                  <w:tcW w:type="dxa" w:w="511"/>
                </w:tcPr>
                <w:p>
                  <w:pPr>
                    <w:pStyle w:val="null3"/>
                  </w:pPr>
                  <w:r>
                    <w:rPr>
                      <w:rFonts w:ascii="仿宋_GB2312" w:hAnsi="仿宋_GB2312" w:cs="仿宋_GB2312" w:eastAsia="仿宋_GB2312"/>
                      <w:sz w:val="19"/>
                    </w:rPr>
                    <w:t>技术标准</w:t>
                  </w:r>
                </w:p>
              </w:tc>
              <w:tc>
                <w:tcPr>
                  <w:tcW w:type="dxa" w:w="511"/>
                </w:tcPr>
                <w:p>
                  <w:pPr>
                    <w:pStyle w:val="null3"/>
                  </w:pPr>
                  <w:r>
                    <w:rPr>
                      <w:rFonts w:ascii="仿宋_GB2312" w:hAnsi="仿宋_GB2312" w:cs="仿宋_GB2312" w:eastAsia="仿宋_GB2312"/>
                      <w:sz w:val="19"/>
                    </w:rPr>
                    <w:t>配置要求</w:t>
                  </w:r>
                </w:p>
              </w:tc>
              <w:tc>
                <w:tcPr>
                  <w:tcW w:type="dxa" w:w="511"/>
                </w:tcPr>
                <w:p>
                  <w:pPr>
                    <w:pStyle w:val="null3"/>
                  </w:pPr>
                  <w:r>
                    <w:rPr>
                      <w:rFonts w:ascii="仿宋_GB2312" w:hAnsi="仿宋_GB2312" w:cs="仿宋_GB2312" w:eastAsia="仿宋_GB2312"/>
                      <w:sz w:val="19"/>
                    </w:rPr>
                    <w:t>数量</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振动传感器校准系统</w:t>
                  </w:r>
                </w:p>
              </w:tc>
              <w:tc>
                <w:tcPr>
                  <w:tcW w:type="dxa" w:w="511"/>
                </w:tcPr>
                <w:p>
                  <w:pPr>
                    <w:pStyle w:val="null3"/>
                  </w:pPr>
                  <w:r>
                    <w:rPr>
                      <w:rFonts w:ascii="仿宋_GB2312" w:hAnsi="仿宋_GB2312" w:cs="仿宋_GB2312" w:eastAsia="仿宋_GB2312"/>
                      <w:sz w:val="19"/>
                    </w:rPr>
                    <w:t>功能要求：</w:t>
                  </w:r>
                </w:p>
                <w:p>
                  <w:pPr>
                    <w:pStyle w:val="null3"/>
                  </w:pPr>
                  <w:r>
                    <w:rPr>
                      <w:rFonts w:ascii="仿宋_GB2312" w:hAnsi="仿宋_GB2312" w:cs="仿宋_GB2312" w:eastAsia="仿宋_GB2312"/>
                      <w:sz w:val="19"/>
                    </w:rPr>
                    <w:t>(1)该系统由标准加速度计、低噪声电荷放大器、标准振动台、阻抗头(2个)、模态激振器(2台)、线性功率放大器(2个)、动态数据采集器、传感器特性测试与控制系统和传感器特性测试软件、便携式振动校准仪等部件组成，通过计算机控制实现传感器灵敏度、幅值线性度和频率响应的自动测试和闭环控制。</w:t>
                  </w:r>
                </w:p>
                <w:p>
                  <w:pPr>
                    <w:pStyle w:val="null3"/>
                  </w:pPr>
                  <w:r>
                    <w:rPr>
                      <w:rFonts w:ascii="仿宋_GB2312" w:hAnsi="仿宋_GB2312" w:cs="仿宋_GB2312" w:eastAsia="仿宋_GB2312"/>
                      <w:sz w:val="19"/>
                    </w:rPr>
                    <w:t>(2)可精确检定/校准电压、电荷、IEPE等输出的加速度、速度等多种传感器和振动测试仪，支持逐点比较法、正弦扫频法、随机激励法及冲击激励法等检定/校准方法。</w:t>
                  </w:r>
                </w:p>
                <w:p>
                  <w:pPr>
                    <w:pStyle w:val="null3"/>
                  </w:pPr>
                  <w:r>
                    <w:rPr>
                      <w:rFonts w:ascii="仿宋_GB2312" w:hAnsi="仿宋_GB2312" w:cs="仿宋_GB2312" w:eastAsia="仿宋_GB2312"/>
                      <w:sz w:val="19"/>
                    </w:rPr>
                    <w:t>(3)自动完成加速度传感器的灵敏度、幅值线性度、频响等测试，同时自动生成测试报告。</w:t>
                  </w:r>
                </w:p>
                <w:p>
                  <w:pPr>
                    <w:pStyle w:val="null3"/>
                  </w:pPr>
                  <w:r>
                    <w:rPr>
                      <w:rFonts w:ascii="仿宋_GB2312" w:hAnsi="仿宋_GB2312" w:cs="仿宋_GB2312" w:eastAsia="仿宋_GB2312"/>
                      <w:sz w:val="19"/>
                    </w:rPr>
                    <w:t>(4)支持点频测试，可设定任意一组频率和振动幅度值(可设定加速度、速度、位移等)，自动完成单点、多点振动测试并形成报告。</w:t>
                  </w:r>
                </w:p>
                <w:p>
                  <w:pPr>
                    <w:pStyle w:val="null3"/>
                  </w:pPr>
                  <w:r>
                    <w:rPr>
                      <w:rFonts w:ascii="仿宋_GB2312" w:hAnsi="仿宋_GB2312" w:cs="仿宋_GB2312" w:eastAsia="仿宋_GB2312"/>
                      <w:sz w:val="19"/>
                    </w:rPr>
                    <w:t>(5)支持扫频测试，设定参考频率点、频率点上下限，自动实现灵敏度、频响的测试。</w:t>
                  </w:r>
                </w:p>
                <w:p>
                  <w:pPr>
                    <w:pStyle w:val="null3"/>
                  </w:pPr>
                  <w:r>
                    <w:rPr>
                      <w:rFonts w:ascii="仿宋_GB2312" w:hAnsi="仿宋_GB2312" w:cs="仿宋_GB2312" w:eastAsia="仿宋_GB2312"/>
                      <w:sz w:val="19"/>
                    </w:rPr>
                    <w:t>(6)支持采用随机信号，快速完成振动传感器的频响测试。</w:t>
                  </w:r>
                </w:p>
                <w:p>
                  <w:pPr>
                    <w:pStyle w:val="null3"/>
                  </w:pPr>
                  <w:r>
                    <w:rPr>
                      <w:rFonts w:ascii="仿宋_GB2312" w:hAnsi="仿宋_GB2312" w:cs="仿宋_GB2312" w:eastAsia="仿宋_GB2312"/>
                      <w:sz w:val="19"/>
                    </w:rPr>
                    <w:t>(7)可用于大中型仪表零件的环境振动、疲劳试验、中小型结构动态响应、共振频率和机械阻抗的测试、模态试验等。</w:t>
                  </w:r>
                </w:p>
                <w:p>
                  <w:pPr>
                    <w:pStyle w:val="null3"/>
                  </w:pPr>
                  <w:r>
                    <w:rPr>
                      <w:rFonts w:ascii="仿宋_GB2312" w:hAnsi="仿宋_GB2312" w:cs="仿宋_GB2312" w:eastAsia="仿宋_GB2312"/>
                      <w:sz w:val="19"/>
                    </w:rPr>
                    <w:t>(8)自动完成幅值线性度的测试并形成报告；</w:t>
                  </w:r>
                </w:p>
                <w:p>
                  <w:pPr>
                    <w:pStyle w:val="null3"/>
                  </w:pPr>
                  <w:r>
                    <w:rPr>
                      <w:rFonts w:ascii="仿宋_GB2312" w:hAnsi="仿宋_GB2312" w:cs="仿宋_GB2312" w:eastAsia="仿宋_GB2312"/>
                      <w:sz w:val="19"/>
                    </w:rPr>
                    <w:t>(9)支持野外现场测试与校准，满足现场快速安装使用。</w:t>
                  </w:r>
                </w:p>
                <w:p>
                  <w:pPr>
                    <w:pStyle w:val="null3"/>
                  </w:pPr>
                  <w:r>
                    <w:rPr>
                      <w:rFonts w:ascii="仿宋_GB2312" w:hAnsi="仿宋_GB2312" w:cs="仿宋_GB2312" w:eastAsia="仿宋_GB2312"/>
                      <w:sz w:val="19"/>
                    </w:rPr>
                    <w:t>技术指标要求：</w:t>
                  </w:r>
                </w:p>
                <w:p>
                  <w:pPr>
                    <w:pStyle w:val="null3"/>
                  </w:pPr>
                  <w:r>
                    <w:rPr>
                      <w:rFonts w:ascii="仿宋_GB2312" w:hAnsi="仿宋_GB2312" w:cs="仿宋_GB2312" w:eastAsia="仿宋_GB2312"/>
                      <w:sz w:val="19"/>
                      <w:b/>
                    </w:rPr>
                    <w:t>#(1)频率范围：振动台的工作频率范围为5Hz-10kHz，横向振动比满足《JJG 298-2015》对应要求，覆盖中高频校准需求。</w:t>
                  </w:r>
                </w:p>
                <w:p>
                  <w:pPr>
                    <w:pStyle w:val="null3"/>
                  </w:pPr>
                  <w:r>
                    <w:rPr>
                      <w:rFonts w:ascii="仿宋_GB2312" w:hAnsi="仿宋_GB2312" w:cs="仿宋_GB2312" w:eastAsia="仿宋_GB2312"/>
                      <w:sz w:val="19"/>
                      <w:b/>
                    </w:rPr>
                    <w:t>#(2)动态范围：振动台最大加速度峰值≥700m/s²。</w:t>
                  </w:r>
                </w:p>
                <w:p>
                  <w:pPr>
                    <w:pStyle w:val="null3"/>
                  </w:pPr>
                  <w:r>
                    <w:rPr>
                      <w:rFonts w:ascii="仿宋_GB2312" w:hAnsi="仿宋_GB2312" w:cs="仿宋_GB2312" w:eastAsia="仿宋_GB2312"/>
                      <w:sz w:val="19"/>
                      <w:b/>
                    </w:rPr>
                    <w:t>#(3)位移与速度：振动台最大位移≥10mm(峰峰值)、速度≥1.0m/s(峰值)。</w:t>
                  </w:r>
                </w:p>
                <w:p>
                  <w:pPr>
                    <w:pStyle w:val="null3"/>
                  </w:pPr>
                  <w:r>
                    <w:rPr>
                      <w:rFonts w:ascii="仿宋_GB2312" w:hAnsi="仿宋_GB2312" w:cs="仿宋_GB2312" w:eastAsia="仿宋_GB2312"/>
                      <w:sz w:val="19"/>
                      <w:b/>
                    </w:rPr>
                    <w:t>#(4)参考加速度计：电荷型(PE)输出，工作频率(2%)5～5000Hz，工作频率#(10%)5000Hz～10000Hz，横向≤3%，工作温度-50～150℃。</w:t>
                  </w:r>
                </w:p>
                <w:p>
                  <w:pPr>
                    <w:pStyle w:val="null3"/>
                  </w:pPr>
                  <w:r>
                    <w:rPr>
                      <w:rFonts w:ascii="仿宋_GB2312" w:hAnsi="仿宋_GB2312" w:cs="仿宋_GB2312" w:eastAsia="仿宋_GB2312"/>
                      <w:sz w:val="19"/>
                      <w:b/>
                    </w:rPr>
                    <w:t>#(5)校准：逐点比较法、正弦扫频、随机激励、冲击激励，覆盖GB/T 20485.21-2007、ISO16063-21等标准。</w:t>
                  </w:r>
                </w:p>
                <w:p>
                  <w:pPr>
                    <w:pStyle w:val="null3"/>
                  </w:pPr>
                  <w:r>
                    <w:rPr>
                      <w:rFonts w:ascii="仿宋_GB2312" w:hAnsi="仿宋_GB2312" w:cs="仿宋_GB2312" w:eastAsia="仿宋_GB2312"/>
                      <w:sz w:val="19"/>
                      <w:b/>
                    </w:rPr>
                    <w:t>#(6)信号处理：噪声≤5μVrms；增益分档0.1-1000mV/pC，精度±0.5%适配不同灵敏度传感器。</w:t>
                  </w:r>
                </w:p>
                <w:p>
                  <w:pPr>
                    <w:pStyle w:val="null3"/>
                  </w:pPr>
                  <w:r>
                    <w:rPr>
                      <w:rFonts w:ascii="仿宋_GB2312" w:hAnsi="仿宋_GB2312" w:cs="仿宋_GB2312" w:eastAsia="仿宋_GB2312"/>
                      <w:sz w:val="19"/>
                      <w:b/>
                    </w:rPr>
                    <w:t># (7)动态数据采集器：输入通道数≥2；信号方式：电荷、电压、IEPE；电压信号输入带宽:100kHz;IEPE信号输入带宽:0.3Hz-100kHz;信噪比≥96dB;≥16位AD位数,AD精度≤±0.5%;电压/IEPE输入范围:±10Vp;电荷输入范围:±1×105pC;单通道≥1MHz采样率；DA输出：≥两路独立输出；DA分辨率≥16bit。</w:t>
                  </w:r>
                </w:p>
                <w:p>
                  <w:pPr>
                    <w:pStyle w:val="null3"/>
                  </w:pPr>
                  <w:r>
                    <w:rPr>
                      <w:rFonts w:ascii="仿宋_GB2312" w:hAnsi="仿宋_GB2312" w:cs="仿宋_GB2312" w:eastAsia="仿宋_GB2312"/>
                      <w:sz w:val="19"/>
                    </w:rPr>
                    <w:t>(8)兼容性与扩展性：支持电压、电荷、IEPE(如PCBICP传感器)传感器校准，输出接口：BNC、M5接头，支持快速连接与切换。</w:t>
                  </w:r>
                </w:p>
                <w:p>
                  <w:pPr>
                    <w:pStyle w:val="null3"/>
                  </w:pPr>
                  <w:r>
                    <w:rPr>
                      <w:rFonts w:ascii="仿宋_GB2312" w:hAnsi="仿宋_GB2312" w:cs="仿宋_GB2312" w:eastAsia="仿宋_GB2312"/>
                      <w:sz w:val="19"/>
                    </w:rPr>
                    <w:t>(9)传感器特性测试与控制系统配置要求：</w:t>
                  </w:r>
                </w:p>
                <w:p>
                  <w:pPr>
                    <w:pStyle w:val="null3"/>
                  </w:pPr>
                  <w:r>
                    <w:rPr>
                      <w:rFonts w:ascii="仿宋_GB2312" w:hAnsi="仿宋_GB2312" w:cs="仿宋_GB2312" w:eastAsia="仿宋_GB2312"/>
                      <w:sz w:val="19"/>
                    </w:rPr>
                    <w:t>1.预装振动传感器校准专用测控软件，支持ISO16063系列标准校准流程；2.核心处理单元： 12核处理器，满足多通道振动数据实时运算处理需求；3.系统运行环境：正版操作系统，满足传感器校准专用测控软件正常运行，运行内存≥16GB，高速固态存储≥1TB，可存储千组以上传感器校准原始数据；4.测控交互终端：屏幕尺寸≥15.6英寸，OLED触控屏，分辨率≥2880×1800，内置≥70Wh长效供电单元。</w:t>
                  </w:r>
                </w:p>
                <w:p>
                  <w:pPr>
                    <w:pStyle w:val="null3"/>
                  </w:pPr>
                  <w:r>
                    <w:rPr>
                      <w:rFonts w:ascii="仿宋_GB2312" w:hAnsi="仿宋_GB2312" w:cs="仿宋_GB2312" w:eastAsia="仿宋_GB2312"/>
                      <w:sz w:val="19"/>
                      <w:b/>
                    </w:rPr>
                    <w:t>#(10)模态激励器模块:1.激振力范围:200～1000Npk;2.振幅范围:±10～15mmpk;3.频率范围:1.5kHz～4kHz;4.输出接头:顶杆/M5;5.配套功放2台。</w:t>
                  </w:r>
                </w:p>
                <w:p>
                  <w:pPr>
                    <w:pStyle w:val="null3"/>
                  </w:pPr>
                  <w:r>
                    <w:rPr>
                      <w:rFonts w:ascii="仿宋_GB2312" w:hAnsi="仿宋_GB2312" w:cs="仿宋_GB2312" w:eastAsia="仿宋_GB2312"/>
                      <w:sz w:val="19"/>
                      <w:b/>
                    </w:rPr>
                    <w:t>#(11)便携式振动校准模块要求:1.频率范围10Hz～10kHz;2.加速度Arms最大值≥5g;3.速度Vrms最大值≥150mm/s;4.位移Drms最大值≥1500μm;5.重量≤7.0kg;6.显示方式:触摸液晶显示屏;7.供电方式:220V50Hz与12VDC(内置可充电电池)。</w:t>
                  </w:r>
                </w:p>
              </w:tc>
              <w:tc>
                <w:tcPr>
                  <w:tcW w:type="dxa" w:w="511"/>
                </w:tcPr>
                <w:p>
                  <w:pPr>
                    <w:pStyle w:val="null3"/>
                  </w:pPr>
                  <w:r>
                    <w:rPr>
                      <w:rFonts w:ascii="仿宋_GB2312" w:hAnsi="仿宋_GB2312" w:cs="仿宋_GB2312" w:eastAsia="仿宋_GB2312"/>
                      <w:sz w:val="19"/>
                    </w:rPr>
                    <w:t>配置要求：</w:t>
                  </w:r>
                </w:p>
                <w:p>
                  <w:pPr>
                    <w:pStyle w:val="null3"/>
                  </w:pPr>
                  <w:r>
                    <w:rPr>
                      <w:rFonts w:ascii="仿宋_GB2312" w:hAnsi="仿宋_GB2312" w:cs="仿宋_GB2312" w:eastAsia="仿宋_GB2312"/>
                      <w:sz w:val="19"/>
                    </w:rPr>
                    <w:t>（1）符合系统对振动传感器校准功能的要求；</w:t>
                  </w:r>
                </w:p>
                <w:p>
                  <w:pPr>
                    <w:pStyle w:val="null3"/>
                  </w:pPr>
                  <w:r>
                    <w:rPr>
                      <w:rFonts w:ascii="仿宋_GB2312" w:hAnsi="仿宋_GB2312" w:cs="仿宋_GB2312" w:eastAsia="仿宋_GB2312"/>
                      <w:sz w:val="19"/>
                    </w:rPr>
                    <w:t>（2）附件含满足系统所列功能、保证系统正常运行的必备附件；</w:t>
                  </w:r>
                </w:p>
                <w:p>
                  <w:pPr>
                    <w:pStyle w:val="null3"/>
                  </w:pPr>
                  <w:r>
                    <w:rPr>
                      <w:rFonts w:ascii="仿宋_GB2312" w:hAnsi="仿宋_GB2312" w:cs="仿宋_GB2312" w:eastAsia="仿宋_GB2312"/>
                      <w:sz w:val="19"/>
                    </w:rPr>
                    <w:t>（3）模态激振器必备附件：顶杆2套；</w:t>
                  </w:r>
                </w:p>
                <w:p>
                  <w:pPr>
                    <w:pStyle w:val="null3"/>
                  </w:pPr>
                  <w:r>
                    <w:rPr>
                      <w:rFonts w:ascii="仿宋_GB2312" w:hAnsi="仿宋_GB2312" w:cs="仿宋_GB2312" w:eastAsia="仿宋_GB2312"/>
                      <w:sz w:val="19"/>
                    </w:rPr>
                    <w:t>（4）系统应配置振动校准所需的标准传感器及其配套安装附件，所配标准传感器应提供有效校准证书或溯源文件。</w:t>
                  </w:r>
                </w:p>
                <w:p>
                  <w:pPr>
                    <w:pStyle w:val="null3"/>
                  </w:pPr>
                  <w:r>
                    <w:rPr>
                      <w:rFonts w:ascii="仿宋_GB2312" w:hAnsi="仿宋_GB2312" w:cs="仿宋_GB2312" w:eastAsia="仿宋_GB2312"/>
                      <w:sz w:val="19"/>
                    </w:rPr>
                    <w:t>（5）提供完整技术资料，包括使用说明书、操作规程、维护保养说明、装箱清单、出厂检验资料、产品合格证明及必要的系统连接说明。</w:t>
                  </w:r>
                </w:p>
                <w:p>
                  <w:pPr>
                    <w:pStyle w:val="null3"/>
                  </w:pPr>
                  <w:r>
                    <w:rPr>
                      <w:rFonts w:ascii="仿宋_GB2312" w:hAnsi="仿宋_GB2312" w:cs="仿宋_GB2312" w:eastAsia="仿宋_GB2312"/>
                      <w:sz w:val="19"/>
                    </w:rPr>
                    <w:t>（6）配套实验桌1张，桌面尺寸不小于1400×700mm</w:t>
                  </w:r>
                </w:p>
                <w:p>
                  <w:pPr>
                    <w:pStyle w:val="null3"/>
                  </w:pPr>
                  <w:r>
                    <w:rPr>
                      <w:rFonts w:ascii="仿宋_GB2312" w:hAnsi="仿宋_GB2312" w:cs="仿宋_GB2312" w:eastAsia="仿宋_GB2312"/>
                      <w:sz w:val="19"/>
                    </w:rPr>
                    <w:t>（7）配套软件支持免费升级</w:t>
                  </w:r>
                </w:p>
                <w:p>
                  <w:pPr>
                    <w:pStyle w:val="null3"/>
                  </w:pPr>
                  <w:r>
                    <w:rPr>
                      <w:rFonts w:ascii="仿宋_GB2312" w:hAnsi="仿宋_GB2312" w:cs="仿宋_GB2312" w:eastAsia="仿宋_GB2312"/>
                      <w:sz w:val="19"/>
                    </w:rPr>
                    <w:t xml:space="preserve"> </w:t>
                  </w:r>
                </w:p>
              </w:tc>
              <w:tc>
                <w:tcPr>
                  <w:tcW w:type="dxa" w:w="511"/>
                </w:tcPr>
                <w:p>
                  <w:pPr>
                    <w:pStyle w:val="null3"/>
                  </w:pPr>
                  <w:r>
                    <w:rPr>
                      <w:rFonts w:ascii="仿宋_GB2312" w:hAnsi="仿宋_GB2312" w:cs="仿宋_GB2312" w:eastAsia="仿宋_GB2312"/>
                      <w:sz w:val="19"/>
                    </w:rPr>
                    <w:t>1</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冲击传感器校准系统</w:t>
                  </w:r>
                </w:p>
              </w:tc>
              <w:tc>
                <w:tcPr>
                  <w:tcW w:type="dxa" w:w="511"/>
                </w:tcPr>
                <w:p>
                  <w:pPr>
                    <w:pStyle w:val="null3"/>
                  </w:pPr>
                  <w:r>
                    <w:rPr>
                      <w:rFonts w:ascii="仿宋_GB2312" w:hAnsi="仿宋_GB2312" w:cs="仿宋_GB2312" w:eastAsia="仿宋_GB2312"/>
                      <w:sz w:val="19"/>
                    </w:rPr>
                    <w:t>功能要求：</w:t>
                  </w:r>
                </w:p>
                <w:p>
                  <w:pPr>
                    <w:pStyle w:val="null3"/>
                  </w:pPr>
                  <w:r>
                    <w:rPr>
                      <w:rFonts w:ascii="仿宋_GB2312" w:hAnsi="仿宋_GB2312" w:cs="仿宋_GB2312" w:eastAsia="仿宋_GB2312"/>
                      <w:sz w:val="19"/>
                    </w:rPr>
                    <w:t>(1)系统组成：系统应至少包括冲击校准装置、标准传感器、控制单元、信号测量或数据采集单元及必要附件。</w:t>
                  </w:r>
                </w:p>
                <w:p>
                  <w:pPr>
                    <w:pStyle w:val="null3"/>
                  </w:pPr>
                  <w:r>
                    <w:rPr>
                      <w:rFonts w:ascii="仿宋_GB2312" w:hAnsi="仿宋_GB2312" w:cs="仿宋_GB2312" w:eastAsia="仿宋_GB2312"/>
                      <w:sz w:val="19"/>
                    </w:rPr>
                    <w:t>(2)可用于冲击加速度传感器等冲击类传感器的检定/校准，支持采用半正弦或近似半正弦冲击脉冲进行冲击灵敏度、冲击响应等项目测试，符合JJF2072、GB/T20485.22、JJF1537等国家标准。</w:t>
                  </w:r>
                </w:p>
                <w:p>
                  <w:pPr>
                    <w:pStyle w:val="null3"/>
                  </w:pPr>
                  <w:r>
                    <w:rPr>
                      <w:rFonts w:ascii="仿宋_GB2312" w:hAnsi="仿宋_GB2312" w:cs="仿宋_GB2312" w:eastAsia="仿宋_GB2312"/>
                      <w:sz w:val="19"/>
                    </w:rPr>
                    <w:t>(3)系统可产生高加速度、短脉宽冲击激励，可通过调节驱动压力、冲击能量或更换波形发生器等方式，实现不同冲击加速度量级下的单次或多次冲击测试。</w:t>
                  </w:r>
                </w:p>
                <w:p>
                  <w:pPr>
                    <w:pStyle w:val="null3"/>
                  </w:pPr>
                  <w:r>
                    <w:rPr>
                      <w:rFonts w:ascii="仿宋_GB2312" w:hAnsi="仿宋_GB2312" w:cs="仿宋_GB2312" w:eastAsia="仿宋_GB2312"/>
                      <w:sz w:val="19"/>
                    </w:rPr>
                    <w:t>(4)支持标准传感器与被校传感器的比较测试，可对冲击峰值、脉冲持续时间、冲击波形、重复性等参数进行测量、记录和分析。</w:t>
                  </w:r>
                </w:p>
                <w:p>
                  <w:pPr>
                    <w:pStyle w:val="null3"/>
                  </w:pPr>
                  <w:r>
                    <w:rPr>
                      <w:rFonts w:ascii="仿宋_GB2312" w:hAnsi="仿宋_GB2312" w:cs="仿宋_GB2312" w:eastAsia="仿宋_GB2312"/>
                      <w:sz w:val="19"/>
                    </w:rPr>
                    <w:t>(5)系统应具备自动化或半自动化控制功能，可实现冲击参数设定、状态显示、数据记录和结果输出。</w:t>
                  </w:r>
                </w:p>
                <w:p>
                  <w:pPr>
                    <w:pStyle w:val="null3"/>
                  </w:pPr>
                  <w:r>
                    <w:rPr>
                      <w:rFonts w:ascii="仿宋_GB2312" w:hAnsi="仿宋_GB2312" w:cs="仿宋_GB2312" w:eastAsia="仿宋_GB2312"/>
                      <w:sz w:val="19"/>
                    </w:rPr>
                    <w:t>(6)适合实验室冲击传感器校准、研发测试和周期校准使用。</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技术指标要求：</w:t>
                  </w:r>
                </w:p>
                <w:p>
                  <w:pPr>
                    <w:pStyle w:val="null3"/>
                  </w:pPr>
                  <w:r>
                    <w:rPr>
                      <w:rFonts w:ascii="仿宋_GB2312" w:hAnsi="仿宋_GB2312" w:cs="仿宋_GB2312" w:eastAsia="仿宋_GB2312"/>
                      <w:sz w:val="19"/>
                      <w:b/>
                    </w:rPr>
                    <w:t>#(1)冲击波形：冲击脉冲波形为半正弦或近似半正弦波。</w:t>
                  </w:r>
                </w:p>
                <w:p>
                  <w:pPr>
                    <w:pStyle w:val="null3"/>
                  </w:pPr>
                  <w:r>
                    <w:rPr>
                      <w:rFonts w:ascii="仿宋_GB2312" w:hAnsi="仿宋_GB2312" w:cs="仿宋_GB2312" w:eastAsia="仿宋_GB2312"/>
                      <w:sz w:val="19"/>
                      <w:b/>
                    </w:rPr>
                    <w:t>#(2)冲击加速度：最大冲击加速度≥10000g。</w:t>
                  </w:r>
                </w:p>
                <w:p>
                  <w:pPr>
                    <w:pStyle w:val="null3"/>
                  </w:pPr>
                  <w:r>
                    <w:rPr>
                      <w:rFonts w:ascii="仿宋_GB2312" w:hAnsi="仿宋_GB2312" w:cs="仿宋_GB2312" w:eastAsia="仿宋_GB2312"/>
                      <w:sz w:val="19"/>
                      <w:b/>
                    </w:rPr>
                    <w:t>#(3)脉冲持续时间：范围应至少覆盖0.1ms～3ms。</w:t>
                  </w:r>
                </w:p>
                <w:p>
                  <w:pPr>
                    <w:pStyle w:val="null3"/>
                  </w:pPr>
                  <w:r>
                    <w:rPr>
                      <w:rFonts w:ascii="仿宋_GB2312" w:hAnsi="仿宋_GB2312" w:cs="仿宋_GB2312" w:eastAsia="仿宋_GB2312"/>
                      <w:sz w:val="19"/>
                      <w:b/>
                    </w:rPr>
                    <w:t>#(4)冲击方式：采用气动冲击、气体炮加压冲击或等效气压驱动方式，冲击量级可通过驱动压力、冲击能量或波形发生器进行调节。</w:t>
                  </w:r>
                </w:p>
                <w:p>
                  <w:pPr>
                    <w:pStyle w:val="null3"/>
                  </w:pPr>
                  <w:r>
                    <w:rPr>
                      <w:rFonts w:ascii="仿宋_GB2312" w:hAnsi="仿宋_GB2312" w:cs="仿宋_GB2312" w:eastAsia="仿宋_GB2312"/>
                      <w:sz w:val="19"/>
                      <w:b/>
                    </w:rPr>
                    <w:t>#(5)校准方式：支持冲击比较法或等效比较测试方法，可通过标准传感器与被校传感器响应比对完成校准。</w:t>
                  </w:r>
                </w:p>
                <w:p>
                  <w:pPr>
                    <w:pStyle w:val="null3"/>
                  </w:pPr>
                  <w:r>
                    <w:rPr>
                      <w:rFonts w:ascii="仿宋_GB2312" w:hAnsi="仿宋_GB2312" w:cs="仿宋_GB2312" w:eastAsia="仿宋_GB2312"/>
                      <w:sz w:val="19"/>
                      <w:b/>
                    </w:rPr>
                    <w:t>#(6)测量分析：</w:t>
                  </w:r>
                </w:p>
                <w:p>
                  <w:pPr>
                    <w:pStyle w:val="null3"/>
                  </w:pPr>
                  <w:r>
                    <w:rPr>
                      <w:rFonts w:ascii="仿宋_GB2312" w:hAnsi="仿宋_GB2312" w:cs="仿宋_GB2312" w:eastAsia="仿宋_GB2312"/>
                      <w:sz w:val="19"/>
                      <w:b/>
                    </w:rPr>
                    <w:t>测量范围（峰值）：50~20, 000 m/s2，测量不确定度≤3%；测量范围（峰值）：20,000~100,000 m/s2，测量不确定度≤5%。</w:t>
                  </w:r>
                </w:p>
                <w:p>
                  <w:pPr>
                    <w:pStyle w:val="null3"/>
                  </w:pPr>
                  <w:r>
                    <w:rPr>
                      <w:rFonts w:ascii="仿宋_GB2312" w:hAnsi="仿宋_GB2312" w:cs="仿宋_GB2312" w:eastAsia="仿宋_GB2312"/>
                      <w:sz w:val="19"/>
                    </w:rPr>
                    <w:t>(7)使用条件：系统采用清洁、干燥压缩空气作为动力源，最高工作气源压力不宜高于1.5MPa;供电应兼容AC220V、50Hz使用条件。</w:t>
                  </w:r>
                </w:p>
              </w:tc>
              <w:tc>
                <w:tcPr>
                  <w:tcW w:type="dxa" w:w="511"/>
                </w:tcPr>
                <w:p>
                  <w:pPr>
                    <w:pStyle w:val="null3"/>
                  </w:pPr>
                  <w:r>
                    <w:rPr>
                      <w:rFonts w:ascii="仿宋_GB2312" w:hAnsi="仿宋_GB2312" w:cs="仿宋_GB2312" w:eastAsia="仿宋_GB2312"/>
                      <w:sz w:val="19"/>
                    </w:rPr>
                    <w:t>配置要求：</w:t>
                  </w:r>
                </w:p>
                <w:p>
                  <w:pPr>
                    <w:pStyle w:val="null3"/>
                  </w:pPr>
                  <w:r>
                    <w:rPr>
                      <w:rFonts w:ascii="仿宋_GB2312" w:hAnsi="仿宋_GB2312" w:cs="仿宋_GB2312" w:eastAsia="仿宋_GB2312"/>
                      <w:sz w:val="19"/>
                    </w:rPr>
                    <w:t>（1）符合系统对冲击传感器校准功能的要求；</w:t>
                  </w:r>
                </w:p>
                <w:p>
                  <w:pPr>
                    <w:pStyle w:val="null3"/>
                  </w:pPr>
                  <w:r>
                    <w:rPr>
                      <w:rFonts w:ascii="仿宋_GB2312" w:hAnsi="仿宋_GB2312" w:cs="仿宋_GB2312" w:eastAsia="仿宋_GB2312"/>
                      <w:sz w:val="19"/>
                    </w:rPr>
                    <w:t>（2）附件含满足系统所列功能、保证系统正常运行的必备附件；</w:t>
                  </w:r>
                </w:p>
                <w:p>
                  <w:pPr>
                    <w:pStyle w:val="null3"/>
                  </w:pPr>
                  <w:r>
                    <w:rPr>
                      <w:rFonts w:ascii="仿宋_GB2312" w:hAnsi="仿宋_GB2312" w:cs="仿宋_GB2312" w:eastAsia="仿宋_GB2312"/>
                      <w:sz w:val="19"/>
                    </w:rPr>
                    <w:t>（3）系统应配置冲击校准所需的标准传感器及其配套安装附件，所配标准传感器应提供有效校准证书或溯源文件。</w:t>
                  </w:r>
                </w:p>
                <w:p>
                  <w:pPr>
                    <w:pStyle w:val="null3"/>
                  </w:pPr>
                  <w:r>
                    <w:rPr>
                      <w:rFonts w:ascii="仿宋_GB2312" w:hAnsi="仿宋_GB2312" w:cs="仿宋_GB2312" w:eastAsia="仿宋_GB2312"/>
                      <w:sz w:val="19"/>
                    </w:rPr>
                    <w:t>（4）提供完整技术资料，包括使用说明书、操作规程、维护保养说明、装箱清单、出厂检验资料、产品合格证明及必要的系统连接说明。</w:t>
                  </w:r>
                </w:p>
                <w:p>
                  <w:pPr>
                    <w:pStyle w:val="null3"/>
                  </w:pPr>
                  <w:r>
                    <w:rPr>
                      <w:rFonts w:ascii="仿宋_GB2312" w:hAnsi="仿宋_GB2312" w:cs="仿宋_GB2312" w:eastAsia="仿宋_GB2312"/>
                      <w:sz w:val="19"/>
                    </w:rPr>
                    <w:t>（5）配套软件支持免费升级</w:t>
                  </w:r>
                </w:p>
                <w:p>
                  <w:pPr>
                    <w:pStyle w:val="null3"/>
                  </w:pPr>
                  <w:r>
                    <w:rPr>
                      <w:rFonts w:ascii="仿宋_GB2312" w:hAnsi="仿宋_GB2312" w:cs="仿宋_GB2312" w:eastAsia="仿宋_GB2312"/>
                      <w:sz w:val="19"/>
                    </w:rPr>
                    <w:t xml:space="preserve"> </w:t>
                  </w:r>
                </w:p>
              </w:tc>
              <w:tc>
                <w:tcPr>
                  <w:tcW w:type="dxa" w:w="511"/>
                </w:tcPr>
                <w:p>
                  <w:pPr>
                    <w:pStyle w:val="null3"/>
                  </w:pPr>
                  <w:r>
                    <w:rPr>
                      <w:rFonts w:ascii="仿宋_GB2312" w:hAnsi="仿宋_GB2312" w:cs="仿宋_GB2312" w:eastAsia="仿宋_GB2312"/>
                      <w:sz w:val="19"/>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 以上技术参数与性能指标标“★”项不允许负偏离，任意⼀项负偏离按⽆效谈判处理；其中（1）标“#”项：需提供佐证材料（3.3技术要求序号1）：①指标项有明确要求的：须按照指标项要求提供对应证明材料；②指标要求未做说明的，佐证材料不限于产品彩⻚、检测报告、官⽹功能截图、⽣产⼚家加盖公章的技术参数与性能指标证明材料等，未提供或提供的证明材料低于⽂件规定的相应技术参数时视为负偏离；（2）⾮标“#”项：响应情况以技术指标偏差表响应为准，未响应或低于⽂件规定的相应技术参数时视为负偏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提供产品使用寿命承诺书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1、供货方应提供现场安装调试、操作培训和维护培训，仪器免费安装调试到位，试运行3个月后方可进行验收，培训内容应覆盖设备操作、传感器安装、冲击条件调节、数据记录、安全注意事项和日常维护。</w:t>
            </w:r>
          </w:p>
          <w:p>
            <w:pPr>
              <w:pStyle w:val="null3"/>
            </w:pPr>
            <w:r>
              <w:rPr>
                <w:rFonts w:ascii="仿宋_GB2312" w:hAnsi="仿宋_GB2312" w:cs="仿宋_GB2312" w:eastAsia="仿宋_GB2312"/>
              </w:rPr>
              <w:t>2、质保期内应提供技术支持和故障处理服务；对关键耗材、易损件及常用附件应明确供货周期、单价和后续采购渠道。</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西安建筑科技大学草堂校区311实验室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整机质保期不少于3年，自设备最终验收合格之日起计算。质保期内因设备设计、制造、材料、软件或安装调试原因造成的故障，供货方应免费维修或更换相关部件。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1、核心产品：振动传感器校准系统 2、中标（成交）结果发布后，中标（成交）供应商在2个工作日内向采购代理机构提供2套（和上传文件保持一致的）纸质投标（响应）文件用于备案及档案保存。3、谈判保证金以电子保函形式递交需在谈判截止时间前发送一份扫描件至526159856@qq.com。4、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审查环节审查）</w:t>
            </w:r>
          </w:p>
        </w:tc>
        <w:tc>
          <w:tcPr>
            <w:tcW w:type="dxa" w:w="1661"/>
          </w:tcPr>
          <w:p>
            <w:pPr>
              <w:pStyle w:val="null3"/>
            </w:pPr>
            <w:r>
              <w:rPr>
                <w:rFonts w:ascii="仿宋_GB2312" w:hAnsi="仿宋_GB2312" w:cs="仿宋_GB2312" w:eastAsia="仿宋_GB2312"/>
              </w:rPr>
              <w:t>标的清单 报价表 04-分项报价表.pdf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11-产品使用寿命承诺书.pdf 07-谈判响应方案说明.pdf 报价表 09-商务条款响应说明.pdf 03-诚信承诺书.pdf 06-技术指标偏差表.pdf 响应文件封面 08-拒绝商业贿赂承诺书.pdf 10-谈判保证金.pdf 标的清单 04-分项报价表.pdf 05-服务承诺.pdf 响应函 02-资格要求证明资料.pdf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详见附件：11-产品使用寿命承诺书.pdf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