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1D89B">
      <w:pPr>
        <w:pStyle w:val="12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拟签订合同文本</w:t>
      </w:r>
    </w:p>
    <w:p w14:paraId="1355A54D">
      <w:pPr>
        <w:pStyle w:val="12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商务及合同主要条款（参考）</w:t>
      </w:r>
    </w:p>
    <w:bookmarkEnd w:id="0"/>
    <w:p w14:paraId="5CDBEB0C">
      <w:pPr>
        <w:pStyle w:val="12"/>
        <w:jc w:val="center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最终以实际签订合同为准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</w:p>
    <w:p w14:paraId="6EB59CCC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一、合同内容及金额：即中标人的投标内容及其中标总金额，合同总价一次包死，不受市场价变化的影响。</w:t>
      </w:r>
    </w:p>
    <w:p w14:paraId="113492F1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二、产品技术规格、数量：即交货的产品技术规格、材料、数量与投标文件所指明的，或者与本合同所指明的产品技术规格及型号相一致。</w:t>
      </w:r>
    </w:p>
    <w:p w14:paraId="768CB247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三、知识产权：即中标人应保证采购人在使用中标货物时，不承担任何涉及知识产权法律诉讼的责任。</w:t>
      </w:r>
    </w:p>
    <w:p w14:paraId="12F0DB34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四、供货期：文件要求的时间。 </w:t>
      </w:r>
    </w:p>
    <w:p w14:paraId="58C22EA8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中标人未征得采购人同意和谅解而单方面延迟交货，将按违约终止合同。</w:t>
      </w:r>
    </w:p>
    <w:p w14:paraId="23FD3A16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中标人遇到可能妨碍按时交付和提供服务的情况，应当及时以书面形式通知采购人，说明原由、拖延的期限等；采购人、采购代理机构在收到通知后，尽快进行情况评估并确定是否通过修改合同，酌情延长交付时间或者通过协商加收误期赔偿金。</w:t>
      </w:r>
    </w:p>
    <w:p w14:paraId="5FF7F3C6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五、供货地点：西安航空职业技术学院指定地点。</w:t>
      </w:r>
    </w:p>
    <w:p w14:paraId="0AF8CA0C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六、结算方式：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详见第三章</w:t>
      </w:r>
      <w:r>
        <w:rPr>
          <w:rFonts w:hint="eastAsia" w:ascii="仿宋" w:hAnsi="仿宋" w:eastAsia="仿宋" w:cs="仿宋"/>
          <w:sz w:val="24"/>
          <w:szCs w:val="24"/>
        </w:rPr>
        <w:t>3.4.4支付约定</w:t>
      </w:r>
    </w:p>
    <w:p w14:paraId="3BBF7814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2F7D3914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八、运输：中标人可根据供货期、运输条件自行选择运输方式（另有规定的除外），承担一切运输费用。</w:t>
      </w:r>
    </w:p>
    <w:p w14:paraId="58E98A0B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九、技术保障：中标人应随同货物提供相应的中文技术文件（包括产品合格证、装箱清单、操作手册、使用说明、检测报告、维护手册、服务指南等资料）,现场安装、调试、试运行技术保障服务。</w:t>
      </w:r>
    </w:p>
    <w:p w14:paraId="5612F2C8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十、人员培训：提供免费培训，人数、地点按采购人的要求约定。</w:t>
      </w:r>
    </w:p>
    <w:p w14:paraId="77F1D9A6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十一、质量保证</w:t>
      </w:r>
    </w:p>
    <w:p w14:paraId="5F2B9FE9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1、中标人使用的原材料应提供清单，并在到货24小时内通知采购人代表检验核实（具体方式在合同中明确）。</w:t>
      </w:r>
    </w:p>
    <w:p w14:paraId="496DDAF7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中标人应当保证所供货物的来源渠道正常，产品是全新的、未使用过的、且完全符合合同规定的质量、规格、技术指标等要求，并在质保期内、外应对由于产品设计、工艺或材料的缺陷而产生的质量问题负责。</w:t>
      </w:r>
    </w:p>
    <w:p w14:paraId="2E7AD1E6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3、在质保期内，如果发现货物的质量、规格、技术指标等存在与合同中任何一项不符，采购人应在最短时间内，以书面形式向中标人提出索赔。同时通告采购代理机构。</w:t>
      </w:r>
    </w:p>
    <w:p w14:paraId="6EB1F15B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十二、采购项目执行内容需要调整时，经采购人同意后，可以对相应的原材料进行调整，并协商确定价格差额计算方法和负担办法。</w:t>
      </w:r>
    </w:p>
    <w:p w14:paraId="0996843B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十三、产品设计变更</w:t>
      </w:r>
    </w:p>
    <w:p w14:paraId="05F48798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69986A65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十四、检验：在交货前，制造商应当对产品的质量、规格、型号、数量等进行准确而全面的检验，出具合格证并封装；货物送达指定地点后，中标人、采购人须在约定的时间和地点共同开箱检验。</w:t>
      </w:r>
    </w:p>
    <w:p w14:paraId="778ED4E2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五、验收：通过检验的货物方可进行安装、调试、达到使用条件时由采购人负责组织验收或者邀请有关专家、质检机构、采购代理机构共同进行验收；验收合格须交接项目实施的全部资料，并填写政府采购项目验收报告单。验收须以合同、招投标文件、澄清、及国家相应的标准、规范等为依据。</w:t>
      </w:r>
    </w:p>
    <w:p w14:paraId="1EF7A6BE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十六、合同争议的解决：合同执行中发生争议的，当事人双方应协商解决，协商达不成一致时，可向人民法院提请诉讼。</w:t>
      </w:r>
    </w:p>
    <w:p w14:paraId="64B5AD71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十七、在发生不可抗力情况下的应对措施和解决办法。</w:t>
      </w:r>
    </w:p>
    <w:p w14:paraId="35E68C22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十八、合同一经签订，不得擅自变更、中止或者终止合同。对确需变更、调整或者中止、终止合同的，应按规定履行相应的手续。</w:t>
      </w:r>
    </w:p>
    <w:p w14:paraId="032EFD2B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九、违约责任：依据《中华人民共和国民法典》、《中华人民共和国政府采购法》的相关条款和本合同约定，中标人未全面履行合同义务或者发生违约，采购人会同采购代理机构有权终止合同，依法向中标人要求经济索赔，并报请政府采购监督管理机关进行相应的行政处罚。采购人违约的，应当赔偿给中标人造成的经济损失。</w:t>
      </w:r>
    </w:p>
    <w:p w14:paraId="16E55401"/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DBD23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0855E8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- 3 -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90855E8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- 3 -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6716C">
    <w:pPr>
      <w:pStyle w:val="7"/>
      <w:pBdr>
        <w:bottom w:val="single" w:color="auto" w:sz="6" w:space="2"/>
      </w:pBdr>
      <w:jc w:val="left"/>
      <w:rPr>
        <w:rFonts w:hint="eastAsia"/>
        <w:color w:val="FF0000"/>
      </w:rPr>
    </w:pPr>
    <w:r>
      <w:rPr>
        <w:rFonts w:hint="eastAsia"/>
        <w:color w:val="FF0000"/>
      </w:rPr>
      <w:t xml:space="preserve">  </w:t>
    </w:r>
    <w:r>
      <w:rPr>
        <w:color w:val="FF0000"/>
      </w:rPr>
      <w:t xml:space="preserve"> </w:t>
    </w:r>
    <w:r>
      <w:rPr>
        <w:rFonts w:hint="eastAsia"/>
        <w:color w:val="FF0000"/>
      </w:rPr>
      <w:t xml:space="preserve">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5CE0147"/>
    <w:rsid w:val="0B044A14"/>
    <w:rsid w:val="46A32A9E"/>
    <w:rsid w:val="47C2344D"/>
    <w:rsid w:val="636869CC"/>
    <w:rsid w:val="6C15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unhideWhenUsed/>
    <w:qFormat/>
    <w:uiPriority w:val="99"/>
    <w:pPr>
      <w:jc w:val="left"/>
    </w:pPr>
    <w:rPr>
      <w:rFonts w:ascii="Arial" w:hAnsi="Arial" w:eastAsia="黑体"/>
      <w:b/>
      <w:sz w:val="32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"/>
    <w:basedOn w:val="4"/>
    <w:next w:val="1"/>
    <w:qFormat/>
    <w:uiPriority w:val="99"/>
    <w:pPr>
      <w:spacing w:beforeLines="50" w:afterLines="50" w:line="360" w:lineRule="auto"/>
      <w:ind w:firstLine="200" w:firstLineChars="200"/>
    </w:pPr>
    <w:rPr>
      <w:color w:val="auto"/>
      <w:kern w:val="0"/>
      <w:sz w:val="30"/>
      <w:szCs w:val="20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3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4">
    <w:name w:val="列出段落2"/>
    <w:basedOn w:val="1"/>
    <w:qFormat/>
    <w:uiPriority w:val="0"/>
    <w:pPr>
      <w:spacing w:line="240" w:lineRule="auto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1761</Words>
  <Characters>1769</Characters>
  <Lines>0</Lines>
  <Paragraphs>0</Paragraphs>
  <TotalTime>0</TotalTime>
  <ScaleCrop>false</ScaleCrop>
  <LinksUpToDate>false</LinksUpToDate>
  <CharactersWithSpaces>1823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2024-09-10T03:01:00Z</dcterms:created>
  <dc:creator>Administrator</dc:creator>
  <cp:lastModifiedBy>安安</cp:lastModifiedBy>
  <dcterms:modified xsi:type="dcterms:W3CDTF">2026-04-27T08:27:30Z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25B0ED1896A1426882AFAC9C21B5A880_12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