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版本号：YXZFCG-2026-0220260812002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采购26台智慧黑板项目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YXZFCG-2026-02</w:t>
      </w:r>
      <w:r>
        <w:br/>
      </w:r>
      <w:r>
        <w:br/>
      </w:r>
      <w:r>
        <w:br/>
      </w:r>
    </w:p>
    <w:p>
      <w:pPr>
        <w:pStyle w:val="null3"/>
        <w:jc w:val="center"/>
        <w:outlineLvl w:val="2"/>
      </w:pPr>
      <w:r>
        <w:rPr>
          <w:rFonts w:ascii="仿宋_GB2312" w:hAnsi="仿宋_GB2312" w:cs="仿宋_GB2312" w:eastAsia="仿宋_GB2312"/>
          <w:sz w:val="28"/>
          <w:b/>
        </w:rPr>
        <w:t>洋县第二高级中学</w:t>
      </w:r>
    </w:p>
    <w:p>
      <w:pPr>
        <w:pStyle w:val="null3"/>
        <w:jc w:val="center"/>
        <w:outlineLvl w:val="2"/>
      </w:pPr>
      <w:r>
        <w:rPr>
          <w:rFonts w:ascii="仿宋_GB2312" w:hAnsi="仿宋_GB2312" w:cs="仿宋_GB2312" w:eastAsia="仿宋_GB2312"/>
          <w:sz w:val="28"/>
          <w:b/>
        </w:rPr>
        <w:t>洋县政府采购中心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洋县政府采购中心</w:t>
      </w:r>
      <w:r>
        <w:rPr>
          <w:rFonts w:ascii="仿宋_GB2312" w:hAnsi="仿宋_GB2312" w:cs="仿宋_GB2312" w:eastAsia="仿宋_GB2312"/>
        </w:rPr>
        <w:t>（以下简称“代理机构”）受</w:t>
      </w:r>
      <w:r>
        <w:rPr>
          <w:rFonts w:ascii="仿宋_GB2312" w:hAnsi="仿宋_GB2312" w:cs="仿宋_GB2312" w:eastAsia="仿宋_GB2312"/>
        </w:rPr>
        <w:t>洋县第二高级中学</w:t>
      </w:r>
      <w:r>
        <w:rPr>
          <w:rFonts w:ascii="仿宋_GB2312" w:hAnsi="仿宋_GB2312" w:cs="仿宋_GB2312" w:eastAsia="仿宋_GB2312"/>
        </w:rPr>
        <w:t>委托，拟对</w:t>
      </w:r>
      <w:r>
        <w:rPr>
          <w:rFonts w:ascii="仿宋_GB2312" w:hAnsi="仿宋_GB2312" w:cs="仿宋_GB2312" w:eastAsia="仿宋_GB2312"/>
        </w:rPr>
        <w:t>采购26台智慧黑板项目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YXZFCG-2026-02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采购26台智慧黑板项目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为了改善学校办学条件，采购26台智慧黑板。</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1、供应商资格承诺函：提供符合要求的汉中市政府采购供应商资格承诺函。</w:t>
      </w:r>
    </w:p>
    <w:p>
      <w:pPr>
        <w:pStyle w:val="null3"/>
      </w:pPr>
      <w:r>
        <w:rPr>
          <w:rFonts w:ascii="仿宋_GB2312" w:hAnsi="仿宋_GB2312" w:cs="仿宋_GB2312" w:eastAsia="仿宋_GB2312"/>
        </w:rPr>
        <w:t>2、法定代表人授权委托书或法定代表人证明书：法定代表人参加投标活动的，须提供法定代表人身份证明书；法定代表人授权代表参加投标活动的，须提供法定代表人授权委托书。</w:t>
      </w:r>
    </w:p>
    <w:p>
      <w:pPr>
        <w:pStyle w:val="null3"/>
      </w:pPr>
      <w:r>
        <w:rPr>
          <w:rFonts w:ascii="仿宋_GB2312" w:hAnsi="仿宋_GB2312" w:cs="仿宋_GB2312" w:eastAsia="仿宋_GB2312"/>
        </w:rPr>
        <w:t>3、营业执照等主体资格证明文件：具有独立承担民事责任能力的法人、其他组织或自然人，并出具合法有效的营业执照或事业单位法人证书等国家规定的相关证明，自然人参与的提供其身份证明。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洋县第二高级中学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陕西省汉中市洋县南环路188号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洋县第二高级中学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15891464499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洋县政府采购中心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陕西省汉中市洋县唐塔北路51号洋县财政局206室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0916-2986238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洋县第二高级中学</w:t>
      </w:r>
      <w:r>
        <w:rPr>
          <w:rFonts w:ascii="仿宋_GB2312" w:hAnsi="仿宋_GB2312" w:cs="仿宋_GB2312" w:eastAsia="仿宋_GB2312"/>
        </w:rPr>
        <w:t>和</w:t>
      </w:r>
      <w:r>
        <w:rPr>
          <w:rFonts w:ascii="仿宋_GB2312" w:hAnsi="仿宋_GB2312" w:cs="仿宋_GB2312" w:eastAsia="仿宋_GB2312"/>
        </w:rPr>
        <w:t>洋县政府采购中心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洋县第二高级中学</w:t>
      </w:r>
      <w:r>
        <w:rPr>
          <w:rFonts w:ascii="仿宋_GB2312" w:hAnsi="仿宋_GB2312" w:cs="仿宋_GB2312" w:eastAsia="仿宋_GB2312"/>
        </w:rPr>
        <w:t>负责解释。除上述招标文件内容，其他内容由</w:t>
      </w:r>
      <w:r>
        <w:rPr>
          <w:rFonts w:ascii="仿宋_GB2312" w:hAnsi="仿宋_GB2312" w:cs="仿宋_GB2312" w:eastAsia="仿宋_GB2312"/>
        </w:rPr>
        <w:t>洋县政府采购中心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洋县第二高级中学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洋县政府采购中心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货物运输到指定地点后，按采购⽂件、响应⽂件、采购合同组织验收。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洋县第二高级中学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洋县政府采购中心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洋县政府采购中心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联系人：洋县第二高级中学</w:t>
      </w:r>
    </w:p>
    <w:p>
      <w:pPr>
        <w:pStyle w:val="null3"/>
      </w:pPr>
      <w:r>
        <w:rPr>
          <w:rFonts w:ascii="仿宋_GB2312" w:hAnsi="仿宋_GB2312" w:cs="仿宋_GB2312" w:eastAsia="仿宋_GB2312"/>
        </w:rPr>
        <w:t>联系电话：15891464499</w:t>
      </w:r>
    </w:p>
    <w:p>
      <w:pPr>
        <w:pStyle w:val="null3"/>
      </w:pPr>
      <w:r>
        <w:rPr>
          <w:rFonts w:ascii="仿宋_GB2312" w:hAnsi="仿宋_GB2312" w:cs="仿宋_GB2312" w:eastAsia="仿宋_GB2312"/>
        </w:rPr>
        <w:t>地址：陕西省汉中市洋县南环路188号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为了改善学校办学条件，采购26台智慧黑板</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洋县第二高级中学采购26台智慧黑板项目</w:t>
            </w:r>
          </w:p>
        </w:tc>
        <w:tc>
          <w:tcPr>
            <w:tcW w:type="dxa" w:w="755"/>
          </w:tcPr>
          <w:p>
            <w:pPr>
              <w:pStyle w:val="null3"/>
              <w:jc w:val="right"/>
            </w:pPr>
            <w:r>
              <w:rPr>
                <w:rFonts w:ascii="仿宋_GB2312" w:hAnsi="仿宋_GB2312" w:cs="仿宋_GB2312" w:eastAsia="仿宋_GB2312"/>
              </w:rPr>
              <w:t>26.00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标的名称：洋县第二高级中学采购26台智慧黑板项目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触控一体机（核心产品）</w:t>
            </w:r>
          </w:p>
          <w:p>
            <w:pPr>
              <w:pStyle w:val="null3"/>
              <w:jc w:val="left"/>
            </w:pPr>
            <w:r>
              <w:rPr>
                <w:rFonts w:ascii="仿宋_GB2312" w:hAnsi="仿宋_GB2312" w:cs="仿宋_GB2312" w:eastAsia="仿宋_GB2312"/>
                <w:sz w:val="20"/>
              </w:rPr>
              <w:t>一、整体设计</w:t>
            </w:r>
            <w:r>
              <w:br/>
            </w:r>
            <w:r>
              <w:rPr>
                <w:rFonts w:ascii="仿宋_GB2312" w:hAnsi="仿宋_GB2312" w:cs="仿宋_GB2312" w:eastAsia="仿宋_GB2312"/>
                <w:sz w:val="21"/>
              </w:rPr>
              <w:t>★</w:t>
            </w:r>
            <w:r>
              <w:rPr>
                <w:rFonts w:ascii="仿宋_GB2312" w:hAnsi="仿宋_GB2312" w:cs="仿宋_GB2312" w:eastAsia="仿宋_GB2312"/>
                <w:sz w:val="20"/>
              </w:rPr>
              <w:t>1.整机屏幕采用≥86英寸液晶显示器</w:t>
            </w:r>
            <w:r>
              <w:rPr>
                <w:rFonts w:ascii="仿宋_GB2312" w:hAnsi="仿宋_GB2312" w:cs="仿宋_GB2312" w:eastAsia="仿宋_GB2312"/>
                <w:sz w:val="20"/>
              </w:rPr>
              <w:t>，</w:t>
            </w:r>
            <w:r>
              <w:rPr>
                <w:rFonts w:ascii="仿宋_GB2312" w:hAnsi="仿宋_GB2312" w:cs="仿宋_GB2312" w:eastAsia="仿宋_GB2312"/>
                <w:sz w:val="20"/>
              </w:rPr>
              <w:t>屏占比</w:t>
            </w:r>
            <w:r>
              <w:rPr>
                <w:rFonts w:ascii="仿宋_GB2312" w:hAnsi="仿宋_GB2312" w:cs="仿宋_GB2312" w:eastAsia="仿宋_GB2312"/>
                <w:sz w:val="20"/>
              </w:rPr>
              <w:t>≥</w:t>
            </w:r>
            <w:r>
              <w:rPr>
                <w:rFonts w:ascii="仿宋_GB2312" w:hAnsi="仿宋_GB2312" w:cs="仿宋_GB2312" w:eastAsia="仿宋_GB2312"/>
                <w:sz w:val="20"/>
              </w:rPr>
              <w:t>88%</w:t>
            </w:r>
            <w:r>
              <w:rPr>
                <w:rFonts w:ascii="仿宋_GB2312" w:hAnsi="仿宋_GB2312" w:cs="仿宋_GB2312" w:eastAsia="仿宋_GB2312"/>
                <w:sz w:val="20"/>
              </w:rPr>
              <w:t>。</w:t>
            </w:r>
            <w:r>
              <w:br/>
            </w:r>
            <w:r>
              <w:rPr>
                <w:rFonts w:ascii="仿宋_GB2312" w:hAnsi="仿宋_GB2312" w:cs="仿宋_GB2312" w:eastAsia="仿宋_GB2312"/>
                <w:sz w:val="21"/>
              </w:rPr>
              <w:t>★</w:t>
            </w:r>
            <w:r>
              <w:rPr>
                <w:rFonts w:ascii="仿宋_GB2312" w:hAnsi="仿宋_GB2312" w:cs="仿宋_GB2312" w:eastAsia="仿宋_GB2312"/>
                <w:sz w:val="20"/>
              </w:rPr>
              <w:t>2.整机边框皆具备磁吸功能，边框任意位置可吸附具备磁吸功能的书写笔。</w:t>
            </w:r>
            <w:r>
              <w:br/>
            </w:r>
            <w:r>
              <w:rPr>
                <w:rFonts w:ascii="仿宋_GB2312" w:hAnsi="仿宋_GB2312" w:cs="仿宋_GB2312" w:eastAsia="仿宋_GB2312"/>
                <w:sz w:val="20"/>
              </w:rPr>
              <w:t>二、整机性能</w:t>
            </w:r>
            <w:r>
              <w:br/>
            </w:r>
            <w:r>
              <w:rPr>
                <w:rFonts w:ascii="仿宋_GB2312" w:hAnsi="仿宋_GB2312" w:cs="仿宋_GB2312" w:eastAsia="仿宋_GB2312"/>
                <w:sz w:val="21"/>
              </w:rPr>
              <w:t>★</w:t>
            </w:r>
            <w:r>
              <w:rPr>
                <w:rFonts w:ascii="仿宋_GB2312" w:hAnsi="仿宋_GB2312" w:cs="仿宋_GB2312" w:eastAsia="仿宋_GB2312"/>
                <w:sz w:val="20"/>
              </w:rPr>
              <w:t>1.整机采⽤超⾼清LED液晶屏，显示分辨率≥3840x2160，可视角度≥178°。</w:t>
            </w:r>
            <w:r>
              <w:br/>
            </w:r>
            <w:r>
              <w:rPr>
                <w:rFonts w:ascii="仿宋_GB2312" w:hAnsi="仿宋_GB2312" w:cs="仿宋_GB2312" w:eastAsia="仿宋_GB2312"/>
                <w:sz w:val="21"/>
              </w:rPr>
              <w:t>▲</w:t>
            </w:r>
            <w:r>
              <w:rPr>
                <w:rFonts w:ascii="仿宋_GB2312" w:hAnsi="仿宋_GB2312" w:cs="仿宋_GB2312" w:eastAsia="仿宋_GB2312"/>
                <w:sz w:val="20"/>
              </w:rPr>
              <w:t>2.屏幕采⽤≤3mm钢化玻璃。</w:t>
            </w:r>
            <w:r>
              <w:br/>
            </w:r>
            <w:r>
              <w:rPr>
                <w:rFonts w:ascii="仿宋_GB2312" w:hAnsi="仿宋_GB2312" w:cs="仿宋_GB2312" w:eastAsia="仿宋_GB2312"/>
                <w:sz w:val="21"/>
              </w:rPr>
              <w:t>▲</w:t>
            </w:r>
            <w:r>
              <w:rPr>
                <w:rFonts w:ascii="仿宋_GB2312" w:hAnsi="仿宋_GB2312" w:cs="仿宋_GB2312" w:eastAsia="仿宋_GB2312"/>
                <w:sz w:val="20"/>
              </w:rPr>
              <w:t>3.整机背光系统支持DC调光方式，多级亮度调节，支持白颜色背景下最暗亮度≤100nit，用于提升显示对比度。</w:t>
            </w:r>
            <w:r>
              <w:br/>
            </w:r>
            <w:r>
              <w:rPr>
                <w:rFonts w:ascii="仿宋_GB2312" w:hAnsi="仿宋_GB2312" w:cs="仿宋_GB2312" w:eastAsia="仿宋_GB2312"/>
                <w:sz w:val="21"/>
              </w:rPr>
              <w:t>▲</w:t>
            </w:r>
            <w:r>
              <w:rPr>
                <w:rFonts w:ascii="仿宋_GB2312" w:hAnsi="仿宋_GB2312" w:cs="仿宋_GB2312" w:eastAsia="仿宋_GB2312"/>
                <w:sz w:val="20"/>
              </w:rPr>
              <w:t>4.屏幕灰阶等级≥256级。</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5.整机通过大屏发送WiFi6热点以及连接WiFi6的路由器。</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6.具有护眼功能，该功能应通过专业机构认证（提供权威检测机构出具的检测报告复印件，并加盖原厂公章）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7.为保证产品质量、供货进度及将来便利维护，一体机应具有CCC证书。（提供CCC证书复印件并加盖原厂公章）</w:t>
            </w:r>
            <w:r>
              <w:br/>
            </w:r>
            <w:r>
              <w:rPr>
                <w:rFonts w:ascii="仿宋_GB2312" w:hAnsi="仿宋_GB2312" w:cs="仿宋_GB2312" w:eastAsia="仿宋_GB2312"/>
                <w:sz w:val="20"/>
              </w:rPr>
              <w:t>三、音频性能</w:t>
            </w:r>
            <w:r>
              <w:br/>
            </w:r>
            <w:r>
              <w:rPr>
                <w:rFonts w:ascii="仿宋_GB2312" w:hAnsi="仿宋_GB2312" w:cs="仿宋_GB2312" w:eastAsia="仿宋_GB2312"/>
                <w:sz w:val="21"/>
              </w:rPr>
              <w:t>▲</w:t>
            </w:r>
            <w:r>
              <w:rPr>
                <w:rFonts w:ascii="仿宋_GB2312" w:hAnsi="仿宋_GB2312" w:cs="仿宋_GB2312" w:eastAsia="仿宋_GB2312"/>
                <w:sz w:val="20"/>
              </w:rPr>
              <w:t>1.整机内置扬声器，最大功率≥84W。</w:t>
            </w:r>
            <w:r>
              <w:br/>
            </w:r>
            <w:r>
              <w:rPr>
                <w:rFonts w:ascii="仿宋_GB2312" w:hAnsi="仿宋_GB2312" w:cs="仿宋_GB2312" w:eastAsia="仿宋_GB2312"/>
                <w:sz w:val="21"/>
              </w:rPr>
              <w:t>▲</w:t>
            </w:r>
            <w:r>
              <w:rPr>
                <w:rFonts w:ascii="仿宋_GB2312" w:hAnsi="仿宋_GB2312" w:cs="仿宋_GB2312" w:eastAsia="仿宋_GB2312"/>
                <w:sz w:val="20"/>
              </w:rPr>
              <w:t>2.整机全部扬声器均采用模块化设计，无需打开背板即可单独拆卸。</w:t>
            </w:r>
            <w:r>
              <w:br/>
            </w:r>
            <w:r>
              <w:rPr>
                <w:rFonts w:ascii="仿宋_GB2312" w:hAnsi="仿宋_GB2312" w:cs="仿宋_GB2312" w:eastAsia="仿宋_GB2312"/>
                <w:sz w:val="21"/>
              </w:rPr>
              <w:t>▲</w:t>
            </w:r>
            <w:r>
              <w:rPr>
                <w:rFonts w:ascii="仿宋_GB2312" w:hAnsi="仿宋_GB2312" w:cs="仿宋_GB2312" w:eastAsia="仿宋_GB2312"/>
                <w:sz w:val="20"/>
              </w:rPr>
              <w:t>3.整机内置阵列麦克风，拾音距离≥12m。</w:t>
            </w:r>
            <w:r>
              <w:br/>
            </w:r>
            <w:r>
              <w:rPr>
                <w:rFonts w:ascii="仿宋_GB2312" w:hAnsi="仿宋_GB2312" w:cs="仿宋_GB2312" w:eastAsia="仿宋_GB2312"/>
                <w:sz w:val="20"/>
              </w:rPr>
              <w:t>四、</w:t>
            </w:r>
            <w:r>
              <w:rPr>
                <w:rFonts w:ascii="仿宋_GB2312" w:hAnsi="仿宋_GB2312" w:cs="仿宋_GB2312" w:eastAsia="仿宋_GB2312"/>
                <w:sz w:val="20"/>
              </w:rPr>
              <w:t>OPS主机</w:t>
            </w:r>
            <w:r>
              <w:br/>
            </w:r>
            <w:r>
              <w:rPr>
                <w:rFonts w:ascii="仿宋_GB2312" w:hAnsi="仿宋_GB2312" w:cs="仿宋_GB2312" w:eastAsia="仿宋_GB2312"/>
                <w:sz w:val="21"/>
              </w:rPr>
              <w:t>★</w:t>
            </w:r>
            <w:r>
              <w:rPr>
                <w:rFonts w:ascii="仿宋_GB2312" w:hAnsi="仿宋_GB2312" w:cs="仿宋_GB2312" w:eastAsia="仿宋_GB2312"/>
                <w:sz w:val="20"/>
              </w:rPr>
              <w:t>1</w:t>
            </w:r>
            <w:r>
              <w:rPr>
                <w:rFonts w:ascii="仿宋_GB2312" w:hAnsi="仿宋_GB2312" w:cs="仿宋_GB2312" w:eastAsia="仿宋_GB2312"/>
                <w:sz w:val="20"/>
                <w:color w:val="000000"/>
              </w:rPr>
              <w:t>.内置电脑配置：</w:t>
            </w:r>
            <w:r>
              <w:rPr>
                <w:rFonts w:ascii="仿宋_GB2312" w:hAnsi="仿宋_GB2312" w:cs="仿宋_GB2312" w:eastAsia="仿宋_GB2312"/>
                <w:sz w:val="20"/>
                <w:color w:val="000000"/>
              </w:rPr>
              <w:t>X86架构处理器</w:t>
            </w:r>
            <w:r>
              <w:rPr>
                <w:rFonts w:ascii="仿宋_GB2312" w:hAnsi="仿宋_GB2312" w:cs="仿宋_GB2312" w:eastAsia="仿宋_GB2312"/>
                <w:sz w:val="20"/>
                <w:color w:val="000000"/>
              </w:rPr>
              <w:t>，处理器核数</w:t>
            </w:r>
            <w:r>
              <w:rPr>
                <w:rFonts w:ascii="仿宋_GB2312" w:hAnsi="仿宋_GB2312" w:cs="仿宋_GB2312" w:eastAsia="仿宋_GB2312"/>
                <w:sz w:val="20"/>
                <w:color w:val="000000"/>
              </w:rPr>
              <w:t>≥8核，线程≥16；主频≥2.8GHz；内存：8GB DDR4 内存或以上配置；硬盘：256GB或以上SSD固态硬盘；≥2G独显</w:t>
            </w:r>
            <w:r>
              <w:rPr>
                <w:rFonts w:ascii="仿宋_GB2312" w:hAnsi="仿宋_GB2312" w:cs="仿宋_GB2312" w:eastAsia="仿宋_GB2312"/>
                <w:sz w:val="20"/>
                <w:color w:val="000000"/>
              </w:rPr>
              <w:t>；</w:t>
            </w:r>
            <w:r>
              <w:rPr>
                <w:rFonts w:ascii="仿宋_GB2312" w:hAnsi="仿宋_GB2312" w:cs="仿宋_GB2312" w:eastAsia="仿宋_GB2312"/>
                <w:sz w:val="20"/>
                <w:color w:val="000000"/>
              </w:rPr>
              <w:t>正版</w:t>
            </w:r>
            <w:r>
              <w:rPr>
                <w:rFonts w:ascii="仿宋_GB2312" w:hAnsi="仿宋_GB2312" w:cs="仿宋_GB2312" w:eastAsia="仿宋_GB2312"/>
                <w:sz w:val="20"/>
                <w:color w:val="000000"/>
              </w:rPr>
              <w:t>操作系统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永久授权，三年内免费升级；本项目经费为财政性资金，依据《政府采购法》应该采购本国货物之规定，本项目不接受进口整机产品参与投标。所有终端硬件核心运算芯片、预装操作系统须为国内企业独立研发、国内厂区完成生产制造；整机软硬件可适配中小学信息科技教学软件、机房管控系统、编程教学平台稳定运行。</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2</w:t>
            </w:r>
            <w:r>
              <w:rPr>
                <w:rFonts w:ascii="仿宋_GB2312" w:hAnsi="仿宋_GB2312" w:cs="仿宋_GB2312" w:eastAsia="仿宋_GB2312"/>
                <w:sz w:val="20"/>
              </w:rPr>
              <w:t>.电脑模块具有≥1路HDMI接口；≥3个USB3.0接口。</w:t>
            </w:r>
          </w:p>
          <w:p>
            <w:pPr>
              <w:pStyle w:val="null3"/>
              <w:jc w:val="left"/>
            </w:pPr>
            <w:r>
              <w:rPr>
                <w:rFonts w:ascii="仿宋_GB2312" w:hAnsi="仿宋_GB2312" w:cs="仿宋_GB2312" w:eastAsia="仿宋_GB2312"/>
                <w:sz w:val="20"/>
              </w:rPr>
              <w:t>五、</w:t>
            </w:r>
            <w:r>
              <w:rPr>
                <w:rFonts w:ascii="仿宋_GB2312" w:hAnsi="仿宋_GB2312" w:cs="仿宋_GB2312" w:eastAsia="仿宋_GB2312"/>
                <w:sz w:val="20"/>
              </w:rPr>
              <w:t>内置摄像头</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1.整机内置摄像头，像素≥1600万。</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2.摄像头具备人脸识别、远程巡课等功能。</w:t>
            </w:r>
          </w:p>
          <w:p>
            <w:pPr>
              <w:pStyle w:val="null3"/>
              <w:jc w:val="left"/>
            </w:pPr>
            <w:r>
              <w:rPr>
                <w:rFonts w:ascii="仿宋_GB2312" w:hAnsi="仿宋_GB2312" w:cs="仿宋_GB2312" w:eastAsia="仿宋_GB2312"/>
                <w:sz w:val="20"/>
              </w:rPr>
              <w:t>六</w:t>
            </w:r>
            <w:r>
              <w:rPr>
                <w:rFonts w:ascii="仿宋_GB2312" w:hAnsi="仿宋_GB2312" w:cs="仿宋_GB2312" w:eastAsia="仿宋_GB2312"/>
                <w:sz w:val="20"/>
              </w:rPr>
              <w:t>、触控性能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1.整机支持≥20点触控。</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2.触摸分辨率≥32768×32768。</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3.触摸响应≤4ms。</w:t>
            </w:r>
          </w:p>
          <w:p>
            <w:pPr>
              <w:pStyle w:val="null3"/>
              <w:jc w:val="left"/>
            </w:pPr>
            <w:r>
              <w:rPr>
                <w:rFonts w:ascii="仿宋_GB2312" w:hAnsi="仿宋_GB2312" w:cs="仿宋_GB2312" w:eastAsia="仿宋_GB2312"/>
                <w:sz w:val="20"/>
              </w:rPr>
              <w:t>七</w:t>
            </w:r>
            <w:r>
              <w:rPr>
                <w:rFonts w:ascii="仿宋_GB2312" w:hAnsi="仿宋_GB2312" w:cs="仿宋_GB2312" w:eastAsia="仿宋_GB2312"/>
                <w:sz w:val="20"/>
              </w:rPr>
              <w:t>、其他</w:t>
            </w:r>
          </w:p>
          <w:p>
            <w:pPr>
              <w:pStyle w:val="null3"/>
              <w:jc w:val="both"/>
            </w:pPr>
            <w:r>
              <w:rPr>
                <w:rFonts w:ascii="仿宋_GB2312" w:hAnsi="仿宋_GB2312" w:cs="仿宋_GB2312" w:eastAsia="仿宋_GB2312"/>
                <w:sz w:val="20"/>
              </w:rPr>
              <w:t>中标公示结束后、签订合同前，成交供应商须提供生产厂家正规供货授权及原厂售后服务承诺函（加盖厂家公章）</w:t>
            </w:r>
            <w:r>
              <w:rPr>
                <w:rFonts w:ascii="仿宋_GB2312" w:hAnsi="仿宋_GB2312" w:cs="仿宋_GB2312" w:eastAsia="仿宋_GB2312"/>
                <w:sz w:val="20"/>
              </w:rPr>
              <w:t>，</w:t>
            </w:r>
            <w:r>
              <w:rPr>
                <w:rFonts w:ascii="仿宋_GB2312" w:hAnsi="仿宋_GB2312" w:cs="仿宋_GB2312" w:eastAsia="仿宋_GB2312"/>
                <w:sz w:val="20"/>
              </w:rPr>
              <w:t>中标企业须对产品进行演示，如不符合招标参数及要求，甲方有权拒绝签订合同并向中标商家追责。</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rPr>
              <w:t>教学</w:t>
            </w:r>
            <w:r>
              <w:rPr>
                <w:rFonts w:ascii="仿宋_GB2312" w:hAnsi="仿宋_GB2312" w:cs="仿宋_GB2312" w:eastAsia="仿宋_GB2312"/>
                <w:sz w:val="20"/>
                <w:b/>
              </w:rPr>
              <w:t>管理</w:t>
            </w:r>
            <w:r>
              <w:rPr>
                <w:rFonts w:ascii="仿宋_GB2312" w:hAnsi="仿宋_GB2312" w:cs="仿宋_GB2312" w:eastAsia="仿宋_GB2312"/>
                <w:sz w:val="20"/>
                <w:b/>
              </w:rPr>
              <w:t>软件</w:t>
            </w:r>
          </w:p>
          <w:p>
            <w:pPr>
              <w:pStyle w:val="null3"/>
              <w:jc w:val="left"/>
            </w:pPr>
            <w:r>
              <w:rPr>
                <w:rFonts w:ascii="仿宋_GB2312" w:hAnsi="仿宋_GB2312" w:cs="仿宋_GB2312" w:eastAsia="仿宋_GB2312"/>
                <w:sz w:val="20"/>
              </w:rPr>
              <w:t>一、白板软件</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1.支持为教师提供可扩展至60TB的云存储空间。</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2.互动教学课件支持定向精准分享</w:t>
            </w:r>
            <w:r>
              <w:rPr>
                <w:rFonts w:ascii="仿宋_GB2312" w:hAnsi="仿宋_GB2312" w:cs="仿宋_GB2312" w:eastAsia="仿宋_GB2312"/>
                <w:sz w:val="2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3.提供互动式教学课件资源，包含学科教育各学段各地区教材版本不少于8</w:t>
            </w:r>
            <w:r>
              <w:rPr>
                <w:rFonts w:ascii="仿宋_GB2312" w:hAnsi="仿宋_GB2312" w:cs="仿宋_GB2312" w:eastAsia="仿宋_GB2312"/>
                <w:sz w:val="20"/>
              </w:rPr>
              <w:t>0</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4.采用备授课一体化框架设计，教师可根据教学场景自由切换类PPT界面的备课模式与触控交互教学模式，适用于教室、办公室等不同教学环境，便于教师教学使用。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5.支持PPT的原生解析，教师可将pptx课件转化为互动教学课件，支持导入</w:t>
            </w:r>
            <w:r>
              <w:rPr>
                <w:rFonts w:ascii="仿宋_GB2312" w:hAnsi="仿宋_GB2312" w:cs="仿宋_GB2312" w:eastAsia="仿宋_GB2312"/>
                <w:sz w:val="20"/>
              </w:rPr>
              <w:t>课件，并保留课件的</w:t>
            </w:r>
            <w:r>
              <w:rPr>
                <w:rFonts w:ascii="仿宋_GB2312" w:hAnsi="仿宋_GB2312" w:cs="仿宋_GB2312" w:eastAsia="仿宋_GB2312"/>
                <w:sz w:val="20"/>
              </w:rPr>
              <w:t>可编辑性。</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6.</w:t>
            </w:r>
            <w:r>
              <w:rPr>
                <w:rFonts w:ascii="仿宋_GB2312" w:hAnsi="仿宋_GB2312" w:cs="仿宋_GB2312" w:eastAsia="仿宋_GB2312"/>
                <w:sz w:val="20"/>
              </w:rPr>
              <w:t>具备</w:t>
            </w:r>
            <w:r>
              <w:rPr>
                <w:rFonts w:ascii="仿宋_GB2312" w:hAnsi="仿宋_GB2312" w:cs="仿宋_GB2312" w:eastAsia="仿宋_GB2312"/>
                <w:sz w:val="20"/>
              </w:rPr>
              <w:t>课件回收站功能</w:t>
            </w:r>
            <w:r>
              <w:rPr>
                <w:rFonts w:ascii="仿宋_GB2312" w:hAnsi="仿宋_GB2312" w:cs="仿宋_GB2312" w:eastAsia="仿宋_GB2312"/>
                <w:sz w:val="2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7.具备云端静默推送下载功能。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8.支持快速录制微课，微课可录制保存音频和课件的互动操作</w:t>
            </w:r>
            <w:r>
              <w:rPr>
                <w:rFonts w:ascii="仿宋_GB2312" w:hAnsi="仿宋_GB2312" w:cs="仿宋_GB2312" w:eastAsia="仿宋_GB2312"/>
                <w:sz w:val="2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9.提供将</w:t>
            </w:r>
            <w:r>
              <w:rPr>
                <w:rFonts w:ascii="仿宋_GB2312" w:hAnsi="仿宋_GB2312" w:cs="仿宋_GB2312" w:eastAsia="仿宋_GB2312"/>
                <w:sz w:val="20"/>
              </w:rPr>
              <w:t>电子教案</w:t>
            </w:r>
            <w:r>
              <w:rPr>
                <w:rFonts w:ascii="仿宋_GB2312" w:hAnsi="仿宋_GB2312" w:cs="仿宋_GB2312" w:eastAsia="仿宋_GB2312"/>
                <w:sz w:val="20"/>
              </w:rPr>
              <w:t>转换为云教案的能力，支持解析文本、表格等通用元素，方便老师迁移旧教案。</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10.</w:t>
            </w:r>
            <w:r>
              <w:rPr>
                <w:rFonts w:ascii="仿宋_GB2312" w:hAnsi="仿宋_GB2312" w:cs="仿宋_GB2312" w:eastAsia="仿宋_GB2312"/>
                <w:sz w:val="20"/>
              </w:rPr>
              <w:t>支持</w:t>
            </w:r>
            <w:r>
              <w:rPr>
                <w:rFonts w:ascii="仿宋_GB2312" w:hAnsi="仿宋_GB2312" w:cs="仿宋_GB2312" w:eastAsia="仿宋_GB2312"/>
                <w:sz w:val="20"/>
              </w:rPr>
              <w:t>AI智能纠错。</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11.</w:t>
            </w:r>
            <w:r>
              <w:rPr>
                <w:rFonts w:ascii="仿宋_GB2312" w:hAnsi="仿宋_GB2312" w:cs="仿宋_GB2312" w:eastAsia="仿宋_GB2312"/>
                <w:sz w:val="20"/>
              </w:rPr>
              <w:t>配套提供符合国家要求的党建教学资源</w:t>
            </w:r>
            <w:r>
              <w:rPr>
                <w:rFonts w:ascii="仿宋_GB2312" w:hAnsi="仿宋_GB2312" w:cs="仿宋_GB2312" w:eastAsia="仿宋_GB2312"/>
                <w:sz w:val="2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.内置课堂教学、简约、插画、科技、古风等不少于70个课件主题模板供教师选用，且教师可自定义课件背景。</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.软件支持电子化听评课功能。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.备课模式下界面工具菜单支持自定义设置，教师可增减符合自身备课习惯的学科工具，自设工具菜单与教师云空间账号绑定，在任意终端登录教师账号备课自动同步备课工具菜单。</w:t>
            </w:r>
          </w:p>
          <w:p>
            <w:pPr>
              <w:pStyle w:val="null3"/>
              <w:jc w:val="left"/>
            </w:pPr>
            <w:r>
              <w:rPr>
                <w:rFonts w:ascii="仿宋_GB2312" w:hAnsi="仿宋_GB2312" w:cs="仿宋_GB2312" w:eastAsia="仿宋_GB2312"/>
                <w:sz w:val="20"/>
              </w:rPr>
              <w:t>二</w:t>
            </w:r>
            <w:r>
              <w:rPr>
                <w:rFonts w:ascii="仿宋_GB2312" w:hAnsi="仿宋_GB2312" w:cs="仿宋_GB2312" w:eastAsia="仿宋_GB2312"/>
                <w:sz w:val="20"/>
              </w:rPr>
              <w:t>、教学教研平台</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1.数据平台采用云平台设计，方便管理员登录使用。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2.平台在后台可为不同使用老师设置使用权限。</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3.平台可在后台对集体备课、听课评课等数据进行汇总。</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4.教学数据资源汇聚在平台后，可统一进行管理操作。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5.教师集备记录：支持查看以老师维度统计的集备记录，查看 老师所属学段学科、发起次数、参备次数、评论数、批注数、最近集备时间等数据。支持管理员导出教师集备记录数据表格。</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6.搭建目录框架：校本资源库提供学科目录模板/教材目录模 板，便于管理者快速搭建校本资源目录框架， 以文件夹的形式进行分组，方便各年级学科的资源管理。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7</w:t>
            </w:r>
            <w:r>
              <w:rPr>
                <w:rFonts w:ascii="仿宋_GB2312" w:hAnsi="仿宋_GB2312" w:cs="仿宋_GB2312" w:eastAsia="仿宋_GB2312"/>
                <w:sz w:val="20"/>
              </w:rPr>
              <w:t>.权限设置：支持以文件夹的维度进行权限设置，设置某个文件夹仅有权限的部门或者老师可见，同时支持按文件夹的维 度进行课件的批量移动、删除。</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8</w:t>
            </w:r>
            <w:r>
              <w:rPr>
                <w:rFonts w:ascii="仿宋_GB2312" w:hAnsi="仿宋_GB2312" w:cs="仿宋_GB2312" w:eastAsia="仿宋_GB2312"/>
                <w:sz w:val="20"/>
              </w:rPr>
              <w:t>.资源管理：教师可对本人上传的校本资源进行分类移动，删除或重命名。</w:t>
            </w:r>
          </w:p>
          <w:p>
            <w:pPr>
              <w:pStyle w:val="null3"/>
            </w:pPr>
            <w:r>
              <w:rPr>
                <w:rFonts w:ascii="仿宋_GB2312" w:hAnsi="仿宋_GB2312" w:cs="仿宋_GB2312" w:eastAsia="仿宋_GB2312"/>
                <w:sz w:val="21"/>
              </w:rPr>
              <w:t>▲</w:t>
            </w:r>
            <w:r>
              <w:rPr>
                <w:rFonts w:ascii="仿宋_GB2312" w:hAnsi="仿宋_GB2312" w:cs="仿宋_GB2312" w:eastAsia="仿宋_GB2312"/>
                <w:sz w:val="20"/>
              </w:rPr>
              <w:t>9</w:t>
            </w:r>
            <w:r>
              <w:rPr>
                <w:rFonts w:ascii="仿宋_GB2312" w:hAnsi="仿宋_GB2312" w:cs="仿宋_GB2312" w:eastAsia="仿宋_GB2312"/>
                <w:sz w:val="20"/>
              </w:rPr>
              <w:t>.数据概览：管理者通过学校数据可视化看板，查看学校云课件教案数、累计校本研修次数等情况。</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b/>
              </w:rPr>
              <w:t>展台</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设备</w:t>
            </w:r>
            <w:r>
              <w:rPr>
                <w:rFonts w:ascii="仿宋_GB2312" w:hAnsi="仿宋_GB2312" w:cs="仿宋_GB2312" w:eastAsia="仿宋_GB2312"/>
                <w:sz w:val="20"/>
              </w:rPr>
              <w:t>≥800万像素摄像头</w:t>
            </w:r>
            <w:r>
              <w:rPr>
                <w:rFonts w:ascii="仿宋_GB2312" w:hAnsi="仿宋_GB2312" w:cs="仿宋_GB2312" w:eastAsia="仿宋_GB2312"/>
                <w:sz w:val="2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支持不小于</w:t>
            </w:r>
            <w:r>
              <w:rPr>
                <w:rFonts w:ascii="仿宋_GB2312" w:hAnsi="仿宋_GB2312" w:cs="仿宋_GB2312" w:eastAsia="仿宋_GB2312"/>
                <w:sz w:val="20"/>
              </w:rPr>
              <w:t>A4大小拍摄幅面，1080P动态视频预览达到30帧/秒。</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支持展台成像画面实时批注，预设多种笔划供选择。</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4.</w:t>
            </w:r>
            <w:r>
              <w:rPr>
                <w:rFonts w:ascii="仿宋_GB2312" w:hAnsi="仿宋_GB2312" w:cs="仿宋_GB2312" w:eastAsia="仿宋_GB2312"/>
                <w:sz w:val="20"/>
              </w:rPr>
              <w:t>支持</w:t>
            </w:r>
            <w:r>
              <w:rPr>
                <w:rFonts w:ascii="仿宋_GB2312" w:hAnsi="仿宋_GB2312" w:cs="仿宋_GB2312" w:eastAsia="仿宋_GB2312"/>
                <w:sz w:val="20"/>
              </w:rPr>
              <w:t>具有故障自动检测</w:t>
            </w:r>
            <w:r>
              <w:rPr>
                <w:rFonts w:ascii="仿宋_GB2312" w:hAnsi="仿宋_GB2312" w:cs="仿宋_GB2312" w:eastAsia="仿宋_GB2312"/>
                <w:sz w:val="20"/>
              </w:rPr>
              <w:t>和提示</w:t>
            </w:r>
            <w:r>
              <w:rPr>
                <w:rFonts w:ascii="仿宋_GB2312" w:hAnsi="仿宋_GB2312" w:cs="仿宋_GB2312" w:eastAsia="仿宋_GB2312"/>
                <w:sz w:val="20"/>
              </w:rPr>
              <w:t>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展示托板</w:t>
            </w:r>
            <w:r>
              <w:rPr>
                <w:rFonts w:ascii="仿宋_GB2312" w:hAnsi="仿宋_GB2312" w:cs="仿宋_GB2312" w:eastAsia="仿宋_GB2312"/>
                <w:sz w:val="20"/>
              </w:rPr>
              <w:t>采用</w:t>
            </w:r>
            <w:r>
              <w:rPr>
                <w:rFonts w:ascii="仿宋_GB2312" w:hAnsi="仿宋_GB2312" w:cs="仿宋_GB2312" w:eastAsia="仿宋_GB2312"/>
                <w:sz w:val="20"/>
              </w:rPr>
              <w:t>LED补光灯。</w:t>
            </w:r>
          </w:p>
          <w:p>
            <w:pPr>
              <w:pStyle w:val="null3"/>
            </w:pPr>
            <w:r>
              <w:rPr>
                <w:rFonts w:ascii="仿宋_GB2312" w:hAnsi="仿宋_GB2312" w:cs="仿宋_GB2312" w:eastAsia="仿宋_GB2312"/>
                <w:sz w:val="21"/>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摄像头具备</w:t>
            </w:r>
            <w:r>
              <w:rPr>
                <w:rFonts w:ascii="仿宋_GB2312" w:hAnsi="仿宋_GB2312" w:cs="仿宋_GB2312" w:eastAsia="仿宋_GB2312"/>
                <w:sz w:val="20"/>
              </w:rPr>
              <w:t>防尘</w:t>
            </w:r>
            <w:r>
              <w:rPr>
                <w:rFonts w:ascii="仿宋_GB2312" w:hAnsi="仿宋_GB2312" w:cs="仿宋_GB2312" w:eastAsia="仿宋_GB2312"/>
                <w:sz w:val="20"/>
              </w:rPr>
              <w:t>功能</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b/>
              </w:rPr>
              <w:t>集控</w:t>
            </w:r>
            <w:r>
              <w:rPr>
                <w:rFonts w:ascii="仿宋_GB2312" w:hAnsi="仿宋_GB2312" w:cs="仿宋_GB2312" w:eastAsia="仿宋_GB2312"/>
                <w:sz w:val="20"/>
                <w:b/>
              </w:rPr>
              <w:t>管理平台</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1.平台采用B/S架构设计，支持账号/密码、手机扫码登录。</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2.音视频直播：支持多位老师同时向不同设备发起直播。</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3.弹窗管理：支持拦截某个应用窗口、</w:t>
            </w:r>
            <w:r>
              <w:rPr>
                <w:rFonts w:ascii="仿宋_GB2312" w:hAnsi="仿宋_GB2312" w:cs="仿宋_GB2312" w:eastAsia="仿宋_GB2312"/>
                <w:sz w:val="20"/>
              </w:rPr>
              <w:t>支持将具体</w:t>
            </w:r>
            <w:r>
              <w:rPr>
                <w:rFonts w:ascii="仿宋_GB2312" w:hAnsi="仿宋_GB2312" w:cs="仿宋_GB2312" w:eastAsia="仿宋_GB2312"/>
                <w:sz w:val="20"/>
              </w:rPr>
              <w:t>窗口加入白名单。</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4.分组管理：支持根据设备类型、设备所属年级/场地/自定义分组、设备开关机状态进行分组管理；支持文字检索设备名称，快速定位对应设备进行定向精准管理。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5.多场景锁屏：支持一键下课锁屏、开机自动锁屏、无网络时验证身份解锁。</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6.远程控制：支持远程实时控制设备，可监测设备当前运行界面，并远程操作设备界面。</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7.不良信息监测：支持在发送消息通知时，自动监测所发送文字是否存在敏感/违规文字，保护触达学生的信息安全可控。</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8.流量监管：支持查看校内当日班班通设备流量使用的具体情况、带宽利用率；支持对设备进行限速设置。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9.网址过滤：支持设置网址访问黑名单、白名单，限制所有设备的网址访问。</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10.数据分析：支持实时查看和导出学校设备整体使用数据，并支持精确查看具体设备数据。</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11.磁盘清理：支持远程批量清理设备磁盘，保障设备磁盘可用空间最大化。</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12.领导视窗：支持查看教室的实时摄像头画面、设备屏幕画面</w:t>
            </w:r>
            <w:r>
              <w:rPr>
                <w:rFonts w:ascii="仿宋_GB2312" w:hAnsi="仿宋_GB2312" w:cs="仿宋_GB2312" w:eastAsia="仿宋_GB2312"/>
                <w:sz w:val="20"/>
              </w:rPr>
              <w:t>，</w:t>
            </w:r>
            <w:r>
              <w:rPr>
                <w:rFonts w:ascii="仿宋_GB2312" w:hAnsi="仿宋_GB2312" w:cs="仿宋_GB2312" w:eastAsia="仿宋_GB2312"/>
                <w:sz w:val="20"/>
              </w:rPr>
              <w:t>以及</w:t>
            </w:r>
            <w:r>
              <w:rPr>
                <w:rFonts w:ascii="仿宋_GB2312" w:hAnsi="仿宋_GB2312" w:cs="仿宋_GB2312" w:eastAsia="仿宋_GB2312"/>
                <w:sz w:val="20"/>
              </w:rPr>
              <w:t>监听</w:t>
            </w:r>
            <w:r>
              <w:rPr>
                <w:rFonts w:ascii="仿宋_GB2312" w:hAnsi="仿宋_GB2312" w:cs="仿宋_GB2312" w:eastAsia="仿宋_GB2312"/>
                <w:sz w:val="20"/>
              </w:rPr>
              <w:t>麦克风的声音，完整还原课堂全貌。单台设备巡视时，可远程发消息</w:t>
            </w:r>
            <w:r>
              <w:rPr>
                <w:rFonts w:ascii="仿宋_GB2312" w:hAnsi="仿宋_GB2312" w:cs="仿宋_GB2312" w:eastAsia="仿宋_GB2312"/>
                <w:sz w:val="20"/>
              </w:rPr>
              <w:t>、</w:t>
            </w:r>
            <w:r>
              <w:rPr>
                <w:rFonts w:ascii="仿宋_GB2312" w:hAnsi="仿宋_GB2312" w:cs="仿宋_GB2312" w:eastAsia="仿宋_GB2312"/>
                <w:sz w:val="20"/>
              </w:rPr>
              <w:t>发语音，可对教室画面进行截屏、录制，支持记录所有管理员的巡视记录，方便回溯</w:t>
            </w:r>
            <w:r>
              <w:rPr>
                <w:rFonts w:ascii="仿宋_GB2312" w:hAnsi="仿宋_GB2312" w:cs="仿宋_GB2312" w:eastAsia="仿宋_GB2312"/>
                <w:sz w:val="2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13.自动巡视：支持针对不同设备创建不同时间的自动巡视计划。</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14.智</w:t>
            </w:r>
            <w:r>
              <w:rPr>
                <w:rFonts w:ascii="仿宋_GB2312" w:hAnsi="仿宋_GB2312" w:cs="仿宋_GB2312" w:eastAsia="仿宋_GB2312"/>
                <w:sz w:val="20"/>
              </w:rPr>
              <w:t>能</w:t>
            </w:r>
            <w:r>
              <w:rPr>
                <w:rFonts w:ascii="仿宋_GB2312" w:hAnsi="仿宋_GB2312" w:cs="仿宋_GB2312" w:eastAsia="仿宋_GB2312"/>
                <w:sz w:val="20"/>
              </w:rPr>
              <w:t>管控：支持设备长时间无人使用时，自动进入屏保、锁屏、息屏、关机状态。</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15.</w:t>
            </w:r>
            <w:r>
              <w:rPr>
                <w:rFonts w:ascii="仿宋_GB2312" w:hAnsi="仿宋_GB2312" w:cs="仿宋_GB2312" w:eastAsia="仿宋_GB2312"/>
                <w:sz w:val="20"/>
              </w:rPr>
              <w:t>支持</w:t>
            </w:r>
            <w:r>
              <w:rPr>
                <w:rFonts w:ascii="仿宋_GB2312" w:hAnsi="仿宋_GB2312" w:cs="仿宋_GB2312" w:eastAsia="仿宋_GB2312"/>
                <w:sz w:val="20"/>
              </w:rPr>
              <w:t>软件静默安装</w:t>
            </w:r>
            <w:r>
              <w:rPr>
                <w:rFonts w:ascii="仿宋_GB2312" w:hAnsi="仿宋_GB2312" w:cs="仿宋_GB2312" w:eastAsia="仿宋_GB2312"/>
                <w:sz w:val="20"/>
              </w:rPr>
              <w:t>功能</w:t>
            </w:r>
            <w:r>
              <w:rPr>
                <w:rFonts w:ascii="仿宋_GB2312" w:hAnsi="仿宋_GB2312" w:cs="仿宋_GB2312" w:eastAsia="仿宋_GB2312"/>
                <w:sz w:val="2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16.</w:t>
            </w:r>
            <w:r>
              <w:rPr>
                <w:rFonts w:ascii="仿宋_GB2312" w:hAnsi="仿宋_GB2312" w:cs="仿宋_GB2312" w:eastAsia="仿宋_GB2312"/>
                <w:sz w:val="20"/>
              </w:rPr>
              <w:t>支持</w:t>
            </w:r>
            <w:r>
              <w:rPr>
                <w:rFonts w:ascii="仿宋_GB2312" w:hAnsi="仿宋_GB2312" w:cs="仿宋_GB2312" w:eastAsia="仿宋_GB2312"/>
                <w:sz w:val="20"/>
              </w:rPr>
              <w:t>弹窗</w:t>
            </w:r>
            <w:r>
              <w:rPr>
                <w:rFonts w:ascii="仿宋_GB2312" w:hAnsi="仿宋_GB2312" w:cs="仿宋_GB2312" w:eastAsia="仿宋_GB2312"/>
                <w:sz w:val="20"/>
              </w:rPr>
              <w:t>AI拦截</w:t>
            </w:r>
            <w:r>
              <w:rPr>
                <w:rFonts w:ascii="仿宋_GB2312" w:hAnsi="仿宋_GB2312" w:cs="仿宋_GB2312" w:eastAsia="仿宋_GB2312"/>
                <w:sz w:val="20"/>
              </w:rPr>
              <w:t>功能</w:t>
            </w:r>
            <w:r>
              <w:rPr>
                <w:rFonts w:ascii="仿宋_GB2312" w:hAnsi="仿宋_GB2312" w:cs="仿宋_GB2312" w:eastAsia="仿宋_GB2312"/>
                <w:sz w:val="20"/>
              </w:rPr>
              <w:t>。</w:t>
            </w:r>
          </w:p>
          <w:p>
            <w:pPr>
              <w:pStyle w:val="null3"/>
            </w:pPr>
            <w:r>
              <w:rPr>
                <w:rFonts w:ascii="仿宋_GB2312" w:hAnsi="仿宋_GB2312" w:cs="仿宋_GB2312" w:eastAsia="仿宋_GB2312"/>
                <w:sz w:val="21"/>
              </w:rPr>
              <w:t>▲</w:t>
            </w:r>
            <w:r>
              <w:rPr>
                <w:rFonts w:ascii="仿宋_GB2312" w:hAnsi="仿宋_GB2312" w:cs="仿宋_GB2312" w:eastAsia="仿宋_GB2312"/>
                <w:sz w:val="20"/>
              </w:rPr>
              <w:t>17.</w:t>
            </w:r>
            <w:r>
              <w:rPr>
                <w:rFonts w:ascii="仿宋_GB2312" w:hAnsi="仿宋_GB2312" w:cs="仿宋_GB2312" w:eastAsia="仿宋_GB2312"/>
                <w:sz w:val="20"/>
              </w:rPr>
              <w:t>支持系统盘还原保护功能，提供管理员权限下远程解冻功能，满足日常软件管理的需求</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b/>
              </w:rPr>
              <w:t>光能黑板</w:t>
            </w:r>
          </w:p>
          <w:p>
            <w:pPr>
              <w:pStyle w:val="null3"/>
              <w:jc w:val="left"/>
            </w:pPr>
            <w:r>
              <w:rPr>
                <w:rFonts w:ascii="仿宋_GB2312" w:hAnsi="仿宋_GB2312" w:cs="仿宋_GB2312" w:eastAsia="仿宋_GB2312"/>
                <w:sz w:val="20"/>
              </w:rPr>
              <w:t>一、硬件要求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触控一体机两侧各放置一块光能黑板。单块光能黑板</w:t>
            </w:r>
            <w:r>
              <w:rPr>
                <w:rFonts w:ascii="仿宋_GB2312" w:hAnsi="仿宋_GB2312" w:cs="仿宋_GB2312" w:eastAsia="仿宋_GB2312"/>
                <w:sz w:val="20"/>
              </w:rPr>
              <w:t>≥1290(长)*1150(高)mm。下边框具有可调节托板，可根据触控一体机高度进行调整至与触控一体机高度平齐，兼具置物功能。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考虑黑板的边角安全因素，黑板四角应为圆角。</w:t>
            </w:r>
            <w:r>
              <w:rPr>
                <w:rFonts w:ascii="仿宋_GB2312" w:hAnsi="仿宋_GB2312" w:cs="仿宋_GB2312" w:eastAsia="仿宋_GB2312"/>
                <w:sz w:val="20"/>
              </w:rPr>
              <w:t>(提供检测报告复印件，并提供全国认证认可信息公共服务平台对应检测报告查询记录截图。)</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边框采用铝合金材质，坚固耐用，具有较好的耐腐蚀特性。</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黑板侧面应采用侧封板，侧封板在非拆除形式下，能够调整侧封板与墙面的闭合距离，便于安装及后期调节。</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无需专用耗材，采用多种笔杆均可在板面进行书写，可擦写次数</w:t>
            </w:r>
            <w:r>
              <w:rPr>
                <w:rFonts w:ascii="仿宋_GB2312" w:hAnsi="仿宋_GB2312" w:cs="仿宋_GB2312" w:eastAsia="仿宋_GB2312"/>
                <w:sz w:val="20"/>
              </w:rPr>
              <w:t>≥10万次。</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板面应无频闪、无背光，上膜不应产生眩光。板书笔迹平视可视距离</w:t>
            </w:r>
            <w:r>
              <w:rPr>
                <w:rFonts w:ascii="仿宋_GB2312" w:hAnsi="仿宋_GB2312" w:cs="仿宋_GB2312" w:eastAsia="仿宋_GB2312"/>
                <w:sz w:val="20"/>
              </w:rPr>
              <w:t>≥20米，可视角度≥150°。</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光能黑板的光泽度</w:t>
            </w:r>
            <w:r>
              <w:rPr>
                <w:rFonts w:ascii="仿宋_GB2312" w:hAnsi="仿宋_GB2312" w:cs="仿宋_GB2312" w:eastAsia="仿宋_GB2312"/>
                <w:sz w:val="20"/>
              </w:rPr>
              <w:t>≤30光泽单位。</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板面粗糙度</w:t>
            </w:r>
            <w:r>
              <w:rPr>
                <w:rFonts w:ascii="仿宋_GB2312" w:hAnsi="仿宋_GB2312" w:cs="仿宋_GB2312" w:eastAsia="仿宋_GB2312"/>
                <w:sz w:val="20"/>
              </w:rPr>
              <w:t>Sa≤0.3um。(提供检测报告复印件，并提供全国认证认可信息公共服务平台对应检测报告查询记录截图。)</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书写板上膜应经过抗紫外线工艺处理，波长</w:t>
            </w:r>
            <w:r>
              <w:rPr>
                <w:rFonts w:ascii="仿宋_GB2312" w:hAnsi="仿宋_GB2312" w:cs="仿宋_GB2312" w:eastAsia="仿宋_GB2312"/>
                <w:sz w:val="20"/>
              </w:rPr>
              <w:t>&lt;</w:t>
            </w:r>
            <w:r>
              <w:rPr>
                <w:rFonts w:ascii="仿宋_GB2312" w:hAnsi="仿宋_GB2312" w:cs="仿宋_GB2312" w:eastAsia="仿宋_GB2312"/>
                <w:sz w:val="20"/>
              </w:rPr>
              <w:t>380nm的紫外线阻隔率≥99.5%。</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一键擦除时间不大于</w:t>
            </w:r>
            <w:r>
              <w:rPr>
                <w:rFonts w:ascii="仿宋_GB2312" w:hAnsi="仿宋_GB2312" w:cs="仿宋_GB2312" w:eastAsia="仿宋_GB2312"/>
                <w:sz w:val="20"/>
              </w:rPr>
              <w:t>1.5秒，擦除应无断点、无死角等，擦除后应无明显残留痕迹。(提供检测报告复印件，并提供全国认证认可信息公共服务平台对应检测报告查询记录截图。)</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为方便使用，可使用板擦和手势对板书进行局部擦除，局部擦除时间不大于</w:t>
            </w:r>
            <w:r>
              <w:rPr>
                <w:rFonts w:ascii="仿宋_GB2312" w:hAnsi="仿宋_GB2312" w:cs="仿宋_GB2312" w:eastAsia="仿宋_GB2312"/>
                <w:sz w:val="20"/>
              </w:rPr>
              <w:t>0.4秒，擦除应无断点、 无死角等，擦除后应无明显残留痕迹，且非擦除区域不受影响。(提供检测报告复印件，并提供全国认证认可信息公共服务平台对应检测报告查询记录截图。)</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黑板内设有电压调整机制，支持自动感应调整，也支持通过手势按压书写板板面的特定位置，调节局部擦除的灵敏度，适应不同用户的使用需求。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最大工作电流</w:t>
            </w:r>
            <w:r>
              <w:rPr>
                <w:rFonts w:ascii="仿宋_GB2312" w:hAnsi="仿宋_GB2312" w:cs="仿宋_GB2312" w:eastAsia="仿宋_GB2312"/>
                <w:sz w:val="20"/>
              </w:rPr>
              <w:t>(瞬间电流)≤1000mA。(提供检测报告复印件，并提供全国认证认可信息公共服务平台对应检测报告查询记录截图。)</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黑板表面具有暗格，用以提供给师生在书写板书时的直线参照，可避免板书歪斜。黑板表面可吸附磁贴、磁扣等教学工具，便于老师教学使用。</w:t>
            </w:r>
            <w:r>
              <w:rPr>
                <w:rFonts w:ascii="仿宋_GB2312" w:hAnsi="仿宋_GB2312" w:cs="仿宋_GB2312" w:eastAsia="仿宋_GB2312"/>
                <w:sz w:val="20"/>
              </w:rPr>
              <w:t>(提供检测报告复印件，并提供全国认证认可信息公共服务平台对应检测报告查询记录截图。)</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光能黑板电磁场强度符合国家《工作场所有害因素职业接触限值物理因素》确认的：工频电场</w:t>
            </w:r>
            <w:r>
              <w:rPr>
                <w:rFonts w:ascii="仿宋_GB2312" w:hAnsi="仿宋_GB2312" w:cs="仿宋_GB2312" w:eastAsia="仿宋_GB2312"/>
                <w:sz w:val="20"/>
              </w:rPr>
              <w:t>≤5000V/m,磁感应强度≤100uT的限量。(提供检测报告复印件，并提供全国认证认可信息公共服务平台对应检测报告查询记录截图。)</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可</w:t>
            </w:r>
            <w:r>
              <w:rPr>
                <w:rFonts w:ascii="仿宋_GB2312" w:hAnsi="仿宋_GB2312" w:cs="仿宋_GB2312" w:eastAsia="仿宋_GB2312"/>
                <w:sz w:val="20"/>
              </w:rPr>
              <w:t>快速调取交互软件，方便使用功能，光能黑板应具有触摸快捷键。</w:t>
            </w:r>
          </w:p>
          <w:p>
            <w:pPr>
              <w:pStyle w:val="null3"/>
              <w:jc w:val="left"/>
            </w:pPr>
            <w:r>
              <w:rPr>
                <w:rFonts w:ascii="仿宋_GB2312" w:hAnsi="仿宋_GB2312" w:cs="仿宋_GB2312" w:eastAsia="仿宋_GB2312"/>
                <w:sz w:val="20"/>
              </w:rPr>
              <w:t>二、软件要求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左、右光能黑板可与触控一体机进行互动，将光能黑板的内容与触控一体机无缝连接，教师在光能黑板</w:t>
            </w:r>
            <w:r>
              <w:rPr>
                <w:rFonts w:ascii="仿宋_GB2312" w:hAnsi="仿宋_GB2312" w:cs="仿宋_GB2312" w:eastAsia="仿宋_GB2312"/>
                <w:sz w:val="20"/>
              </w:rPr>
              <w:t>上的书写内容可同步显示在触控一体机上。</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为便于老师记忆和操作，板书界面与电脑桌面</w:t>
            </w:r>
            <w:r>
              <w:rPr>
                <w:rFonts w:ascii="仿宋_GB2312" w:hAnsi="仿宋_GB2312" w:cs="仿宋_GB2312" w:eastAsia="仿宋_GB2312"/>
                <w:sz w:val="20"/>
              </w:rPr>
              <w:t>/PPT课件之间，可以来回切换，方便快捷。</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可以通过触摸快捷键快速切换单页和多页显示：单板书写时，可单页面显示</w:t>
            </w:r>
            <w:r>
              <w:rPr>
                <w:rFonts w:ascii="仿宋_GB2312" w:hAnsi="仿宋_GB2312" w:cs="仿宋_GB2312" w:eastAsia="仿宋_GB2312"/>
                <w:sz w:val="20"/>
              </w:rPr>
              <w:t>(此时只有一块黑板界面);  多板同时书写时，可多页面同时显示。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当不需要板书传输到软件显示界面时，可以使用分屏功能，断开黑板与大屏的传输，使其成为互不影响</w:t>
            </w:r>
            <w:r>
              <w:rPr>
                <w:rFonts w:ascii="仿宋_GB2312" w:hAnsi="仿宋_GB2312" w:cs="仿宋_GB2312" w:eastAsia="仿宋_GB2312"/>
                <w:sz w:val="20"/>
              </w:rPr>
              <w:t>的多块黑板。</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设置不同的软件端笔迹颜色，可实现老师对于教学重点的标识及批注；</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保存后的板书可以上下翻页，也可以通过触摸快捷键，快速预览所有已经存储的板书内容。当点击光</w:t>
            </w:r>
            <w:r>
              <w:rPr>
                <w:rFonts w:ascii="仿宋_GB2312" w:hAnsi="仿宋_GB2312" w:cs="仿宋_GB2312" w:eastAsia="仿宋_GB2312"/>
                <w:sz w:val="20"/>
              </w:rPr>
              <w:t>能黑板上的上下翻页时，仅对当前光能黑板的同传内容进行上下翻页，而不影响另一块光能黑板的同传界</w:t>
            </w:r>
            <w:r>
              <w:rPr>
                <w:rFonts w:ascii="仿宋_GB2312" w:hAnsi="仿宋_GB2312" w:cs="仿宋_GB2312" w:eastAsia="仿宋_GB2312"/>
                <w:sz w:val="20"/>
              </w:rPr>
              <w:t xml:space="preserve">  </w:t>
            </w:r>
            <w:r>
              <w:rPr>
                <w:rFonts w:ascii="仿宋_GB2312" w:hAnsi="仿宋_GB2312" w:cs="仿宋_GB2312" w:eastAsia="仿宋_GB2312"/>
                <w:sz w:val="20"/>
              </w:rPr>
              <w:t>面。</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对板书的电子文档进行分享，可以存储在本地</w:t>
            </w:r>
            <w:r>
              <w:rPr>
                <w:rFonts w:ascii="仿宋_GB2312" w:hAnsi="仿宋_GB2312" w:cs="仿宋_GB2312" w:eastAsia="仿宋_GB2312"/>
                <w:sz w:val="20"/>
              </w:rPr>
              <w:t>PC端，同时生成二维码，便于师生扫码获取。</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可以对课堂的板书和讲解进行录制，生成视频文档，利于学生课后复习回放。</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支持导入</w:t>
            </w:r>
            <w:r>
              <w:rPr>
                <w:rFonts w:ascii="仿宋_GB2312" w:hAnsi="仿宋_GB2312" w:cs="仿宋_GB2312" w:eastAsia="仿宋_GB2312"/>
                <w:sz w:val="20"/>
              </w:rPr>
              <w:t>PPT课件，可以在同传软件上同时显示出PPT课件和板书的记录文本。</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具备打印功能，可连接打印机将保存的板书文档传输至打印机打印，方便灵活。</w:t>
            </w:r>
          </w:p>
          <w:p>
            <w:pPr>
              <w:pStyle w:val="null3"/>
              <w:jc w:val="left"/>
            </w:pPr>
            <w:r>
              <w:rPr>
                <w:rFonts w:ascii="仿宋_GB2312" w:hAnsi="仿宋_GB2312" w:cs="仿宋_GB2312" w:eastAsia="仿宋_GB2312"/>
                <w:sz w:val="20"/>
              </w:rPr>
              <w:t>三、</w:t>
            </w:r>
            <w:r>
              <w:rPr>
                <w:rFonts w:ascii="仿宋_GB2312" w:hAnsi="仿宋_GB2312" w:cs="仿宋_GB2312" w:eastAsia="仿宋_GB2312"/>
                <w:sz w:val="20"/>
              </w:rPr>
              <w:t>其他要求</w:t>
            </w:r>
          </w:p>
          <w:p>
            <w:pPr>
              <w:pStyle w:val="null3"/>
              <w:jc w:val="left"/>
            </w:pPr>
            <w:r>
              <w:rPr>
                <w:rFonts w:ascii="仿宋_GB2312" w:hAnsi="仿宋_GB2312" w:cs="仿宋_GB2312" w:eastAsia="仿宋_GB2312"/>
                <w:sz w:val="20"/>
              </w:rPr>
              <w:t>1.供应商对其所销售的货物应当享有知识产权或经权利人合法授权，保证没有侵犯任何第三人的知识产权等权利。因违反前述约定对第三人构成侵权的，应当由供应商向第三人承担法律责任;采购人依法向第三人赔偿后，有权向供应商追偿。采购方有其他损失的，供应商应当赔偿。</w:t>
            </w:r>
          </w:p>
          <w:p>
            <w:pPr>
              <w:pStyle w:val="null3"/>
              <w:jc w:val="left"/>
            </w:pPr>
            <w:r>
              <w:rPr>
                <w:rFonts w:ascii="仿宋_GB2312" w:hAnsi="仿宋_GB2312" w:cs="仿宋_GB2312" w:eastAsia="仿宋_GB2312"/>
                <w:sz w:val="20"/>
              </w:rPr>
              <w:t>2.中标供应商须于签订合同后，供货时配合采购人进行检测测试，采购人将根据投标文件对所提供本次采购完整产品一套预安装，对参数的真实性和实际效果进行逐条逐字和功能验证，通过检测后方可进行验收。在检测测试过程中如发现有虚假应标行为的，采购人将拒绝接收货物、验收并退货。如检测结果合格，检测费用由采购人承担;检测结果不合格，检测费用由成交供应商承担，并依法进行处罚，且赔偿采购人一切损失。</w:t>
            </w:r>
          </w:p>
          <w:p>
            <w:pPr>
              <w:pStyle w:val="null3"/>
            </w:pPr>
            <w:r>
              <w:rPr>
                <w:rFonts w:ascii="仿宋_GB2312" w:hAnsi="仿宋_GB2312" w:cs="仿宋_GB2312" w:eastAsia="仿宋_GB2312"/>
                <w:sz w:val="20"/>
              </w:rPr>
              <w:t>3.为确保产品为全新，质量和功能稳定性，签订合同后,要求提供厂家出具的技术参数确认表、售后服务保证原件、供货证明原件，否则采购方将不予验收通过。</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合同签订后30日历天内完成供货。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运输安装到指定地点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进度款，终验合格后，达到付款条件起30个工作日内，支付合同总金额的100.0%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货物运输到指定地点后，按采购⽂件、响应⽂件、采购合同组织验收。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终验合格后不少于36个⽉，主要部件保修执⾏国家相关要求。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控股管理关系.docx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提供符合要求的汉中市政府采购供应商资格承诺函。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法定代表人授权委托书或法定代表人证明书</w:t>
            </w:r>
          </w:p>
        </w:tc>
        <w:tc>
          <w:tcPr>
            <w:tcW w:type="dxa" w:w="3322"/>
          </w:tcPr>
          <w:p>
            <w:pPr>
              <w:pStyle w:val="null3"/>
            </w:pPr>
            <w:r>
              <w:rPr>
                <w:rFonts w:ascii="仿宋_GB2312" w:hAnsi="仿宋_GB2312" w:cs="仿宋_GB2312" w:eastAsia="仿宋_GB2312"/>
              </w:rPr>
              <w:t>法定代表人参加投标活动的，须提供法定代表人身份证明书；法定代表人授权代表参加投标活动的，须提供法定代表人授权委托书。</w:t>
            </w:r>
          </w:p>
        </w:tc>
        <w:tc>
          <w:tcPr>
            <w:tcW w:type="dxa" w:w="1661"/>
          </w:tcPr>
          <w:p>
            <w:pPr>
              <w:pStyle w:val="null3"/>
            </w:pPr>
            <w:r>
              <w:rPr>
                <w:rFonts w:ascii="仿宋_GB2312" w:hAnsi="仿宋_GB2312" w:cs="仿宋_GB2312" w:eastAsia="仿宋_GB2312"/>
              </w:rPr>
              <w:t>法定代表人证明书及法定代表人授权书.docx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营业执照等主体资格证明文件.docx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符合采购文件的要求且无遗漏。</w:t>
            </w:r>
          </w:p>
        </w:tc>
        <w:tc>
          <w:tcPr>
            <w:tcW w:type="dxa" w:w="1661"/>
          </w:tcPr>
          <w:p>
            <w:pPr>
              <w:pStyle w:val="null3"/>
            </w:pPr>
            <w:r>
              <w:rPr>
                <w:rFonts w:ascii="仿宋_GB2312" w:hAnsi="仿宋_GB2312" w:cs="仿宋_GB2312" w:eastAsia="仿宋_GB2312"/>
              </w:rPr>
              <w:t>开标一览表 中小企业声明函 商务应答表 项目整体实施方案.docx 控股管理关系.docx 营业执照等主体资格证明文件.docx 汉中市政府采购供应商资格承诺函.docx 投标人应提交的相关资格证明材料 产品技术参数表 投标函 残疾人福利性单位声明函 标的清单 关于符合本国产品标准的声明函 投标文件封面 法定代表人证明书及法定代表人授权书.docx 偏离表格式.docx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应满足采购文件的要求。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1、报价符合唯一性要求;2、报价未超出采购文规定的最高限价。</w:t>
            </w:r>
          </w:p>
        </w:tc>
        <w:tc>
          <w:tcPr>
            <w:tcW w:type="dxa" w:w="1661"/>
          </w:tcPr>
          <w:p>
            <w:pPr>
              <w:pStyle w:val="null3"/>
            </w:pPr>
            <w:r>
              <w:rPr>
                <w:rFonts w:ascii="仿宋_GB2312" w:hAnsi="仿宋_GB2312" w:cs="仿宋_GB2312" w:eastAsia="仿宋_GB2312"/>
              </w:rPr>
              <w:t>开标一览表 商务应答表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原厂资质与产品合法来源证明</w:t>
            </w:r>
          </w:p>
        </w:tc>
        <w:tc>
          <w:tcPr>
            <w:tcW w:type="dxa" w:w="2492"/>
          </w:tcPr>
          <w:p>
            <w:pPr>
              <w:pStyle w:val="null3"/>
            </w:pPr>
            <w:r>
              <w:rPr>
                <w:rFonts w:ascii="仿宋_GB2312" w:hAnsi="仿宋_GB2312" w:cs="仿宋_GB2312" w:eastAsia="仿宋_GB2312"/>
              </w:rPr>
              <w:t>1、所投触控一体机原厂针对本项目专项授权书（加盖厂家公章）：得3分； 2、原厂售后服务承诺函（覆盖整机3年质保、核心部件质保承诺，加盖厂家公章）：得3分； 3、光能黑板护眼功能权威检测报告复印件：得4分； 注：未提供不得分。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项目整体实施方案.docx</w:t>
            </w:r>
          </w:p>
        </w:tc>
      </w:tr>
      <w:tr>
        <w:tc>
          <w:tcPr>
            <w:tcW w:type="dxa" w:w="831"/>
            <w:vMerge/>
          </w:tcPr>
          <w:p/>
        </w:tc>
        <w:tc>
          <w:tcPr>
            <w:tcW w:type="dxa" w:w="1661"/>
          </w:tcPr>
          <w:p>
            <w:pPr>
              <w:pStyle w:val="null3"/>
            </w:pPr>
            <w:r>
              <w:rPr>
                <w:rFonts w:ascii="仿宋_GB2312" w:hAnsi="仿宋_GB2312" w:cs="仿宋_GB2312" w:eastAsia="仿宋_GB2312"/>
              </w:rPr>
              <w:t>组织实施及供货安装应急方案</w:t>
            </w:r>
          </w:p>
        </w:tc>
        <w:tc>
          <w:tcPr>
            <w:tcW w:type="dxa" w:w="2492"/>
          </w:tcPr>
          <w:p>
            <w:pPr>
              <w:pStyle w:val="null3"/>
            </w:pPr>
            <w:r>
              <w:rPr>
                <w:rFonts w:ascii="仿宋_GB2312" w:hAnsi="仿宋_GB2312" w:cs="仿宋_GB2312" w:eastAsia="仿宋_GB2312"/>
              </w:rPr>
              <w:t>针对该项⽬须有完善的实施⽅案及供货安装应急预案。包含：①项目总体实施方案；②供货方案；③运输安装方案④；质量保证措施；⑤售后服务计划及安排；⑥含应急组织架构；⑦供货延误处置；⑧货物破损调换方案；⑨安装安全应急；⑩设备故障抢修保障。上述内容全⾯完整，合理、可⾏性较强、具有针对性的，根据响应程度得分，最⾼得20分，每缺⼀项内容，扣2分，每⼀项内容中每出现⼀处错误和不⾜的，扣1分，扣完为⽌。 说明:错误或不⾜是指只是简单的复制采购需求内容⽽没有具体详细阐述;⾮专⻔针对本项⽬或与本项⽬需求不匹配的情形;⽅案内容脱离项⽬实际情况;⽅案内容与采购需求不符合;⽅案内容缺乏执⾏性;涉及的规范及标准错误;⽅案编排混乱、语义表述不清楚、⽅案内容⽭盾;项⽬信息(项⽬名称、地点区域等)错误;⽅案仅有框架或标题⽆实质性内容;⽅案明显套⽤其他项⽬内容等任意⼀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项目整体实施方案.docx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履约能力认定标准：2023年7月至今的同类项目，提供一整套中标通知书、合同、财务资料等履约材料。 每提供一项业绩得2.5分，最高得5分。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项目整体实施方案.docx</w:t>
            </w:r>
          </w:p>
        </w:tc>
      </w:tr>
      <w:tr>
        <w:tc>
          <w:tcPr>
            <w:tcW w:type="dxa" w:w="831"/>
            <w:vMerge/>
          </w:tcPr>
          <w:p/>
        </w:tc>
        <w:tc>
          <w:tcPr>
            <w:tcW w:type="dxa" w:w="1661"/>
          </w:tcPr>
          <w:p>
            <w:pPr>
              <w:pStyle w:val="null3"/>
            </w:pPr>
            <w:r>
              <w:rPr>
                <w:rFonts w:ascii="仿宋_GB2312" w:hAnsi="仿宋_GB2312" w:cs="仿宋_GB2312" w:eastAsia="仿宋_GB2312"/>
              </w:rPr>
              <w:t>环保、政策类认证</w:t>
            </w:r>
          </w:p>
        </w:tc>
        <w:tc>
          <w:tcPr>
            <w:tcW w:type="dxa" w:w="2492"/>
          </w:tcPr>
          <w:p>
            <w:pPr>
              <w:pStyle w:val="null3"/>
            </w:pPr>
            <w:r>
              <w:rPr>
                <w:rFonts w:ascii="仿宋_GB2312" w:hAnsi="仿宋_GB2312" w:cs="仿宋_GB2312" w:eastAsia="仿宋_GB2312"/>
              </w:rPr>
              <w:t>1、具有触控一体机整机中国环境标志产品认证证书：得4分； 2、具有光能黑板环境标志认证证书：得4分； 注：未提供不得分。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项目整体实施方案.docx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在满足招标文件要求质保期的基础上，每增加一年加1分最高计4分。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项目整体实施方案.docx</w:t>
            </w:r>
          </w:p>
        </w:tc>
      </w:tr>
      <w:tr>
        <w:tc>
          <w:tcPr>
            <w:tcW w:type="dxa" w:w="831"/>
            <w:vMerge/>
          </w:tcPr>
          <w:p/>
        </w:tc>
        <w:tc>
          <w:tcPr>
            <w:tcW w:type="dxa" w:w="1661"/>
          </w:tcPr>
          <w:p>
            <w:pPr>
              <w:pStyle w:val="null3"/>
            </w:pPr>
            <w:r>
              <w:rPr>
                <w:rFonts w:ascii="仿宋_GB2312" w:hAnsi="仿宋_GB2312" w:cs="仿宋_GB2312" w:eastAsia="仿宋_GB2312"/>
              </w:rPr>
              <w:t>参数及功能</w:t>
            </w:r>
          </w:p>
        </w:tc>
        <w:tc>
          <w:tcPr>
            <w:tcW w:type="dxa" w:w="2492"/>
          </w:tcPr>
          <w:p>
            <w:pPr>
              <w:pStyle w:val="null3"/>
            </w:pPr>
            <w:r>
              <w:rPr>
                <w:rFonts w:ascii="仿宋_GB2312" w:hAnsi="仿宋_GB2312" w:cs="仿宋_GB2312" w:eastAsia="仿宋_GB2312"/>
              </w:rPr>
              <w:t>1、满足带★标参数，基础分10分；优于带★标参数，每项加1分，加分最高不超过7分； 2、未能响应带▲标参数，每项扣0.2分。（扣完为止）</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偏离表格式.docx</w:t>
            </w:r>
          </w:p>
          <w:p>
            <w:pPr>
              <w:pStyle w:val="null3"/>
            </w:pPr>
            <w:r>
              <w:rPr>
                <w:rFonts w:ascii="仿宋_GB2312" w:hAnsi="仿宋_GB2312" w:cs="仿宋_GB2312" w:eastAsia="仿宋_GB2312"/>
              </w:rPr>
              <w:t>项目整体实施方案.docx</w:t>
            </w:r>
          </w:p>
        </w:tc>
      </w:tr>
      <w:tr>
        <w:tc>
          <w:tcPr>
            <w:tcW w:type="dxa" w:w="831"/>
            <w:vMerge/>
          </w:tcPr>
          <w:p/>
        </w:tc>
        <w:tc>
          <w:tcPr>
            <w:tcW w:type="dxa" w:w="1661"/>
          </w:tcPr>
          <w:p>
            <w:pPr>
              <w:pStyle w:val="null3"/>
            </w:pPr>
            <w:r>
              <w:rPr>
                <w:rFonts w:ascii="仿宋_GB2312" w:hAnsi="仿宋_GB2312" w:cs="仿宋_GB2312" w:eastAsia="仿宋_GB2312"/>
              </w:rPr>
              <w:t>生产厂家三体系管理认证</w:t>
            </w:r>
          </w:p>
        </w:tc>
        <w:tc>
          <w:tcPr>
            <w:tcW w:type="dxa" w:w="2492"/>
          </w:tcPr>
          <w:p>
            <w:pPr>
              <w:pStyle w:val="null3"/>
            </w:pPr>
            <w:r>
              <w:rPr>
                <w:rFonts w:ascii="仿宋_GB2312" w:hAnsi="仿宋_GB2312" w:cs="仿宋_GB2312" w:eastAsia="仿宋_GB2312"/>
              </w:rPr>
              <w:t>所投触控一体机、光能黑板生产厂家持有国家认监委认可机构颁发、有效期内的体系证书，且认证范围包含交互式教学一体机/智慧黑板生产制造：1、ISO9001质量管理体系认证：得2分；2、ISO14001环境管理体系认证：得2分；3、ISO45001 职业健康安全管理体系认证：得2分评审资料要求：投标文件同时提供①证书复印件（加盖厂家公章）②全国认证认可信息公共服务平台证书有效查询截图；缺任意一项材料、证书过期、认证范围不匹配、发证机构非认监委备案机构，对应证书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即满足招标文件要求且投标价格最低的投标报价为评标基准价。 报价分按照下列公式计算： 投标报价得分=(评标基准价÷投标报价)×30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详见附件：偏离表格式.docx</w:t>
      </w:r>
    </w:p>
    <w:p>
      <w:pPr>
        <w:pStyle w:val="null3"/>
        <w:ind w:firstLine="960"/>
      </w:pPr>
      <w:r>
        <w:rPr>
          <w:rFonts w:ascii="仿宋_GB2312" w:hAnsi="仿宋_GB2312" w:cs="仿宋_GB2312" w:eastAsia="仿宋_GB2312"/>
        </w:rPr>
        <w:t>详见附件：项目整体实施方案.docx</w:t>
      </w:r>
    </w:p>
    <w:p>
      <w:pPr>
        <w:pStyle w:val="null3"/>
        <w:ind w:firstLine="960"/>
      </w:pPr>
      <w:r>
        <w:rPr>
          <w:rFonts w:ascii="仿宋_GB2312" w:hAnsi="仿宋_GB2312" w:cs="仿宋_GB2312" w:eastAsia="仿宋_GB2312"/>
        </w:rPr>
        <w:t>详见附件：营业执照等主体资格证明文件.docx</w:t>
      </w:r>
    </w:p>
    <w:p>
      <w:pPr>
        <w:pStyle w:val="null3"/>
        <w:ind w:firstLine="960"/>
      </w:pPr>
      <w:r>
        <w:rPr>
          <w:rFonts w:ascii="仿宋_GB2312" w:hAnsi="仿宋_GB2312" w:cs="仿宋_GB2312" w:eastAsia="仿宋_GB2312"/>
        </w:rPr>
        <w:t>详见附件：控股管理关系.docx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