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版本号：HRC-ZBDL-2026-0065120260601002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大荔县除雪设备购置项目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HRC-ZBDL-2026-00651</w:t>
      </w:r>
      <w:r>
        <w:br/>
      </w:r>
      <w:r>
        <w:br/>
      </w:r>
      <w:r>
        <w:br/>
      </w:r>
    </w:p>
    <w:p>
      <w:pPr>
        <w:pStyle w:val="null3"/>
        <w:jc w:val="center"/>
        <w:outlineLvl w:val="2"/>
      </w:pPr>
      <w:r>
        <w:rPr>
          <w:rFonts w:ascii="仿宋_GB2312" w:hAnsi="仿宋_GB2312" w:cs="仿宋_GB2312" w:eastAsia="仿宋_GB2312"/>
          <w:sz w:val="28"/>
          <w:b/>
        </w:rPr>
        <w:t>大荔县农村公路服务中心</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大荔县农村公路服务中心</w:t>
      </w:r>
      <w:r>
        <w:rPr>
          <w:rFonts w:ascii="仿宋_GB2312" w:hAnsi="仿宋_GB2312" w:cs="仿宋_GB2312" w:eastAsia="仿宋_GB2312"/>
        </w:rPr>
        <w:t>委托，拟对</w:t>
      </w:r>
      <w:r>
        <w:rPr>
          <w:rFonts w:ascii="仿宋_GB2312" w:hAnsi="仿宋_GB2312" w:cs="仿宋_GB2312" w:eastAsia="仿宋_GB2312"/>
        </w:rPr>
        <w:t>大荔县除雪设备购置项目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HRC-ZBDL-2026-00651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大荔县除雪设备购置项目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购置大型除雪设备（综合型）1台，小型除雪设备2台（雪铲型1台、滚刷型1台）。提升我县冬季雨雪冰冻等恶劣天气应急处置能力，保障县乡公路雨雪天气安全畅通。</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1、法定代表人授权书：法定代表人授权代表人参加的，须出具法定代表人授权书（附法定代表人、授权代表人身份证复印件），法定代表人参加需提供法人证明书及本人身份证复印件；</w:t>
      </w:r>
    </w:p>
    <w:p>
      <w:pPr>
        <w:pStyle w:val="null3"/>
      </w:pPr>
      <w:r>
        <w:rPr>
          <w:rFonts w:ascii="仿宋_GB2312" w:hAnsi="仿宋_GB2312" w:cs="仿宋_GB2312" w:eastAsia="仿宋_GB2312"/>
        </w:rPr>
        <w:t>2、信誉要求：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以现场信用记录查询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大荔县农村公路服务中心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陕西省大荔县西环路万华大酒店院内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大荔县农村公路服务中心经办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0913-3221106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华睿诚项目管理有限公司大荔县项目部（雅轩汤泉酒店北20米）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0913-3581777/15191338837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计委关于印发&lt;招标代理服务收费管理暂行办法&gt;的通知》（计价格【2002】1980号）及《国家发改委关于降低部分建设项目收费标准规范收费行为等有关问题的通知》（发改价格[2011]534号）规定按标准收取 2、支付方式：中标人应在领取通知书的同时，支付本项目代理服务费。 收款单位：华睿诚项目管理有限公司 开户行：西安银行小寨东路支行 账号：81601158000010122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大荔县农村公路服务中心</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大荔县农村公路服务中心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大荔县农村公路服务中心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一、验收目的：确保采购货物符合合同约定的技术、质量、数量等要求，保障财政资金使用效益，维护采购双方合法权益。 二、验收依据： 《中华人民共和国政府采购法》及其实施条例； 《政府采购货物和服务招标投标管理办法》（财政部令第87号）； 采购合同及招标文件、投标文件； 国家相关标准、行业规范及产品明示质量指标；验收清单（注明各部件的品名、数量、规格型号和原产地或生产厂家）。 三、验收主体 由采购人成立验收小组，负责验收事宜。验收小组由熟悉项目需求人员（2人）、财务人员（1人）等组成，人数为3人以上单数。职责分工：采购人代表负责组织协调；中标单位配合验收。 四、验收时间与地点 验收时间：供应商完成供货后提交验收申请，采购人应在收到申请后7日内组织验收。 验收地点：货物交付地点或采购人指定地点。 五、验收内容 （1）货物数量：核对实际到货数量与合同约定数量是否一致。 （2）货物规格型号：检查货物的规格、型号、配置等是否与合同及招标文件要求相符。 （3）货物质量：依据国家相关标准、行业规范及合同约定的质量标准，对货物的外观、性能、安全性、可靠性等进行检验，可要求供应商提供出厂检测报告、质量合格证等证明材料。 （4）技术指标：对货物的技术参数、功能特性等进行测试和验证，确保符合合同规定。 六、档案归档：采购人在项目履约验收完成后7个工作日内完成公示信息整理，并在陕西省政府采购网进行公示，并将验收方案、验收申请表、验收记录表、整改通知书、异议处理文件、公示截图等资料整理归档。</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联系人：宋英</w:t>
      </w:r>
    </w:p>
    <w:p>
      <w:pPr>
        <w:pStyle w:val="null3"/>
      </w:pPr>
      <w:r>
        <w:rPr>
          <w:rFonts w:ascii="仿宋_GB2312" w:hAnsi="仿宋_GB2312" w:cs="仿宋_GB2312" w:eastAsia="仿宋_GB2312"/>
        </w:rPr>
        <w:t>联系电话：0913-3581777</w:t>
      </w:r>
    </w:p>
    <w:p>
      <w:pPr>
        <w:pStyle w:val="null3"/>
      </w:pPr>
      <w:r>
        <w:rPr>
          <w:rFonts w:ascii="仿宋_GB2312" w:hAnsi="仿宋_GB2312" w:cs="仿宋_GB2312" w:eastAsia="仿宋_GB2312"/>
        </w:rPr>
        <w:t>地址：华睿诚项目管理有限公司（大荔县雅轩汤泉酒店北20米）</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大型除雪设备（综合型）1台，小型除雪设备2台（雪铲型1台、滚刷型1台）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大型除雪车1台 小型除雪车2台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标的名称：大型除雪车1台 小型除雪车2台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6"/>
              <w:gridCol w:w="2034"/>
              <w:gridCol w:w="262"/>
            </w:tblGrid>
            <w:tr>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序号</w:t>
                  </w:r>
                </w:p>
              </w:tc>
              <w:tc>
                <w:tcPr>
                  <w:tcW w:type="dxa" w:w="2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具体技术（参数）要求</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数量</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大型除雪设备（综合型）</w:t>
                  </w:r>
                </w:p>
                <w:p>
                  <w:pPr>
                    <w:pStyle w:val="null3"/>
                    <w:jc w:val="both"/>
                  </w:pPr>
                  <w:r>
                    <w:rPr>
                      <w:rFonts w:ascii="仿宋_GB2312" w:hAnsi="仿宋_GB2312" w:cs="仿宋_GB2312" w:eastAsia="仿宋_GB2312"/>
                      <w:sz w:val="21"/>
                      <w:b/>
                    </w:rPr>
                    <w:t>本设备为核心产品</w:t>
                  </w:r>
                </w:p>
                <w:p>
                  <w:pPr>
                    <w:pStyle w:val="null3"/>
                    <w:numPr>
                      <w:ilvl w:val="1"/>
                      <w:numId w:val="1"/>
                    </w:numPr>
                    <w:jc w:val="both"/>
                  </w:pPr>
                  <w:r>
                    <w:rPr>
                      <w:rFonts w:ascii="仿宋_GB2312" w:hAnsi="仿宋_GB2312" w:cs="仿宋_GB2312" w:eastAsia="仿宋_GB2312"/>
                      <w:sz w:val="21"/>
                      <w:b/>
                    </w:rPr>
                    <w:t>★</w:t>
                  </w:r>
                  <w:r>
                    <w:rPr>
                      <w:rFonts w:ascii="仿宋_GB2312" w:hAnsi="仿宋_GB2312" w:cs="仿宋_GB2312" w:eastAsia="仿宋_GB2312"/>
                      <w:sz w:val="21"/>
                    </w:rPr>
                    <w:t>要求：</w:t>
                  </w:r>
                  <w:r>
                    <w:rPr>
                      <w:rFonts w:ascii="仿宋_GB2312" w:hAnsi="仿宋_GB2312" w:cs="仿宋_GB2312" w:eastAsia="仿宋_GB2312"/>
                      <w:sz w:val="21"/>
                    </w:rPr>
                    <w:t>产品须为国家工业和信息化部《车辆生产企业及产品公告》中公布的</w:t>
                  </w:r>
                  <w:r>
                    <w:rPr>
                      <w:rFonts w:ascii="仿宋_GB2312" w:hAnsi="仿宋_GB2312" w:cs="仿宋_GB2312" w:eastAsia="仿宋_GB2312"/>
                      <w:sz w:val="21"/>
                    </w:rPr>
                    <w:t>除雪车</w:t>
                  </w:r>
                  <w:r>
                    <w:rPr>
                      <w:rFonts w:ascii="仿宋_GB2312" w:hAnsi="仿宋_GB2312" w:cs="仿宋_GB2312" w:eastAsia="仿宋_GB2312"/>
                      <w:sz w:val="21"/>
                    </w:rPr>
                    <w:t>产品</w:t>
                  </w:r>
                  <w:r>
                    <w:rPr>
                      <w:rFonts w:ascii="仿宋_GB2312" w:hAnsi="仿宋_GB2312" w:cs="仿宋_GB2312" w:eastAsia="仿宋_GB2312"/>
                      <w:sz w:val="21"/>
                    </w:rPr>
                    <w:t>（</w:t>
                  </w:r>
                  <w:r>
                    <w:rPr>
                      <w:rFonts w:ascii="仿宋_GB2312" w:hAnsi="仿宋_GB2312" w:cs="仿宋_GB2312" w:eastAsia="仿宋_GB2312"/>
                      <w:sz w:val="21"/>
                    </w:rPr>
                    <w:t>提供车辆公告页</w:t>
                  </w:r>
                  <w:r>
                    <w:rPr>
                      <w:rFonts w:ascii="仿宋_GB2312" w:hAnsi="仿宋_GB2312" w:cs="仿宋_GB2312" w:eastAsia="仿宋_GB2312"/>
                      <w:sz w:val="21"/>
                    </w:rPr>
                    <w:t>）</w:t>
                  </w:r>
                </w:p>
                <w:p>
                  <w:pPr>
                    <w:pStyle w:val="null3"/>
                    <w:numPr>
                      <w:ilvl w:val="1"/>
                      <w:numId w:val="1"/>
                    </w:numPr>
                    <w:jc w:val="both"/>
                  </w:pPr>
                  <w:r>
                    <w:rPr>
                      <w:rFonts w:ascii="仿宋_GB2312" w:hAnsi="仿宋_GB2312" w:cs="仿宋_GB2312" w:eastAsia="仿宋_GB2312"/>
                      <w:sz w:val="21"/>
                    </w:rPr>
                    <w:t>整车结构形式：</w:t>
                  </w:r>
                  <w:r>
                    <w:rPr>
                      <w:rFonts w:ascii="仿宋_GB2312" w:hAnsi="仿宋_GB2312" w:cs="仿宋_GB2312" w:eastAsia="仿宋_GB2312"/>
                      <w:sz w:val="21"/>
                    </w:rPr>
                    <w:t>整车以汽车底盘为载体配备前置滚刷、雪铲及后置撒布机，底盘车与撒布机为一体式设计</w:t>
                  </w:r>
                  <w:r>
                    <w:rPr>
                      <w:rFonts w:ascii="仿宋_GB2312" w:hAnsi="仿宋_GB2312" w:cs="仿宋_GB2312" w:eastAsia="仿宋_GB2312"/>
                      <w:sz w:val="21"/>
                    </w:rPr>
                    <w:t>（</w:t>
                  </w:r>
                  <w:r>
                    <w:rPr>
                      <w:rFonts w:ascii="仿宋_GB2312" w:hAnsi="仿宋_GB2312" w:cs="仿宋_GB2312" w:eastAsia="仿宋_GB2312"/>
                      <w:sz w:val="21"/>
                    </w:rPr>
                    <w:t>无货箱型</w:t>
                  </w:r>
                  <w:r>
                    <w:rPr>
                      <w:rFonts w:ascii="仿宋_GB2312" w:hAnsi="仿宋_GB2312" w:cs="仿宋_GB2312" w:eastAsia="仿宋_GB2312"/>
                      <w:sz w:val="21"/>
                    </w:rPr>
                    <w:t>），</w:t>
                  </w:r>
                  <w:r>
                    <w:rPr>
                      <w:rFonts w:ascii="仿宋_GB2312" w:hAnsi="仿宋_GB2312" w:cs="仿宋_GB2312" w:eastAsia="仿宋_GB2312"/>
                      <w:sz w:val="21"/>
                    </w:rPr>
                    <w:t>撒布机通过副车架固定于底盘大梁上</w:t>
                  </w:r>
                </w:p>
                <w:p>
                  <w:pPr>
                    <w:pStyle w:val="null3"/>
                    <w:numPr>
                      <w:ilvl w:val="1"/>
                      <w:numId w:val="1"/>
                    </w:numPr>
                    <w:jc w:val="both"/>
                  </w:pPr>
                  <w:r>
                    <w:rPr>
                      <w:rFonts w:ascii="仿宋_GB2312" w:hAnsi="仿宋_GB2312" w:cs="仿宋_GB2312" w:eastAsia="仿宋_GB2312"/>
                      <w:sz w:val="21"/>
                    </w:rPr>
                    <w:t>总质量</w:t>
                  </w:r>
                  <w:r>
                    <w:rPr>
                      <w:rFonts w:ascii="仿宋_GB2312" w:hAnsi="仿宋_GB2312" w:cs="仿宋_GB2312" w:eastAsia="仿宋_GB2312"/>
                      <w:sz w:val="21"/>
                    </w:rPr>
                    <w:t>≥25000kg（提供整车公告页参数）</w:t>
                  </w:r>
                </w:p>
                <w:p>
                  <w:pPr>
                    <w:pStyle w:val="null3"/>
                    <w:numPr>
                      <w:ilvl w:val="1"/>
                      <w:numId w:val="1"/>
                    </w:numPr>
                    <w:jc w:val="both"/>
                  </w:pPr>
                  <w:r>
                    <w:rPr>
                      <w:rFonts w:ascii="仿宋_GB2312" w:hAnsi="仿宋_GB2312" w:cs="仿宋_GB2312" w:eastAsia="仿宋_GB2312"/>
                      <w:sz w:val="21"/>
                    </w:rPr>
                    <w:t>整备质量</w:t>
                  </w:r>
                  <w:r>
                    <w:rPr>
                      <w:rFonts w:ascii="仿宋_GB2312" w:hAnsi="仿宋_GB2312" w:cs="仿宋_GB2312" w:eastAsia="仿宋_GB2312"/>
                      <w:sz w:val="21"/>
                    </w:rPr>
                    <w:t>≥13400kg（提供整车公告页参数）</w:t>
                  </w:r>
                </w:p>
                <w:p>
                  <w:pPr>
                    <w:pStyle w:val="null3"/>
                    <w:numPr>
                      <w:ilvl w:val="1"/>
                      <w:numId w:val="1"/>
                    </w:numPr>
                    <w:jc w:val="both"/>
                  </w:pPr>
                  <w:r>
                    <w:rPr>
                      <w:rFonts w:ascii="仿宋_GB2312" w:hAnsi="仿宋_GB2312" w:cs="仿宋_GB2312" w:eastAsia="仿宋_GB2312"/>
                      <w:sz w:val="21"/>
                    </w:rPr>
                    <w:t>额定载质量</w:t>
                  </w:r>
                  <w:r>
                    <w:rPr>
                      <w:rFonts w:ascii="仿宋_GB2312" w:hAnsi="仿宋_GB2312" w:cs="仿宋_GB2312" w:eastAsia="仿宋_GB2312"/>
                      <w:sz w:val="21"/>
                    </w:rPr>
                    <w:t>≥10000kg（提供整车公告页参数）</w:t>
                  </w:r>
                </w:p>
                <w:p>
                  <w:pPr>
                    <w:pStyle w:val="null3"/>
                    <w:numPr>
                      <w:ilvl w:val="1"/>
                      <w:numId w:val="1"/>
                    </w:numPr>
                    <w:jc w:val="both"/>
                  </w:pPr>
                  <w:r>
                    <w:rPr>
                      <w:rFonts w:ascii="仿宋_GB2312" w:hAnsi="仿宋_GB2312" w:cs="仿宋_GB2312" w:eastAsia="仿宋_GB2312"/>
                      <w:sz w:val="21"/>
                    </w:rPr>
                    <w:t>外形尺寸</w:t>
                  </w:r>
                  <w:r>
                    <w:rPr>
                      <w:rFonts w:ascii="仿宋_GB2312" w:hAnsi="仿宋_GB2312" w:cs="仿宋_GB2312" w:eastAsia="仿宋_GB2312"/>
                      <w:sz w:val="21"/>
                    </w:rPr>
                    <w:t>≥9400×2500×3300mm（提供整车公告页参数）</w:t>
                  </w:r>
                </w:p>
                <w:p>
                  <w:pPr>
                    <w:pStyle w:val="null3"/>
                    <w:numPr>
                      <w:ilvl w:val="1"/>
                      <w:numId w:val="1"/>
                    </w:numPr>
                    <w:jc w:val="both"/>
                  </w:pPr>
                  <w:r>
                    <w:rPr>
                      <w:rFonts w:ascii="仿宋_GB2312" w:hAnsi="仿宋_GB2312" w:cs="仿宋_GB2312" w:eastAsia="仿宋_GB2312"/>
                      <w:sz w:val="21"/>
                    </w:rPr>
                    <w:t>发动机功率</w:t>
                  </w:r>
                  <w:r>
                    <w:rPr>
                      <w:rFonts w:ascii="仿宋_GB2312" w:hAnsi="仿宋_GB2312" w:cs="仿宋_GB2312" w:eastAsia="仿宋_GB2312"/>
                      <w:sz w:val="21"/>
                    </w:rPr>
                    <w:t>≥250kw，柴油，国Ⅵ排放标准（提供整车公告页参数）</w:t>
                  </w:r>
                </w:p>
                <w:p>
                  <w:pPr>
                    <w:pStyle w:val="null3"/>
                    <w:numPr>
                      <w:ilvl w:val="1"/>
                      <w:numId w:val="1"/>
                    </w:numPr>
                    <w:jc w:val="both"/>
                  </w:pPr>
                  <w:r>
                    <w:rPr>
                      <w:rFonts w:ascii="仿宋_GB2312" w:hAnsi="仿宋_GB2312" w:cs="仿宋_GB2312" w:eastAsia="仿宋_GB2312"/>
                      <w:sz w:val="21"/>
                    </w:rPr>
                    <w:t>轴距</w:t>
                  </w:r>
                  <w:r>
                    <w:rPr>
                      <w:rFonts w:ascii="仿宋_GB2312" w:hAnsi="仿宋_GB2312" w:cs="仿宋_GB2312" w:eastAsia="仿宋_GB2312"/>
                      <w:sz w:val="21"/>
                    </w:rPr>
                    <w:t>≦4300mm＋1350mm（提供整车公告页参数）</w:t>
                  </w:r>
                </w:p>
                <w:p>
                  <w:pPr>
                    <w:pStyle w:val="null3"/>
                    <w:numPr>
                      <w:ilvl w:val="1"/>
                      <w:numId w:val="1"/>
                    </w:numPr>
                    <w:jc w:val="both"/>
                  </w:pPr>
                  <w:r>
                    <w:rPr>
                      <w:rFonts w:ascii="仿宋_GB2312" w:hAnsi="仿宋_GB2312" w:cs="仿宋_GB2312" w:eastAsia="仿宋_GB2312"/>
                      <w:sz w:val="21"/>
                    </w:rPr>
                    <w:t>滚刷传动方式：</w:t>
                  </w:r>
                  <w:r>
                    <w:rPr>
                      <w:rFonts w:ascii="仿宋_GB2312" w:hAnsi="仿宋_GB2312" w:cs="仿宋_GB2312" w:eastAsia="仿宋_GB2312"/>
                      <w:sz w:val="21"/>
                    </w:rPr>
                    <w:t>双侧液压马达与滚刷刷轴直连传动；（提供连接部位实物照片）</w:t>
                  </w:r>
                </w:p>
                <w:p>
                  <w:pPr>
                    <w:pStyle w:val="null3"/>
                    <w:numPr>
                      <w:ilvl w:val="1"/>
                      <w:numId w:val="1"/>
                    </w:numPr>
                    <w:jc w:val="both"/>
                  </w:pPr>
                  <w:r>
                    <w:rPr>
                      <w:rFonts w:ascii="仿宋_GB2312" w:hAnsi="仿宋_GB2312" w:cs="仿宋_GB2312" w:eastAsia="仿宋_GB2312"/>
                      <w:sz w:val="21"/>
                    </w:rPr>
                    <w:t>滚刷刷毛宽度</w:t>
                  </w:r>
                  <w:r>
                    <w:rPr>
                      <w:rFonts w:ascii="仿宋_GB2312" w:hAnsi="仿宋_GB2312" w:cs="仿宋_GB2312" w:eastAsia="仿宋_GB2312"/>
                      <w:sz w:val="21"/>
                    </w:rPr>
                    <w:t>≥3600mm；</w:t>
                  </w:r>
                </w:p>
                <w:p>
                  <w:pPr>
                    <w:pStyle w:val="null3"/>
                    <w:numPr>
                      <w:ilvl w:val="1"/>
                      <w:numId w:val="1"/>
                    </w:numPr>
                    <w:jc w:val="both"/>
                  </w:pPr>
                  <w:r>
                    <w:rPr>
                      <w:rFonts w:ascii="仿宋_GB2312" w:hAnsi="仿宋_GB2312" w:cs="仿宋_GB2312" w:eastAsia="仿宋_GB2312"/>
                      <w:sz w:val="21"/>
                    </w:rPr>
                    <w:t>刷片直径</w:t>
                  </w:r>
                  <w:r>
                    <w:rPr>
                      <w:rFonts w:ascii="仿宋_GB2312" w:hAnsi="仿宋_GB2312" w:cs="仿宋_GB2312" w:eastAsia="仿宋_GB2312"/>
                      <w:sz w:val="21"/>
                    </w:rPr>
                    <w:t>≥800mm；</w:t>
                  </w:r>
                </w:p>
                <w:p>
                  <w:pPr>
                    <w:pStyle w:val="null3"/>
                    <w:numPr>
                      <w:ilvl w:val="1"/>
                      <w:numId w:val="1"/>
                    </w:numPr>
                    <w:jc w:val="both"/>
                  </w:pPr>
                  <w:r>
                    <w:rPr>
                      <w:rFonts w:ascii="仿宋_GB2312" w:hAnsi="仿宋_GB2312" w:cs="仿宋_GB2312" w:eastAsia="仿宋_GB2312"/>
                      <w:sz w:val="21"/>
                    </w:rPr>
                    <w:t>滚刷转速</w:t>
                  </w:r>
                  <w:r>
                    <w:rPr>
                      <w:rFonts w:ascii="仿宋_GB2312" w:hAnsi="仿宋_GB2312" w:cs="仿宋_GB2312" w:eastAsia="仿宋_GB2312"/>
                      <w:sz w:val="21"/>
                    </w:rPr>
                    <w:t>≥300r/min；</w:t>
                  </w:r>
                </w:p>
                <w:p>
                  <w:pPr>
                    <w:pStyle w:val="null3"/>
                    <w:numPr>
                      <w:ilvl w:val="1"/>
                      <w:numId w:val="1"/>
                    </w:numPr>
                    <w:jc w:val="both"/>
                  </w:pPr>
                  <w:r>
                    <w:rPr>
                      <w:rFonts w:ascii="仿宋_GB2312" w:hAnsi="仿宋_GB2312" w:cs="仿宋_GB2312" w:eastAsia="仿宋_GB2312"/>
                      <w:sz w:val="21"/>
                    </w:rPr>
                    <w:t>刷片结构：直片式结构；</w:t>
                  </w:r>
                </w:p>
                <w:p>
                  <w:pPr>
                    <w:pStyle w:val="null3"/>
                    <w:numPr>
                      <w:ilvl w:val="1"/>
                      <w:numId w:val="1"/>
                    </w:numPr>
                    <w:jc w:val="both"/>
                  </w:pPr>
                  <w:r>
                    <w:rPr>
                      <w:rFonts w:ascii="仿宋_GB2312" w:hAnsi="仿宋_GB2312" w:cs="仿宋_GB2312" w:eastAsia="仿宋_GB2312"/>
                      <w:sz w:val="21"/>
                    </w:rPr>
                    <w:t>与底盘连接方式：驶入式；</w:t>
                  </w:r>
                </w:p>
                <w:p>
                  <w:pPr>
                    <w:pStyle w:val="null3"/>
                    <w:numPr>
                      <w:ilvl w:val="1"/>
                      <w:numId w:val="1"/>
                    </w:numPr>
                    <w:jc w:val="both"/>
                  </w:pPr>
                  <w:r>
                    <w:rPr>
                      <w:rFonts w:ascii="仿宋_GB2312" w:hAnsi="仿宋_GB2312" w:cs="仿宋_GB2312" w:eastAsia="仿宋_GB2312"/>
                      <w:sz w:val="21"/>
                    </w:rPr>
                    <w:t>支撑轮：</w:t>
                  </w:r>
                  <w:r>
                    <w:rPr>
                      <w:rFonts w:ascii="仿宋_GB2312" w:hAnsi="仿宋_GB2312" w:cs="仿宋_GB2312" w:eastAsia="仿宋_GB2312"/>
                      <w:sz w:val="21"/>
                    </w:rPr>
                    <w:t>2个充气轮胎；</w:t>
                  </w:r>
                </w:p>
                <w:p>
                  <w:pPr>
                    <w:pStyle w:val="null3"/>
                    <w:numPr>
                      <w:ilvl w:val="1"/>
                      <w:numId w:val="1"/>
                    </w:numPr>
                    <w:jc w:val="both"/>
                  </w:pPr>
                  <w:r>
                    <w:rPr>
                      <w:rFonts w:ascii="仿宋_GB2312" w:hAnsi="仿宋_GB2312" w:cs="仿宋_GB2312" w:eastAsia="仿宋_GB2312"/>
                      <w:sz w:val="21"/>
                    </w:rPr>
                    <w:t>刷毛接地宽度调整方式：螺旋套筒调节，可用套筒扳手或一般扳手进行调节，简单方便；（提供该调整机构的近景清晰实物照片）</w:t>
                  </w:r>
                </w:p>
                <w:p>
                  <w:pPr>
                    <w:pStyle w:val="null3"/>
                    <w:numPr>
                      <w:ilvl w:val="1"/>
                      <w:numId w:val="1"/>
                    </w:numPr>
                    <w:jc w:val="both"/>
                  </w:pPr>
                  <w:r>
                    <w:rPr>
                      <w:rFonts w:ascii="仿宋_GB2312" w:hAnsi="仿宋_GB2312" w:cs="仿宋_GB2312" w:eastAsia="仿宋_GB2312"/>
                      <w:sz w:val="21"/>
                    </w:rPr>
                    <w:t>除雪铲宽度</w:t>
                  </w:r>
                  <w:r>
                    <w:rPr>
                      <w:rFonts w:ascii="仿宋_GB2312" w:hAnsi="仿宋_GB2312" w:cs="仿宋_GB2312" w:eastAsia="仿宋_GB2312"/>
                      <w:sz w:val="21"/>
                    </w:rPr>
                    <w:t>≥3600mm；</w:t>
                  </w:r>
                </w:p>
                <w:p>
                  <w:pPr>
                    <w:pStyle w:val="null3"/>
                    <w:numPr>
                      <w:ilvl w:val="1"/>
                      <w:numId w:val="1"/>
                    </w:numPr>
                    <w:jc w:val="both"/>
                  </w:pPr>
                  <w:r>
                    <w:rPr>
                      <w:rFonts w:ascii="仿宋_GB2312" w:hAnsi="仿宋_GB2312" w:cs="仿宋_GB2312" w:eastAsia="仿宋_GB2312"/>
                      <w:sz w:val="21"/>
                    </w:rPr>
                    <w:t>除雪铲高度</w:t>
                  </w:r>
                  <w:r>
                    <w:rPr>
                      <w:rFonts w:ascii="仿宋_GB2312" w:hAnsi="仿宋_GB2312" w:cs="仿宋_GB2312" w:eastAsia="仿宋_GB2312"/>
                      <w:sz w:val="21"/>
                    </w:rPr>
                    <w:t>≥900mm；</w:t>
                  </w:r>
                </w:p>
                <w:p>
                  <w:pPr>
                    <w:pStyle w:val="null3"/>
                    <w:numPr>
                      <w:ilvl w:val="1"/>
                      <w:numId w:val="1"/>
                    </w:numPr>
                    <w:jc w:val="both"/>
                  </w:pPr>
                  <w:r>
                    <w:rPr>
                      <w:rFonts w:ascii="仿宋_GB2312" w:hAnsi="仿宋_GB2312" w:cs="仿宋_GB2312" w:eastAsia="仿宋_GB2312"/>
                      <w:sz w:val="21"/>
                    </w:rPr>
                    <w:t>避障形式：整体式避障，避障弹簧采用压缩式弹簧，弹簧数目不小于</w:t>
                  </w:r>
                  <w:r>
                    <w:rPr>
                      <w:rFonts w:ascii="仿宋_GB2312" w:hAnsi="仿宋_GB2312" w:cs="仿宋_GB2312" w:eastAsia="仿宋_GB2312"/>
                      <w:sz w:val="21"/>
                    </w:rPr>
                    <w:t>2个；（提供压缩弹簧实物照片）</w:t>
                  </w:r>
                </w:p>
                <w:p>
                  <w:pPr>
                    <w:pStyle w:val="null3"/>
                    <w:numPr>
                      <w:ilvl w:val="1"/>
                      <w:numId w:val="1"/>
                    </w:numPr>
                    <w:jc w:val="both"/>
                  </w:pPr>
                  <w:r>
                    <w:rPr>
                      <w:rFonts w:ascii="仿宋_GB2312" w:hAnsi="仿宋_GB2312" w:cs="仿宋_GB2312" w:eastAsia="仿宋_GB2312"/>
                      <w:sz w:val="21"/>
                    </w:rPr>
                    <w:t>与底盘连接方式：驶入式，可以前置滚刷互换使用；</w:t>
                  </w:r>
                </w:p>
                <w:p>
                  <w:pPr>
                    <w:pStyle w:val="null3"/>
                    <w:numPr>
                      <w:ilvl w:val="1"/>
                      <w:numId w:val="1"/>
                    </w:numPr>
                    <w:jc w:val="both"/>
                  </w:pPr>
                  <w:r>
                    <w:rPr>
                      <w:rFonts w:ascii="仿宋_GB2312" w:hAnsi="仿宋_GB2312" w:cs="仿宋_GB2312" w:eastAsia="仿宋_GB2312"/>
                      <w:sz w:val="21"/>
                    </w:rPr>
                    <w:t>工艺要求：板面用一整块钢板勒至而成，表面无折痕，卷雪效果好，不接受折弯机折弯成型板面；（提供雪铲板面近景清晰实物照片及雪铲工装实物照片）</w:t>
                  </w:r>
                </w:p>
                <w:p>
                  <w:pPr>
                    <w:pStyle w:val="null3"/>
                    <w:numPr>
                      <w:ilvl w:val="1"/>
                      <w:numId w:val="1"/>
                    </w:numPr>
                    <w:jc w:val="both"/>
                  </w:pPr>
                  <w:r>
                    <w:rPr>
                      <w:rFonts w:ascii="仿宋_GB2312" w:hAnsi="仿宋_GB2312" w:cs="仿宋_GB2312" w:eastAsia="仿宋_GB2312"/>
                      <w:sz w:val="21"/>
                    </w:rPr>
                    <w:t>撒布机料仓容积</w:t>
                  </w:r>
                  <w:r>
                    <w:rPr>
                      <w:rFonts w:ascii="仿宋_GB2312" w:hAnsi="仿宋_GB2312" w:cs="仿宋_GB2312" w:eastAsia="仿宋_GB2312"/>
                      <w:sz w:val="21"/>
                    </w:rPr>
                    <w:t>≥13m³；</w:t>
                  </w:r>
                </w:p>
                <w:p>
                  <w:pPr>
                    <w:pStyle w:val="null3"/>
                    <w:numPr>
                      <w:ilvl w:val="1"/>
                      <w:numId w:val="1"/>
                    </w:numPr>
                    <w:jc w:val="both"/>
                  </w:pPr>
                  <w:r>
                    <w:rPr>
                      <w:rFonts w:ascii="仿宋_GB2312" w:hAnsi="仿宋_GB2312" w:cs="仿宋_GB2312" w:eastAsia="仿宋_GB2312"/>
                      <w:sz w:val="21"/>
                    </w:rPr>
                    <w:t>撒布宽度：</w:t>
                  </w:r>
                  <w:r>
                    <w:rPr>
                      <w:rFonts w:ascii="仿宋_GB2312" w:hAnsi="仿宋_GB2312" w:cs="仿宋_GB2312" w:eastAsia="仿宋_GB2312"/>
                      <w:sz w:val="21"/>
                    </w:rPr>
                    <w:t>2～12m；</w:t>
                  </w:r>
                </w:p>
                <w:p>
                  <w:pPr>
                    <w:pStyle w:val="null3"/>
                    <w:numPr>
                      <w:ilvl w:val="1"/>
                      <w:numId w:val="1"/>
                    </w:numPr>
                    <w:jc w:val="both"/>
                  </w:pPr>
                  <w:r>
                    <w:rPr>
                      <w:rFonts w:ascii="仿宋_GB2312" w:hAnsi="仿宋_GB2312" w:cs="仿宋_GB2312" w:eastAsia="仿宋_GB2312"/>
                      <w:sz w:val="21"/>
                    </w:rPr>
                    <w:t>撒布量：</w:t>
                  </w:r>
                  <w:r>
                    <w:rPr>
                      <w:rFonts w:ascii="仿宋_GB2312" w:hAnsi="仿宋_GB2312" w:cs="仿宋_GB2312" w:eastAsia="仿宋_GB2312"/>
                      <w:sz w:val="21"/>
                    </w:rPr>
                    <w:t>5～60g/㎡；</w:t>
                  </w:r>
                </w:p>
                <w:p>
                  <w:pPr>
                    <w:pStyle w:val="null3"/>
                    <w:numPr>
                      <w:ilvl w:val="1"/>
                      <w:numId w:val="1"/>
                    </w:numPr>
                    <w:jc w:val="both"/>
                  </w:pPr>
                  <w:r>
                    <w:rPr>
                      <w:rFonts w:ascii="仿宋_GB2312" w:hAnsi="仿宋_GB2312" w:cs="仿宋_GB2312" w:eastAsia="仿宋_GB2312"/>
                      <w:sz w:val="21"/>
                    </w:rPr>
                    <w:t>具有智能式实时反馈控制并与车速相关联（撒布密度一旦设定不受车速变化的影响而变化）</w:t>
                  </w:r>
                </w:p>
                <w:p>
                  <w:pPr>
                    <w:pStyle w:val="null3"/>
                    <w:numPr>
                      <w:ilvl w:val="1"/>
                      <w:numId w:val="1"/>
                    </w:numPr>
                    <w:jc w:val="both"/>
                  </w:pPr>
                  <w:r>
                    <w:rPr>
                      <w:rFonts w:ascii="仿宋_GB2312" w:hAnsi="仿宋_GB2312" w:cs="仿宋_GB2312" w:eastAsia="仿宋_GB2312"/>
                      <w:sz w:val="21"/>
                    </w:rPr>
                    <w:t>物料输送形式：钢制链条（提供实物图片）</w:t>
                  </w:r>
                </w:p>
                <w:p>
                  <w:pPr>
                    <w:pStyle w:val="null3"/>
                    <w:numPr>
                      <w:ilvl w:val="1"/>
                      <w:numId w:val="1"/>
                    </w:numPr>
                    <w:jc w:val="both"/>
                  </w:pPr>
                  <w:r>
                    <w:rPr>
                      <w:rFonts w:ascii="仿宋_GB2312" w:hAnsi="仿宋_GB2312" w:cs="仿宋_GB2312" w:eastAsia="仿宋_GB2312"/>
                      <w:sz w:val="21"/>
                    </w:rPr>
                    <w:t>破碎功能：撒布机出料口位置具有破碎辊，可打碎料仓内板结的融雪剂（提供实物图片）</w:t>
                  </w:r>
                </w:p>
                <w:p>
                  <w:pPr>
                    <w:pStyle w:val="null3"/>
                    <w:numPr>
                      <w:ilvl w:val="1"/>
                      <w:numId w:val="1"/>
                    </w:numPr>
                    <w:jc w:val="both"/>
                  </w:pPr>
                  <w:r>
                    <w:rPr>
                      <w:rFonts w:ascii="仿宋_GB2312" w:hAnsi="仿宋_GB2312" w:cs="仿宋_GB2312" w:eastAsia="仿宋_GB2312"/>
                      <w:sz w:val="21"/>
                    </w:rPr>
                    <w:t>防雨蓬布开闭方式：液压控制；（提供实物图片）</w:t>
                  </w:r>
                </w:p>
                <w:p>
                  <w:pPr>
                    <w:pStyle w:val="null3"/>
                    <w:numPr>
                      <w:ilvl w:val="1"/>
                      <w:numId w:val="1"/>
                    </w:numPr>
                    <w:jc w:val="both"/>
                  </w:pPr>
                  <w:r>
                    <w:rPr>
                      <w:rFonts w:ascii="仿宋_GB2312" w:hAnsi="仿宋_GB2312" w:cs="仿宋_GB2312" w:eastAsia="仿宋_GB2312"/>
                      <w:sz w:val="21"/>
                    </w:rPr>
                    <w:t>撒布机出料槽可向上折叠，方便余料清空；</w:t>
                  </w:r>
                </w:p>
                <w:p>
                  <w:pPr>
                    <w:pStyle w:val="null3"/>
                    <w:numPr>
                      <w:ilvl w:val="1"/>
                      <w:numId w:val="1"/>
                    </w:numPr>
                    <w:jc w:val="both"/>
                  </w:pPr>
                  <w:r>
                    <w:rPr>
                      <w:rFonts w:ascii="仿宋_GB2312" w:hAnsi="仿宋_GB2312" w:cs="仿宋_GB2312" w:eastAsia="仿宋_GB2312"/>
                      <w:sz w:val="21"/>
                    </w:rPr>
                    <w:t>料仓有倒</w:t>
                  </w:r>
                  <w:r>
                    <w:rPr>
                      <w:rFonts w:ascii="仿宋_GB2312" w:hAnsi="仿宋_GB2312" w:cs="仿宋_GB2312" w:eastAsia="仿宋_GB2312"/>
                      <w:sz w:val="21"/>
                    </w:rPr>
                    <w:t>V装置，撒布机末端配备导流板、带爬梯等；</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小型除雪设备（雪铲型）</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sz w:val="21"/>
                    </w:rPr>
                    <w:t xml:space="preserve">2.1 </w:t>
                  </w:r>
                  <w:r>
                    <w:rPr>
                      <w:rFonts w:ascii="仿宋_GB2312" w:hAnsi="仿宋_GB2312" w:cs="仿宋_GB2312" w:eastAsia="仿宋_GB2312"/>
                      <w:sz w:val="21"/>
                      <w:b/>
                    </w:rPr>
                    <w:t>★</w:t>
                  </w:r>
                  <w:r>
                    <w:rPr>
                      <w:rFonts w:ascii="仿宋_GB2312" w:hAnsi="仿宋_GB2312" w:cs="仿宋_GB2312" w:eastAsia="仿宋_GB2312"/>
                      <w:sz w:val="21"/>
                    </w:rPr>
                    <w:t>要求：</w:t>
                  </w:r>
                  <w:r>
                    <w:rPr>
                      <w:rFonts w:ascii="仿宋_GB2312" w:hAnsi="仿宋_GB2312" w:cs="仿宋_GB2312" w:eastAsia="仿宋_GB2312"/>
                      <w:sz w:val="21"/>
                    </w:rPr>
                    <w:t>产品须为国家工业和信息化部《车辆生产企业及产品公告》中公布的</w:t>
                  </w:r>
                  <w:r>
                    <w:rPr>
                      <w:rFonts w:ascii="仿宋_GB2312" w:hAnsi="仿宋_GB2312" w:cs="仿宋_GB2312" w:eastAsia="仿宋_GB2312"/>
                      <w:sz w:val="21"/>
                    </w:rPr>
                    <w:t>除雪车</w:t>
                  </w:r>
                  <w:r>
                    <w:rPr>
                      <w:rFonts w:ascii="仿宋_GB2312" w:hAnsi="仿宋_GB2312" w:cs="仿宋_GB2312" w:eastAsia="仿宋_GB2312"/>
                      <w:sz w:val="21"/>
                    </w:rPr>
                    <w:t>产品</w:t>
                  </w:r>
                  <w:r>
                    <w:rPr>
                      <w:rFonts w:ascii="仿宋_GB2312" w:hAnsi="仿宋_GB2312" w:cs="仿宋_GB2312" w:eastAsia="仿宋_GB2312"/>
                      <w:sz w:val="21"/>
                    </w:rPr>
                    <w:t>（</w:t>
                  </w:r>
                  <w:r>
                    <w:rPr>
                      <w:rFonts w:ascii="仿宋_GB2312" w:hAnsi="仿宋_GB2312" w:cs="仿宋_GB2312" w:eastAsia="仿宋_GB2312"/>
                      <w:sz w:val="21"/>
                    </w:rPr>
                    <w:t>提供车辆公告页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2.2 整车结构形式：</w:t>
                  </w:r>
                  <w:r>
                    <w:rPr>
                      <w:rFonts w:ascii="仿宋_GB2312" w:hAnsi="仿宋_GB2312" w:cs="仿宋_GB2312" w:eastAsia="仿宋_GB2312"/>
                      <w:sz w:val="21"/>
                    </w:rPr>
                    <w:t>整车以</w:t>
                  </w:r>
                  <w:r>
                    <w:rPr>
                      <w:rFonts w:ascii="仿宋_GB2312" w:hAnsi="仿宋_GB2312" w:cs="仿宋_GB2312" w:eastAsia="仿宋_GB2312"/>
                      <w:sz w:val="21"/>
                    </w:rPr>
                    <w:t>皮卡</w:t>
                  </w:r>
                  <w:r>
                    <w:rPr>
                      <w:rFonts w:ascii="仿宋_GB2312" w:hAnsi="仿宋_GB2312" w:cs="仿宋_GB2312" w:eastAsia="仿宋_GB2312"/>
                      <w:sz w:val="21"/>
                    </w:rPr>
                    <w:t>车底盘为载体配备前置雪铲</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 总质量≥2800kg（提供整车公告页参数）</w:t>
                  </w:r>
                </w:p>
                <w:p>
                  <w:pPr>
                    <w:pStyle w:val="null3"/>
                    <w:jc w:val="both"/>
                  </w:pPr>
                  <w:r>
                    <w:rPr>
                      <w:rFonts w:ascii="仿宋_GB2312" w:hAnsi="仿宋_GB2312" w:cs="仿宋_GB2312" w:eastAsia="仿宋_GB2312"/>
                      <w:sz w:val="21"/>
                    </w:rPr>
                    <w:t>2.4 整备质量≥2250kg（提供整车公告页参数）</w:t>
                  </w:r>
                </w:p>
                <w:p>
                  <w:pPr>
                    <w:pStyle w:val="null3"/>
                    <w:jc w:val="both"/>
                  </w:pPr>
                  <w:r>
                    <w:rPr>
                      <w:rFonts w:ascii="仿宋_GB2312" w:hAnsi="仿宋_GB2312" w:cs="仿宋_GB2312" w:eastAsia="仿宋_GB2312"/>
                      <w:sz w:val="21"/>
                    </w:rPr>
                    <w:t>2.5 额定载质量≥260kg（提供整车公告页参数）</w:t>
                  </w:r>
                </w:p>
                <w:p>
                  <w:pPr>
                    <w:pStyle w:val="null3"/>
                    <w:jc w:val="both"/>
                  </w:pPr>
                  <w:r>
                    <w:rPr>
                      <w:rFonts w:ascii="仿宋_GB2312" w:hAnsi="仿宋_GB2312" w:cs="仿宋_GB2312" w:eastAsia="仿宋_GB2312"/>
                      <w:sz w:val="21"/>
                    </w:rPr>
                    <w:t>2.6 外形尺寸≤6000×1900×1850mm（提供整车公告页参数）</w:t>
                  </w:r>
                </w:p>
                <w:p>
                  <w:pPr>
                    <w:pStyle w:val="null3"/>
                    <w:jc w:val="both"/>
                  </w:pPr>
                  <w:r>
                    <w:rPr>
                      <w:rFonts w:ascii="仿宋_GB2312" w:hAnsi="仿宋_GB2312" w:cs="仿宋_GB2312" w:eastAsia="仿宋_GB2312"/>
                      <w:sz w:val="21"/>
                    </w:rPr>
                    <w:t>2.7 发动机功率≥110kw，柴油，国Ⅵ排放标准（提供整车公告页参数）</w:t>
                  </w:r>
                </w:p>
                <w:p>
                  <w:pPr>
                    <w:pStyle w:val="null3"/>
                    <w:jc w:val="both"/>
                  </w:pPr>
                  <w:r>
                    <w:rPr>
                      <w:rFonts w:ascii="仿宋_GB2312" w:hAnsi="仿宋_GB2312" w:cs="仿宋_GB2312" w:eastAsia="仿宋_GB2312"/>
                      <w:sz w:val="21"/>
                    </w:rPr>
                    <w:t>2.8 轴距≥3100mm（提供整车公告页参数）</w:t>
                  </w:r>
                </w:p>
                <w:p>
                  <w:pPr>
                    <w:pStyle w:val="null3"/>
                    <w:jc w:val="both"/>
                  </w:pPr>
                  <w:r>
                    <w:rPr>
                      <w:rFonts w:ascii="仿宋_GB2312" w:hAnsi="仿宋_GB2312" w:cs="仿宋_GB2312" w:eastAsia="仿宋_GB2312"/>
                      <w:sz w:val="21"/>
                    </w:rPr>
                    <w:t>2.9 雪铲宽度≥2250mm；</w:t>
                  </w:r>
                </w:p>
                <w:p>
                  <w:pPr>
                    <w:pStyle w:val="null3"/>
                    <w:jc w:val="both"/>
                  </w:pPr>
                  <w:r>
                    <w:rPr>
                      <w:rFonts w:ascii="仿宋_GB2312" w:hAnsi="仿宋_GB2312" w:cs="仿宋_GB2312" w:eastAsia="仿宋_GB2312"/>
                      <w:sz w:val="21"/>
                    </w:rPr>
                    <w:t>2.10雪铲高度≥680mm；</w:t>
                  </w:r>
                </w:p>
                <w:p>
                  <w:pPr>
                    <w:pStyle w:val="null3"/>
                    <w:jc w:val="both"/>
                  </w:pPr>
                  <w:r>
                    <w:rPr>
                      <w:rFonts w:ascii="仿宋_GB2312" w:hAnsi="仿宋_GB2312" w:cs="仿宋_GB2312" w:eastAsia="仿宋_GB2312"/>
                      <w:sz w:val="21"/>
                    </w:rPr>
                    <w:t>2.11雪铲与底盘车链接方式：驶入式；</w:t>
                  </w:r>
                </w:p>
                <w:p>
                  <w:pPr>
                    <w:pStyle w:val="null3"/>
                    <w:jc w:val="both"/>
                  </w:pPr>
                  <w:r>
                    <w:rPr>
                      <w:rFonts w:ascii="仿宋_GB2312" w:hAnsi="仿宋_GB2312" w:cs="仿宋_GB2312" w:eastAsia="仿宋_GB2312"/>
                      <w:sz w:val="21"/>
                    </w:rPr>
                    <w:t>2.12避障方式：整体式避障，避障弹簧为拉伸式，数量不少于2个；</w:t>
                  </w:r>
                </w:p>
                <w:p>
                  <w:pPr>
                    <w:pStyle w:val="null3"/>
                    <w:jc w:val="both"/>
                  </w:pPr>
                  <w:r>
                    <w:rPr>
                      <w:rFonts w:ascii="仿宋_GB2312" w:hAnsi="仿宋_GB2312" w:cs="仿宋_GB2312" w:eastAsia="仿宋_GB2312"/>
                      <w:sz w:val="21"/>
                    </w:rPr>
                    <w:t>2.13 铲面材质：不低于Q355B；</w:t>
                  </w:r>
                </w:p>
                <w:p>
                  <w:pPr>
                    <w:pStyle w:val="null3"/>
                    <w:jc w:val="both"/>
                  </w:pPr>
                  <w:r>
                    <w:rPr>
                      <w:rFonts w:ascii="仿宋_GB2312" w:hAnsi="仿宋_GB2312" w:cs="仿宋_GB2312" w:eastAsia="仿宋_GB2312"/>
                      <w:sz w:val="21"/>
                    </w:rPr>
                    <w:t>2.14 铲刃材质：不低于NM450；</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1台</w:t>
                  </w:r>
                </w:p>
                <w:p>
                  <w:pPr>
                    <w:pStyle w:val="null3"/>
                    <w:jc w:val="both"/>
                  </w:pP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小型除雪设备（</w:t>
                  </w:r>
                  <w:r>
                    <w:rPr>
                      <w:rFonts w:ascii="仿宋_GB2312" w:hAnsi="仿宋_GB2312" w:cs="仿宋_GB2312" w:eastAsia="仿宋_GB2312"/>
                      <w:sz w:val="21"/>
                      <w:b/>
                    </w:rPr>
                    <w:t>滚刷</w:t>
                  </w:r>
                  <w:r>
                    <w:rPr>
                      <w:rFonts w:ascii="仿宋_GB2312" w:hAnsi="仿宋_GB2312" w:cs="仿宋_GB2312" w:eastAsia="仿宋_GB2312"/>
                      <w:sz w:val="21"/>
                      <w:b/>
                    </w:rPr>
                    <w:t>型）</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sz w:val="21"/>
                    </w:rPr>
                    <w:t xml:space="preserve">3.1 </w:t>
                  </w:r>
                  <w:r>
                    <w:rPr>
                      <w:rFonts w:ascii="仿宋_GB2312" w:hAnsi="仿宋_GB2312" w:cs="仿宋_GB2312" w:eastAsia="仿宋_GB2312"/>
                      <w:sz w:val="21"/>
                      <w:b/>
                    </w:rPr>
                    <w:t>★</w:t>
                  </w:r>
                  <w:r>
                    <w:rPr>
                      <w:rFonts w:ascii="仿宋_GB2312" w:hAnsi="仿宋_GB2312" w:cs="仿宋_GB2312" w:eastAsia="仿宋_GB2312"/>
                      <w:sz w:val="21"/>
                    </w:rPr>
                    <w:t>要求：</w:t>
                  </w:r>
                  <w:r>
                    <w:rPr>
                      <w:rFonts w:ascii="仿宋_GB2312" w:hAnsi="仿宋_GB2312" w:cs="仿宋_GB2312" w:eastAsia="仿宋_GB2312"/>
                      <w:sz w:val="21"/>
                    </w:rPr>
                    <w:t>产品须为国家工业和信息化部《车辆生产企业及产品公告》中公布的</w:t>
                  </w:r>
                  <w:r>
                    <w:rPr>
                      <w:rFonts w:ascii="仿宋_GB2312" w:hAnsi="仿宋_GB2312" w:cs="仿宋_GB2312" w:eastAsia="仿宋_GB2312"/>
                      <w:sz w:val="21"/>
                    </w:rPr>
                    <w:t>除雪车</w:t>
                  </w:r>
                  <w:r>
                    <w:rPr>
                      <w:rFonts w:ascii="仿宋_GB2312" w:hAnsi="仿宋_GB2312" w:cs="仿宋_GB2312" w:eastAsia="仿宋_GB2312"/>
                      <w:sz w:val="21"/>
                    </w:rPr>
                    <w:t>产品</w:t>
                  </w:r>
                  <w:r>
                    <w:rPr>
                      <w:rFonts w:ascii="仿宋_GB2312" w:hAnsi="仿宋_GB2312" w:cs="仿宋_GB2312" w:eastAsia="仿宋_GB2312"/>
                      <w:sz w:val="21"/>
                    </w:rPr>
                    <w:t>（</w:t>
                  </w:r>
                  <w:r>
                    <w:rPr>
                      <w:rFonts w:ascii="仿宋_GB2312" w:hAnsi="仿宋_GB2312" w:cs="仿宋_GB2312" w:eastAsia="仿宋_GB2312"/>
                      <w:sz w:val="21"/>
                    </w:rPr>
                    <w:t>提供车辆公告页</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3.2 整车结构形式：</w:t>
                  </w:r>
                  <w:r>
                    <w:rPr>
                      <w:rFonts w:ascii="仿宋_GB2312" w:hAnsi="仿宋_GB2312" w:cs="仿宋_GB2312" w:eastAsia="仿宋_GB2312"/>
                      <w:sz w:val="21"/>
                    </w:rPr>
                    <w:t>整车以</w:t>
                  </w:r>
                  <w:r>
                    <w:rPr>
                      <w:rFonts w:ascii="仿宋_GB2312" w:hAnsi="仿宋_GB2312" w:cs="仿宋_GB2312" w:eastAsia="仿宋_GB2312"/>
                      <w:sz w:val="21"/>
                    </w:rPr>
                    <w:t>皮卡</w:t>
                  </w:r>
                  <w:r>
                    <w:rPr>
                      <w:rFonts w:ascii="仿宋_GB2312" w:hAnsi="仿宋_GB2312" w:cs="仿宋_GB2312" w:eastAsia="仿宋_GB2312"/>
                      <w:sz w:val="21"/>
                    </w:rPr>
                    <w:t>车底盘为载体配备前置</w:t>
                  </w:r>
                  <w:r>
                    <w:rPr>
                      <w:rFonts w:ascii="仿宋_GB2312" w:hAnsi="仿宋_GB2312" w:cs="仿宋_GB2312" w:eastAsia="仿宋_GB2312"/>
                      <w:sz w:val="21"/>
                    </w:rPr>
                    <w:t>滚刷</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3.3 总质量≥2800kg（提供整车公告页参数）</w:t>
                  </w:r>
                </w:p>
                <w:p>
                  <w:pPr>
                    <w:pStyle w:val="null3"/>
                    <w:jc w:val="both"/>
                  </w:pPr>
                  <w:r>
                    <w:rPr>
                      <w:rFonts w:ascii="仿宋_GB2312" w:hAnsi="仿宋_GB2312" w:cs="仿宋_GB2312" w:eastAsia="仿宋_GB2312"/>
                      <w:sz w:val="21"/>
                    </w:rPr>
                    <w:t>3.4 整备质量≥2250kg（提供整车公告页参数）</w:t>
                  </w:r>
                </w:p>
                <w:p>
                  <w:pPr>
                    <w:pStyle w:val="null3"/>
                    <w:jc w:val="both"/>
                  </w:pPr>
                  <w:r>
                    <w:rPr>
                      <w:rFonts w:ascii="仿宋_GB2312" w:hAnsi="仿宋_GB2312" w:cs="仿宋_GB2312" w:eastAsia="仿宋_GB2312"/>
                      <w:sz w:val="21"/>
                    </w:rPr>
                    <w:t>3.5 额定载质量≥260kg（提供整车公告页参数）</w:t>
                  </w:r>
                </w:p>
                <w:p>
                  <w:pPr>
                    <w:pStyle w:val="null3"/>
                    <w:jc w:val="both"/>
                  </w:pPr>
                  <w:r>
                    <w:rPr>
                      <w:rFonts w:ascii="仿宋_GB2312" w:hAnsi="仿宋_GB2312" w:cs="仿宋_GB2312" w:eastAsia="仿宋_GB2312"/>
                      <w:sz w:val="21"/>
                    </w:rPr>
                    <w:t>3.6 外形尺寸≤6000×1900×1850mm（提供整车公告页参数）</w:t>
                  </w:r>
                </w:p>
                <w:p>
                  <w:pPr>
                    <w:pStyle w:val="null3"/>
                    <w:jc w:val="both"/>
                  </w:pPr>
                  <w:r>
                    <w:rPr>
                      <w:rFonts w:ascii="仿宋_GB2312" w:hAnsi="仿宋_GB2312" w:cs="仿宋_GB2312" w:eastAsia="仿宋_GB2312"/>
                      <w:sz w:val="21"/>
                    </w:rPr>
                    <w:t>3.7 发动机功率≥110kw，柴油，国Ⅵ排放标准（提供整车公告页参数）</w:t>
                  </w:r>
                </w:p>
                <w:p>
                  <w:pPr>
                    <w:pStyle w:val="null3"/>
                    <w:jc w:val="both"/>
                  </w:pPr>
                  <w:r>
                    <w:rPr>
                      <w:rFonts w:ascii="仿宋_GB2312" w:hAnsi="仿宋_GB2312" w:cs="仿宋_GB2312" w:eastAsia="仿宋_GB2312"/>
                      <w:sz w:val="21"/>
                    </w:rPr>
                    <w:t>3.8 轴距≥3100mm（提供整车公告页参数）</w:t>
                  </w:r>
                </w:p>
                <w:p>
                  <w:pPr>
                    <w:pStyle w:val="null3"/>
                    <w:jc w:val="both"/>
                  </w:pPr>
                  <w:r>
                    <w:rPr>
                      <w:rFonts w:ascii="仿宋_GB2312" w:hAnsi="仿宋_GB2312" w:cs="仿宋_GB2312" w:eastAsia="仿宋_GB2312"/>
                      <w:sz w:val="21"/>
                    </w:rPr>
                    <w:t>3.9滚刷刷毛宽度≥1800mm；</w:t>
                  </w:r>
                </w:p>
                <w:p>
                  <w:pPr>
                    <w:pStyle w:val="null3"/>
                    <w:jc w:val="both"/>
                  </w:pPr>
                  <w:r>
                    <w:rPr>
                      <w:rFonts w:ascii="仿宋_GB2312" w:hAnsi="仿宋_GB2312" w:cs="仿宋_GB2312" w:eastAsia="仿宋_GB2312"/>
                      <w:sz w:val="21"/>
                    </w:rPr>
                    <w:t>3.10 刷片直径≥600mm；</w:t>
                  </w:r>
                </w:p>
                <w:p>
                  <w:pPr>
                    <w:pStyle w:val="null3"/>
                    <w:jc w:val="both"/>
                  </w:pPr>
                  <w:r>
                    <w:rPr>
                      <w:rFonts w:ascii="仿宋_GB2312" w:hAnsi="仿宋_GB2312" w:cs="仿宋_GB2312" w:eastAsia="仿宋_GB2312"/>
                      <w:sz w:val="21"/>
                    </w:rPr>
                    <w:t>3.11 滚刷与底盘车链接方式：驶入式；</w:t>
                  </w:r>
                </w:p>
                <w:p>
                  <w:pPr>
                    <w:pStyle w:val="null3"/>
                    <w:jc w:val="both"/>
                  </w:pPr>
                  <w:r>
                    <w:rPr>
                      <w:rFonts w:ascii="仿宋_GB2312" w:hAnsi="仿宋_GB2312" w:cs="仿宋_GB2312" w:eastAsia="仿宋_GB2312"/>
                      <w:sz w:val="21"/>
                    </w:rPr>
                    <w:t>3.12传动方式：液压马达与刷轴直连传动；（提马达连接方式实物图）</w:t>
                  </w:r>
                </w:p>
                <w:p>
                  <w:pPr>
                    <w:pStyle w:val="null3"/>
                    <w:jc w:val="both"/>
                  </w:pPr>
                  <w:r>
                    <w:rPr>
                      <w:rFonts w:ascii="仿宋_GB2312" w:hAnsi="仿宋_GB2312" w:cs="仿宋_GB2312" w:eastAsia="仿宋_GB2312"/>
                      <w:sz w:val="21"/>
                    </w:rPr>
                    <w:t>3.13滚刷转速：≥200r/min；</w:t>
                  </w:r>
                </w:p>
                <w:p>
                  <w:pPr>
                    <w:pStyle w:val="null3"/>
                    <w:jc w:val="both"/>
                  </w:pPr>
                  <w:r>
                    <w:rPr>
                      <w:rFonts w:ascii="仿宋_GB2312" w:hAnsi="仿宋_GB2312" w:cs="仿宋_GB2312" w:eastAsia="仿宋_GB2312"/>
                      <w:sz w:val="21"/>
                    </w:rPr>
                    <w:t>3.14驱动形式：采用独立汽油发动机驱动液压泵站驱动，副发动机功率：≥30hp；</w:t>
                  </w:r>
                </w:p>
                <w:p>
                  <w:pPr>
                    <w:pStyle w:val="null3"/>
                    <w:jc w:val="both"/>
                  </w:pPr>
                  <w:r>
                    <w:rPr>
                      <w:rFonts w:ascii="仿宋_GB2312" w:hAnsi="仿宋_GB2312" w:cs="仿宋_GB2312" w:eastAsia="仿宋_GB2312"/>
                      <w:sz w:val="21"/>
                    </w:rPr>
                    <w:t>3.15刷片结构：直片式结构，不接受异形波浪形刷片；</w:t>
                  </w:r>
                </w:p>
                <w:p>
                  <w:pPr>
                    <w:pStyle w:val="null3"/>
                    <w:jc w:val="both"/>
                  </w:pPr>
                  <w:r>
                    <w:rPr>
                      <w:rFonts w:ascii="仿宋_GB2312" w:hAnsi="仿宋_GB2312" w:cs="仿宋_GB2312" w:eastAsia="仿宋_GB2312"/>
                      <w:sz w:val="21"/>
                    </w:rPr>
                    <w:t>3.16刷丝材质：聚丙烯刷丝；</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1台</w:t>
                  </w:r>
                </w:p>
                <w:p>
                  <w:pPr>
                    <w:pStyle w:val="null3"/>
                    <w:jc w:val="both"/>
                  </w:pP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大荔县农村公路服务中心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进度款，货物交付并验收合格后一次性付清，达到付款条件起15个工作日内，支付合同总金额的100.0%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一、验收目的：确保采购货物符合合同约定的技术、质量、数量等要求，保障财政资金使用效益，维护采购双方合法权益。 二、验收依据： 《中华人民共和国政府采购法》及其实施条例； 《政府采购货物和服务招标投标管理办法》（财政部令第87号）； 采购合同及招标文件、投标文件； 国家相关标准、行业规范及产品明示质量指标。 三、验收主体 由采购人成立验收小组，负责验收事宜。验收小组由熟悉项目需求人员（2人）、财务人员（1人）等组成，人数为3人以上单数。职责分工：采购人代表负责组织协调；中标单位配合验收。 四、验收时间与地点 验收时间：供应商完成供货后提交验收申请，采购人应在收到申请后7日内组织验收。 验收地点：货物交付地点或采购人指定地点。 五、验收内容 （1）货物数量：核对实际到货数量与合同约定数量是否一致。 （2）货物规格型号：检查货物的规格、型号、配置等是否与合同及招标文件要求相符。 （3）货物质量：依据国家相关标准、行业规范及合同约定的质量标准，对货物的外观、性能、安全性、可靠性等进行检验，可要求供应商提供出厂检测报告、质量合格证等证明材料。 （4）技术指标：对货物的技术参数、功能特性等进行测试和验证，确保符合合同规定。 六、档案归档：采购人在项目履约验收完成后7个工作日内完成公示信息整理，并在陕西省政府采购网进行公示，并将验收方案、验收申请表、验收记录表、整改通知书、异议处理文件、公示截图等资料整理归档。</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质保1年；（若供应商提供的质保期超过招标文件要求的，执行其响应时间，若国家有明确规定且高于此质保期的，执行国家规定）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成交供应商未全面履行合同义务或者发生违约，采购单位会同采购代理机构有权终止合同，依法向成交供应商进行经济索赔，并报请政府采购监督管理机关进行相应的行政处罚。合同执行中发生争议的，当事人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本项目核心产品为：大型除雪设备（综合型）</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 2)有依法缴纳税收和社会保障资金的良 好记录：税收缴纳证明：提供投标文件提交截止时间前近半年内任意一月已缴纳的纳税证明或完税证明（包含增值税、企业所得税至少一种），依法免税或不需要缴纳税收的供应商 应提供相关证明文件；社保缴纳证明：提供投标文件提交截止时间前近半年内任意一月已缴存的社会保障资金缴费证明或参保证明，依 法不需要缴纳社会保障资金的供应商应提供相 关证明文件； 3)具有履行合同所必需的设备和专业技术能力（提供承诺函）； 4)参加政府采购活动前三年内， 在经营活动中没有重大违法记录（提供书面声 明）； 5)法律、行政法规规定的其他条件（提供承诺函）；</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提供2024或2025年度经审计的财务报告或其开标前三个月内银行出具的资信证明；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法定代表人授权代表人参加的，须出具法定代表人授权书（附法定代表人、授权代表人身份证复印件），法定代表人参加需提供法人证明书及本人身份证复印件；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以现场信用记录查询结果为准）</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投标文件没有重大缺项</w:t>
            </w:r>
          </w:p>
        </w:tc>
        <w:tc>
          <w:tcPr>
            <w:tcW w:type="dxa" w:w="1661"/>
          </w:tcPr>
          <w:p>
            <w:pPr>
              <w:pStyle w:val="null3"/>
            </w:pPr>
            <w:r>
              <w:rPr>
                <w:rFonts w:ascii="仿宋_GB2312" w:hAnsi="仿宋_GB2312" w:cs="仿宋_GB2312" w:eastAsia="仿宋_GB2312"/>
              </w:rPr>
              <w:t>开标一览表 投标方案.docx 产品技术参数表 投标人应提交的相关资格证明材料.docx 分项报价表.docx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投标文件的签署、加盖印章合格、有效；投标 有效期与授权期限满足招标文件规定</w:t>
            </w:r>
          </w:p>
        </w:tc>
        <w:tc>
          <w:tcPr>
            <w:tcW w:type="dxa" w:w="1661"/>
          </w:tcPr>
          <w:p>
            <w:pPr>
              <w:pStyle w:val="null3"/>
            </w:pPr>
            <w:r>
              <w:rPr>
                <w:rFonts w:ascii="仿宋_GB2312" w:hAnsi="仿宋_GB2312" w:cs="仿宋_GB2312" w:eastAsia="仿宋_GB2312"/>
              </w:rPr>
              <w:t>开标一览表 投标方案.docx 产品技术参数表 投标人应提交的相关资格证明材料.docx 分项报价表.docx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投标文件技术要求无漏项；商务条款无偏离</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报价唯一，未超过采购预算</w:t>
            </w:r>
          </w:p>
        </w:tc>
        <w:tc>
          <w:tcPr>
            <w:tcW w:type="dxa" w:w="1661"/>
          </w:tcPr>
          <w:p>
            <w:pPr>
              <w:pStyle w:val="null3"/>
            </w:pPr>
            <w:r>
              <w:rPr>
                <w:rFonts w:ascii="仿宋_GB2312" w:hAnsi="仿宋_GB2312" w:cs="仿宋_GB2312" w:eastAsia="仿宋_GB2312"/>
              </w:rPr>
              <w:t>开标一览表 分项报价表.docx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产品选型及技术参数</w:t>
            </w:r>
          </w:p>
        </w:tc>
        <w:tc>
          <w:tcPr>
            <w:tcW w:type="dxa" w:w="2492"/>
          </w:tcPr>
          <w:p>
            <w:pPr>
              <w:pStyle w:val="null3"/>
            </w:pPr>
            <w:r>
              <w:rPr>
                <w:rFonts w:ascii="仿宋_GB2312" w:hAnsi="仿宋_GB2312" w:cs="仿宋_GB2312" w:eastAsia="仿宋_GB2312"/>
              </w:rPr>
              <w:t>依据各供应商所投的货物规格、技术参数和配置全部满足招标文件要求的得28.5分。 标注“★”的技术参数要求必须满足，否则视为无效投标。 其他技术指标（共57项）响应全部满足得基础分28.5分，每出现一项负偏离扣0.5分，扣完为止；注：①各供应商须对采购文件“技术要求”中技术参数内容进行点对点应答并按要求填写技术参数表,进行逐条逐项答复、说明和解释。 ②技术参数表中出现缺项、漏项或未按照要求应答的视为负偏离。 ③佐证材料（以技术参数中要求为准）。技术参数表中内容须包括具体说明、佐证文件或佐证材料名称，未按上述要求提供佐证文件或佐证材料或提供的材料模糊不清等影响评审情况的不得分</w:t>
            </w:r>
          </w:p>
        </w:tc>
        <w:tc>
          <w:tcPr>
            <w:tcW w:type="dxa" w:w="831"/>
          </w:tcPr>
          <w:p>
            <w:pPr>
              <w:pStyle w:val="null3"/>
              <w:jc w:val="right"/>
            </w:pPr>
            <w:r>
              <w:rPr>
                <w:rFonts w:ascii="仿宋_GB2312" w:hAnsi="仿宋_GB2312" w:cs="仿宋_GB2312" w:eastAsia="仿宋_GB2312"/>
              </w:rPr>
              <w:t>28.5000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评审内容：提供产品货源渠道正规，确保产品无假货、水货、翻新货且无产权纠纷，提供所投产品的合法来源渠道证明文件（包括但不限于产品销售协议、代理协议或厂家授权等）。 评审标准： 每提供一个产品的供货渠道证明材料得1分，满分3分。未提供不得分。 供应商可根据自身情况提供以下资料中的任意一种：（1）如供应商为所投产品代理商：提供货物的合法来源渠道证明文件（例如：产品制造商授权、销售协议、代理协议或其他证明文件）。（2）如供应商为所投产品的制造商：需提供情况说明（说明产品为制造商自己生产）。 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一、评审内容：①人员配置方案；②项目进度安排；③安装调试方案；④操作培训方案；⑤组织协调措施及质量保证方案；⑥产品质量保证方案。 二、评审标准：1、完整性：方案必须全面，对评审内容中的各项要求有详细描述； 2、可实施性：切合本项目实际情况，提出步骤清晰、合理的方案； 3、针对性：方案能够紧扣项目实际情况，内容科学合理。 三、赋分标准： 每⼩项：每完全满⾜⼀个评审标准得1分，每⼩项满分3分；共6⼩项，满分18分。 备注：满⾜评审标准是指：内容不能逻辑混乱、描述过于简单、与项⽬特点不匹配、要求的内容有遗漏、出现常识性错误、存在不适⽤项⽬实际情况的情形、只有标题没有实质性内容以及套⽤挪⽤别的项⽬内容等情况。</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一、评审内容：①运输供货方案；②成品保护方案；③运输中遇到的紧急情况等处理方案。 二、评审标准：1、完整性：方案必须全面，对评审内容中的各项要求有详细描述； 2、可实施性：切合本项目实际情况，提出步骤清晰、合理的方案； 3、针对性：方案能够紧扣项目实际情况，内容科学合理。 三、赋分标准：每⼩项：每完全满⾜⼀个评审标准得1分，每⼩项满分3分；共3⼩项，满分9分。 备注：满⾜评审标准是指：内容不能逻辑混乱、描述过于简单、与项⽬特点不匹配、要求的内容有遗漏、出现常识性错误、存在不适⽤项⽬实际情况的情形、只有标题没有实质性内容以及套⽤挪⽤别的项⽬内容等情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售后服务范围（包含但不限于故障排除和维修保养、售后服务流程、调换货和退换货售后服务等）；②售后服务人员安排；③售后服务响应时间与处理时间；④售后服务内容和操作流程；⑤售后服务方式及售后服务质量保证措施。 二、评审标准：1、完整性：方案必须全面，对评审内容中的各项要求有详细描述； 2、可实施性：切合本项目实际情况，提出步骤清晰、合理的方案； 3、针对性：方案能够紧扣项目实际情况，内容科学合理。 三、赋分标准： 每⼩项：每完全满⾜⼀个评审标准得0.5分，每⼩项满分1.5分；共5⼩项，满分7.5分。 备注：满⾜评审标准是指：内容不能逻辑混乱、描述过于简单、与项⽬特点不匹配、要求的内容有遗漏、出现常识性错误、存在不适⽤项⽬实际情况的情形、只有标题没有实质性内容以及套⽤挪⽤别的项⽬内容等情况。</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投标人提供2023年1月1日至今类似项目所投产品业绩，每提供1份得1分，最高得4分。（投标文件内提供合同复印件并加盖单位公章，以合同签订时间为准）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