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版本号：CT-ZB00-185-202620260710002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沁园四餐厅环境提升改造及消防安全隐患整改项目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CT-ZB00-185-2026</w:t>
      </w:r>
      <w:r>
        <w:br/>
      </w:r>
      <w:r>
        <w:br/>
      </w:r>
      <w:r>
        <w:br/>
      </w:r>
    </w:p>
    <w:p>
      <w:pPr>
        <w:pStyle w:val="null3"/>
        <w:jc w:val="center"/>
        <w:outlineLvl w:val="2"/>
      </w:pPr>
      <w:r>
        <w:rPr>
          <w:rFonts w:ascii="仿宋_GB2312" w:hAnsi="仿宋_GB2312" w:cs="仿宋_GB2312" w:eastAsia="仿宋_GB2312"/>
          <w:sz w:val="28"/>
          <w:b/>
        </w:rPr>
        <w:t>陕西科技大学</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陕西科技大学</w:t>
      </w:r>
      <w:r>
        <w:rPr>
          <w:rFonts w:ascii="仿宋_GB2312" w:hAnsi="仿宋_GB2312" w:cs="仿宋_GB2312" w:eastAsia="仿宋_GB2312"/>
        </w:rPr>
        <w:t>委托，拟对</w:t>
      </w:r>
      <w:r>
        <w:rPr>
          <w:rFonts w:ascii="仿宋_GB2312" w:hAnsi="仿宋_GB2312" w:cs="仿宋_GB2312" w:eastAsia="仿宋_GB2312"/>
        </w:rPr>
        <w:t>沁园四餐厅环境提升改造及消防安全隐患整改项目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CT-ZB00-185-2026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沁园四餐厅环境提升改造及消防安全隐患整改项目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陕西科技大学陕西科技大学沁园四餐厅环境提升改造及消防安全隐患整改项目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财务状况报告：提供2024年度或者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p>
      <w:pPr>
        <w:pStyle w:val="null3"/>
      </w:pPr>
      <w:r>
        <w:rPr>
          <w:rFonts w:ascii="仿宋_GB2312" w:hAnsi="仿宋_GB2312" w:cs="仿宋_GB2312" w:eastAsia="仿宋_GB2312"/>
        </w:rPr>
        <w:t>3、税收缴纳证明：提供2026年1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4、社会保障资金缴存证明：提供2026年1月至今已缴存任意一个月社会保障资金缴存单据或社保机构开具的社会保险参保缴费证明，依法不需要缴纳社会保障资金的单位应提供相应证明文件；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5、书面声明：提供参加政府采购活动前3年内在经营活动中没有重大违法记录的书面声明。</w:t>
      </w:r>
    </w:p>
    <w:p>
      <w:pPr>
        <w:pStyle w:val="null3"/>
      </w:pPr>
      <w:r>
        <w:rPr>
          <w:rFonts w:ascii="仿宋_GB2312" w:hAnsi="仿宋_GB2312" w:cs="仿宋_GB2312" w:eastAsia="仿宋_GB2312"/>
        </w:rPr>
        <w:t>6、承诺函：提供具有履行合同所必需的设备和专业技术能力证明文件， 提供承诺函。</w:t>
      </w:r>
    </w:p>
    <w:p>
      <w:pPr>
        <w:pStyle w:val="null3"/>
      </w:pPr>
      <w:r>
        <w:rPr>
          <w:rFonts w:ascii="仿宋_GB2312" w:hAnsi="仿宋_GB2312" w:cs="仿宋_GB2312" w:eastAsia="仿宋_GB2312"/>
        </w:rPr>
        <w:t>7、法定代表人授权委托书：供应商应授权合法的人员参加磋商，其中法定代表人直接参加的，须出具法定代表人证明书；被授权代表参加的，须出具法定代表人授权书。</w:t>
      </w:r>
    </w:p>
    <w:p>
      <w:pPr>
        <w:pStyle w:val="null3"/>
      </w:pPr>
      <w:r>
        <w:rPr>
          <w:rFonts w:ascii="仿宋_GB2312" w:hAnsi="仿宋_GB2312" w:cs="仿宋_GB2312" w:eastAsia="仿宋_GB2312"/>
        </w:rPr>
        <w:t>8、企业资质：具备建设行政主管部门颁发的建筑工程施工总承包叁级及以上资质证书，同时具有合格有效的安全生产许可证。</w:t>
      </w:r>
    </w:p>
    <w:p>
      <w:pPr>
        <w:pStyle w:val="null3"/>
      </w:pPr>
      <w:r>
        <w:rPr>
          <w:rFonts w:ascii="仿宋_GB2312" w:hAnsi="仿宋_GB2312" w:cs="仿宋_GB2312" w:eastAsia="仿宋_GB2312"/>
        </w:rPr>
        <w:t>9、项目经理资格：拟派项目经理须具备建筑工程专业二级及以上注册建造师资格，具备有效的安全生产考核合格证书（B证），在本单位注册，且无在建工程(需提供承诺)。</w:t>
      </w:r>
    </w:p>
    <w:p>
      <w:pPr>
        <w:pStyle w:val="null3"/>
      </w:pPr>
      <w:r>
        <w:rPr>
          <w:rFonts w:ascii="仿宋_GB2312" w:hAnsi="仿宋_GB2312" w:cs="仿宋_GB2312" w:eastAsia="仿宋_GB2312"/>
        </w:rPr>
        <w:t>10、企业信用：供应商不得为“信用中国”网站（www.creditchina.gov.cn）（中国执行信息公开网）中被列入失信被执行人、重大税收违法失信主体和中国政府采购网（www.ccgp.gov.cn）政府采购严重违法失信行为记录名单的单位；（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pPr>
      <w:r>
        <w:rPr>
          <w:rFonts w:ascii="仿宋_GB2312" w:hAnsi="仿宋_GB2312" w:cs="仿宋_GB2312" w:eastAsia="仿宋_GB2312"/>
        </w:rPr>
        <w:t>11、平台查询信息：供应商及拟派项目经理须在“陕西省住房和城乡建设厅"官网可查询。如供应商为外省进陕企业，还须同时提供“陕西省住房和城乡建设厅”官网企业库外省进陕施工企业信息首页截图。</w:t>
      </w:r>
    </w:p>
    <w:p>
      <w:pPr>
        <w:pStyle w:val="null3"/>
      </w:pPr>
      <w:r>
        <w:rPr>
          <w:rFonts w:ascii="仿宋_GB2312" w:hAnsi="仿宋_GB2312" w:cs="仿宋_GB2312" w:eastAsia="仿宋_GB2312"/>
        </w:rPr>
        <w:t>12、控股管理关系：单位负责人为同一人或者存在直接控股、管理关系的供应商，不得参加同一合同下的政府采购活动。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13、本项目不接受联合体投标，不允许分包：本项目不接受联合体投标，不允许分包。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西安市未央大学城陕西科技大学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艾老师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029-86168377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王海英、陈丹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18149290536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国家发展和改革委员会办公厅颁发的《关于招标代理服务收费有关问题的通知》（发改办价格[2003]857号）的有关规定按标准下浮50%计取代理服务费。 招标代理服务费公布方式：代理服务费金额将在成交公告中明确，成交单位在领取成交通知书前，须向采购代理机构一次性支付招标代理服务费。 代理服务费账户 户名：中昕国际项目管理有限公司 开户行：中国建设银行股份有限公司西安文景路支行 账号：61050178150000000278</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陕西科技大学</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陕西科技大学</w:t>
      </w:r>
      <w:r>
        <w:rPr>
          <w:rFonts w:ascii="仿宋_GB2312" w:hAnsi="仿宋_GB2312" w:cs="仿宋_GB2312" w:eastAsia="仿宋_GB2312"/>
        </w:rPr>
        <w:t>负责解释。除上述磋商文件内容，其他内容由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联系人：王海英、陈丹</w:t>
      </w:r>
    </w:p>
    <w:p>
      <w:pPr>
        <w:pStyle w:val="null3"/>
      </w:pPr>
      <w:r>
        <w:rPr>
          <w:rFonts w:ascii="仿宋_GB2312" w:hAnsi="仿宋_GB2312" w:cs="仿宋_GB2312" w:eastAsia="仿宋_GB2312"/>
        </w:rPr>
        <w:t>联系电话：18149290536</w:t>
      </w:r>
    </w:p>
    <w:p>
      <w:pPr>
        <w:pStyle w:val="null3"/>
      </w:pPr>
      <w:r>
        <w:rPr>
          <w:rFonts w:ascii="仿宋_GB2312" w:hAnsi="仿宋_GB2312" w:cs="仿宋_GB2312" w:eastAsia="仿宋_GB2312"/>
        </w:rPr>
        <w:t>地址：西安经济技术开发区凤城十二路首创禧悦里25幢A座16层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2,550,000.00</w:t>
      </w:r>
    </w:p>
    <w:p>
      <w:pPr>
        <w:pStyle w:val="null3"/>
      </w:pPr>
      <w:r>
        <w:rPr>
          <w:rFonts w:ascii="仿宋_GB2312" w:hAnsi="仿宋_GB2312" w:cs="仿宋_GB2312" w:eastAsia="仿宋_GB2312"/>
        </w:rPr>
        <w:t>采购包最高限价（元）: 2,534,198.20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陕西科技大学沁园四餐厅环境提升改造及消防安全隐患整改项目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2,550,000.00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标的名称：陕西科技大学沁园四餐厅环境提升改造及消防安全隐患整改项目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960"/>
              <w:jc w:val="both"/>
            </w:pPr>
            <w:r>
              <w:rPr>
                <w:rFonts w:ascii="仿宋_GB2312" w:hAnsi="仿宋_GB2312" w:cs="仿宋_GB2312" w:eastAsia="仿宋_GB2312"/>
                <w:sz w:val="24"/>
                <w:b/>
              </w:rPr>
              <w:t>一、</w:t>
            </w:r>
            <w:r>
              <w:rPr>
                <w:rFonts w:ascii="仿宋_GB2312" w:hAnsi="仿宋_GB2312" w:cs="仿宋_GB2312" w:eastAsia="仿宋_GB2312"/>
                <w:sz w:val="24"/>
                <w:b/>
              </w:rPr>
              <w:t>工程概况</w:t>
            </w:r>
          </w:p>
          <w:p>
            <w:pPr>
              <w:pStyle w:val="null3"/>
              <w:ind w:firstLine="480"/>
              <w:jc w:val="both"/>
            </w:pPr>
            <w:r>
              <w:rPr>
                <w:rFonts w:ascii="仿宋_GB2312" w:hAnsi="仿宋_GB2312" w:cs="仿宋_GB2312" w:eastAsia="仿宋_GB2312"/>
                <w:sz w:val="24"/>
              </w:rPr>
              <w:t>陕西科技大学沁园四餐厅环境改造、消防整改项目位于西安市陕西科技大学内。建设内容为沁园餐厅四餐厅装修改造及消防安全隐患整改。装修改造主要工作内容为拆除原有室内装修及配套设施，拆除后对此部分顶墙地装修</w:t>
            </w:r>
            <w:r>
              <w:rPr>
                <w:rFonts w:ascii="仿宋_GB2312" w:hAnsi="仿宋_GB2312" w:cs="仿宋_GB2312" w:eastAsia="仿宋_GB2312"/>
                <w:sz w:val="24"/>
              </w:rPr>
              <w:t>；</w:t>
            </w:r>
            <w:r>
              <w:rPr>
                <w:rFonts w:ascii="仿宋_GB2312" w:hAnsi="仿宋_GB2312" w:cs="仿宋_GB2312" w:eastAsia="仿宋_GB2312"/>
                <w:sz w:val="24"/>
              </w:rPr>
              <w:t>安装改造工程内容主要为增加电气设备安装工程、增加给排水工程、增加消防喷淋工程、通风防排烟工程、增加部分消防电工程、增加厨房灭火设备；现场施工时检查对无法正常使用部分进行更换等。（具体内容以工程量清单为准）</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主要设备材料品牌及技术要求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color w:val="333333"/>
              </w:rPr>
              <w:t>装修改造</w:t>
            </w:r>
          </w:p>
          <w:p>
            <w:pPr>
              <w:pStyle w:val="null3"/>
              <w:ind w:firstLine="480"/>
              <w:jc w:val="both"/>
            </w:pPr>
            <w:r>
              <w:rPr>
                <w:rFonts w:ascii="仿宋_GB2312" w:hAnsi="仿宋_GB2312" w:cs="仿宋_GB2312" w:eastAsia="仿宋_GB2312"/>
                <w:sz w:val="24"/>
                <w:color w:val="333333"/>
              </w:rPr>
              <w:t>1.</w:t>
            </w:r>
            <w:r>
              <w:rPr>
                <w:rFonts w:ascii="仿宋_GB2312" w:hAnsi="仿宋_GB2312" w:cs="仿宋_GB2312" w:eastAsia="仿宋_GB2312"/>
                <w:sz w:val="24"/>
                <w:color w:val="333333"/>
              </w:rPr>
              <w:t>为确保增加的水表（</w:t>
            </w:r>
            <w:r>
              <w:rPr>
                <w:rFonts w:ascii="仿宋_GB2312" w:hAnsi="仿宋_GB2312" w:cs="仿宋_GB2312" w:eastAsia="仿宋_GB2312"/>
                <w:sz w:val="24"/>
                <w:color w:val="333333"/>
              </w:rPr>
              <w:t>IC卡冷水水表，型号：LXSGZ--15）、电表380V、（GB/T 18460.3--2001，型号：DTSY121）的兼容性，品牌必须和校方原有的一致，由西安旌旗电子股份有限公司生产的。</w:t>
            </w:r>
          </w:p>
          <w:p>
            <w:pPr>
              <w:pStyle w:val="null3"/>
              <w:ind w:firstLine="480"/>
              <w:jc w:val="both"/>
            </w:pPr>
            <w:r>
              <w:rPr>
                <w:rFonts w:ascii="仿宋_GB2312" w:hAnsi="仿宋_GB2312" w:cs="仿宋_GB2312" w:eastAsia="仿宋_GB2312"/>
                <w:sz w:val="24"/>
                <w:color w:val="333333"/>
              </w:rPr>
              <w:t>2.</w:t>
            </w:r>
            <w:r>
              <w:rPr>
                <w:rFonts w:ascii="仿宋_GB2312" w:hAnsi="仿宋_GB2312" w:cs="仿宋_GB2312" w:eastAsia="仿宋_GB2312"/>
                <w:sz w:val="24"/>
                <w:color w:val="333333"/>
              </w:rPr>
              <w:t>感应水龙头、加长水龙头（整体为不锈钢，全铜加陶瓷阀芯）：九牧、箭牌、摩恩、科勒。</w:t>
            </w:r>
          </w:p>
          <w:p>
            <w:pPr>
              <w:pStyle w:val="null3"/>
              <w:ind w:firstLine="560"/>
              <w:jc w:val="both"/>
            </w:pPr>
            <w:r>
              <w:rPr>
                <w:rFonts w:ascii="仿宋_GB2312" w:hAnsi="仿宋_GB2312" w:cs="仿宋_GB2312" w:eastAsia="仿宋_GB2312"/>
                <w:sz w:val="24"/>
                <w:color w:val="333333"/>
              </w:rPr>
              <w:t>3.地砖、墙砖：东鹏、马可波罗、沁园春、金艾陶。</w:t>
            </w:r>
          </w:p>
          <w:p>
            <w:pPr>
              <w:pStyle w:val="null3"/>
              <w:ind w:firstLine="560"/>
              <w:jc w:val="both"/>
            </w:pPr>
            <w:r>
              <w:rPr>
                <w:rFonts w:ascii="仿宋_GB2312" w:hAnsi="仿宋_GB2312" w:cs="仿宋_GB2312" w:eastAsia="仿宋_GB2312"/>
                <w:sz w:val="24"/>
                <w:color w:val="333333"/>
              </w:rPr>
              <w:t>4、沙子、水泥及辅料：海螺、秦岭、尧柏。</w:t>
            </w:r>
          </w:p>
          <w:p>
            <w:pPr>
              <w:pStyle w:val="null3"/>
              <w:ind w:firstLine="560"/>
              <w:jc w:val="both"/>
            </w:pPr>
            <w:r>
              <w:rPr>
                <w:rFonts w:ascii="仿宋_GB2312" w:hAnsi="仿宋_GB2312" w:cs="仿宋_GB2312" w:eastAsia="仿宋_GB2312"/>
                <w:sz w:val="24"/>
                <w:color w:val="333333"/>
              </w:rPr>
              <w:t>5.石膏板：泰山、泰和、龙牌。</w:t>
            </w:r>
          </w:p>
          <w:p>
            <w:pPr>
              <w:pStyle w:val="null3"/>
              <w:ind w:firstLine="560"/>
              <w:jc w:val="both"/>
            </w:pPr>
            <w:r>
              <w:rPr>
                <w:rFonts w:ascii="仿宋_GB2312" w:hAnsi="仿宋_GB2312" w:cs="仿宋_GB2312" w:eastAsia="仿宋_GB2312"/>
                <w:sz w:val="24"/>
                <w:color w:val="333333"/>
              </w:rPr>
              <w:t>6.腻子粉：奥瑞恒、陕建、顶呱呱。</w:t>
            </w:r>
          </w:p>
          <w:p>
            <w:pPr>
              <w:pStyle w:val="null3"/>
              <w:ind w:firstLine="560"/>
              <w:jc w:val="both"/>
            </w:pPr>
            <w:r>
              <w:rPr>
                <w:rFonts w:ascii="仿宋_GB2312" w:hAnsi="仿宋_GB2312" w:cs="仿宋_GB2312" w:eastAsia="仿宋_GB2312"/>
                <w:sz w:val="24"/>
                <w:color w:val="333333"/>
              </w:rPr>
              <w:t>7.乳胶漆：立邦、三棵树、多乐士。</w:t>
            </w:r>
          </w:p>
          <w:p>
            <w:pPr>
              <w:pStyle w:val="null3"/>
              <w:ind w:firstLine="560"/>
              <w:jc w:val="both"/>
            </w:pPr>
            <w:r>
              <w:rPr>
                <w:rFonts w:ascii="仿宋_GB2312" w:hAnsi="仿宋_GB2312" w:cs="仿宋_GB2312" w:eastAsia="仿宋_GB2312"/>
                <w:sz w:val="24"/>
                <w:color w:val="333333"/>
              </w:rPr>
              <w:t>8.铝扣板：大自然、邦优士、Deyidd。</w:t>
            </w:r>
          </w:p>
          <w:p>
            <w:pPr>
              <w:pStyle w:val="null3"/>
              <w:ind w:firstLine="560"/>
              <w:jc w:val="both"/>
            </w:pPr>
            <w:r>
              <w:rPr>
                <w:rFonts w:ascii="仿宋_GB2312" w:hAnsi="仿宋_GB2312" w:cs="仿宋_GB2312" w:eastAsia="仿宋_GB2312"/>
                <w:sz w:val="24"/>
                <w:color w:val="333333"/>
              </w:rPr>
              <w:t>9.木饰面墙面：好饰、易美、世隆。</w:t>
            </w:r>
          </w:p>
          <w:p>
            <w:pPr>
              <w:pStyle w:val="null3"/>
              <w:ind w:firstLine="560"/>
              <w:jc w:val="both"/>
            </w:pPr>
            <w:r>
              <w:rPr>
                <w:rFonts w:ascii="仿宋_GB2312" w:hAnsi="仿宋_GB2312" w:cs="仿宋_GB2312" w:eastAsia="仿宋_GB2312"/>
                <w:sz w:val="24"/>
                <w:color w:val="333333"/>
              </w:rPr>
              <w:t>10.基层打底板材：广森、八企、优怡。</w:t>
            </w:r>
          </w:p>
          <w:p>
            <w:pPr>
              <w:pStyle w:val="null3"/>
              <w:ind w:firstLine="560"/>
              <w:jc w:val="both"/>
            </w:pPr>
            <w:r>
              <w:rPr>
                <w:rFonts w:ascii="仿宋_GB2312" w:hAnsi="仿宋_GB2312" w:cs="仿宋_GB2312" w:eastAsia="仿宋_GB2312"/>
                <w:sz w:val="24"/>
                <w:color w:val="333333"/>
              </w:rPr>
              <w:t>11.石材定制及安装：新能岩、恒诺、格莱仕。</w:t>
            </w:r>
          </w:p>
          <w:p>
            <w:pPr>
              <w:pStyle w:val="null3"/>
              <w:ind w:firstLine="560"/>
              <w:jc w:val="both"/>
            </w:pPr>
            <w:r>
              <w:rPr>
                <w:rFonts w:ascii="仿宋_GB2312" w:hAnsi="仿宋_GB2312" w:cs="仿宋_GB2312" w:eastAsia="仿宋_GB2312"/>
                <w:sz w:val="24"/>
                <w:color w:val="333333"/>
              </w:rPr>
              <w:t>12.玻璃防尘罩：超白钢化玻璃10mm.</w:t>
            </w:r>
          </w:p>
          <w:p>
            <w:pPr>
              <w:pStyle w:val="null3"/>
              <w:ind w:firstLine="560"/>
              <w:jc w:val="both"/>
            </w:pPr>
            <w:r>
              <w:rPr>
                <w:rFonts w:ascii="仿宋_GB2312" w:hAnsi="仿宋_GB2312" w:cs="仿宋_GB2312" w:eastAsia="仿宋_GB2312"/>
                <w:sz w:val="24"/>
                <w:color w:val="333333"/>
              </w:rPr>
              <w:t>13.自来水进水管为热熔管，品牌：日丰、伟星、联塑。</w:t>
            </w:r>
          </w:p>
          <w:p>
            <w:pPr>
              <w:pStyle w:val="null3"/>
              <w:ind w:firstLine="560"/>
              <w:jc w:val="both"/>
            </w:pPr>
            <w:r>
              <w:rPr>
                <w:rFonts w:ascii="仿宋_GB2312" w:hAnsi="仿宋_GB2312" w:cs="仿宋_GB2312" w:eastAsia="仿宋_GB2312"/>
                <w:sz w:val="24"/>
                <w:color w:val="333333"/>
              </w:rPr>
              <w:t>14.排水管：联塑LESSO、国民品牌、国标PVC-C管。</w:t>
            </w:r>
          </w:p>
          <w:p>
            <w:pPr>
              <w:pStyle w:val="null3"/>
              <w:ind w:firstLine="560"/>
              <w:jc w:val="both"/>
            </w:pPr>
            <w:r>
              <w:rPr>
                <w:rFonts w:ascii="仿宋_GB2312" w:hAnsi="仿宋_GB2312" w:cs="仿宋_GB2312" w:eastAsia="仿宋_GB2312"/>
                <w:sz w:val="24"/>
                <w:color w:val="333333"/>
              </w:rPr>
              <w:t>15.电源线桥架、线槽：国标电源线桥架、线槽。</w:t>
            </w:r>
          </w:p>
          <w:p>
            <w:pPr>
              <w:pStyle w:val="null3"/>
              <w:ind w:firstLine="560"/>
              <w:jc w:val="both"/>
            </w:pPr>
            <w:r>
              <w:rPr>
                <w:rFonts w:ascii="仿宋_GB2312" w:hAnsi="仿宋_GB2312" w:cs="仿宋_GB2312" w:eastAsia="仿宋_GB2312"/>
                <w:sz w:val="24"/>
                <w:color w:val="333333"/>
              </w:rPr>
              <w:t>16.电源线线管：远东、金川、西风、津成。</w:t>
            </w:r>
          </w:p>
          <w:p>
            <w:pPr>
              <w:pStyle w:val="null3"/>
              <w:ind w:firstLine="560"/>
              <w:jc w:val="both"/>
            </w:pPr>
            <w:r>
              <w:rPr>
                <w:rFonts w:ascii="仿宋_GB2312" w:hAnsi="仿宋_GB2312" w:cs="仿宋_GB2312" w:eastAsia="仿宋_GB2312"/>
                <w:sz w:val="24"/>
                <w:color w:val="333333"/>
              </w:rPr>
              <w:t>17.电源线：喜爱、西电、上上、津成。</w:t>
            </w:r>
          </w:p>
          <w:p>
            <w:pPr>
              <w:pStyle w:val="null3"/>
              <w:ind w:firstLine="560"/>
              <w:jc w:val="both"/>
            </w:pPr>
            <w:r>
              <w:rPr>
                <w:rFonts w:ascii="仿宋_GB2312" w:hAnsi="仿宋_GB2312" w:cs="仿宋_GB2312" w:eastAsia="仿宋_GB2312"/>
                <w:sz w:val="24"/>
                <w:color w:val="333333"/>
              </w:rPr>
              <w:t>18.灯具、插座品牌：雷士、欧普、公牛、正泰。</w:t>
            </w:r>
          </w:p>
          <w:p>
            <w:pPr>
              <w:pStyle w:val="null3"/>
              <w:jc w:val="both"/>
            </w:pPr>
            <w:r>
              <w:rPr>
                <w:rFonts w:ascii="仿宋_GB2312" w:hAnsi="仿宋_GB2312" w:cs="仿宋_GB2312" w:eastAsia="仿宋_GB2312"/>
                <w:sz w:val="24"/>
                <w:color w:val="333333"/>
              </w:rPr>
              <w:t>（</w:t>
            </w:r>
            <w:r>
              <w:rPr>
                <w:rFonts w:ascii="仿宋_GB2312" w:hAnsi="仿宋_GB2312" w:cs="仿宋_GB2312" w:eastAsia="仿宋_GB2312"/>
                <w:sz w:val="24"/>
                <w:color w:val="333333"/>
              </w:rPr>
              <w:t>2</w:t>
            </w:r>
            <w:r>
              <w:rPr>
                <w:rFonts w:ascii="仿宋_GB2312" w:hAnsi="仿宋_GB2312" w:cs="仿宋_GB2312" w:eastAsia="仿宋_GB2312"/>
                <w:sz w:val="24"/>
                <w:color w:val="333333"/>
              </w:rPr>
              <w:t>）</w:t>
            </w:r>
            <w:r>
              <w:rPr>
                <w:rFonts w:ascii="仿宋_GB2312" w:hAnsi="仿宋_GB2312" w:cs="仿宋_GB2312" w:eastAsia="仿宋_GB2312"/>
                <w:sz w:val="24"/>
                <w:color w:val="333333"/>
              </w:rPr>
              <w:t>消防改造</w:t>
            </w:r>
          </w:p>
          <w:p>
            <w:pPr>
              <w:pStyle w:val="null3"/>
              <w:ind w:firstLine="560"/>
              <w:jc w:val="both"/>
            </w:pPr>
            <w:r>
              <w:rPr>
                <w:rFonts w:ascii="仿宋_GB2312" w:hAnsi="仿宋_GB2312" w:cs="仿宋_GB2312" w:eastAsia="仿宋_GB2312"/>
                <w:sz w:val="24"/>
                <w:color w:val="333333"/>
              </w:rPr>
              <w:t>1.为确保系统兼容性，报警联动一体机（智能型（联网型）火灾报警系统主机、消防联动控制台（柜））、图形显示装置、消防应急广播控制主机等联动系统报警控制设备品牌为：西核彩桥CH9000系列。消防专用电话总机、消防电源监测系统主机、防火门监测系统控制器、电气火灾监测系统控制器、电气火灾监测系统主机、消防应急照明系统控制主机等设备品牌为：“中消恒安”、“西安亚川”、“广东敏华”。</w:t>
            </w:r>
          </w:p>
          <w:p>
            <w:pPr>
              <w:pStyle w:val="null3"/>
              <w:ind w:firstLine="560"/>
              <w:jc w:val="both"/>
            </w:pPr>
            <w:r>
              <w:rPr>
                <w:rFonts w:ascii="仿宋_GB2312" w:hAnsi="仿宋_GB2312" w:cs="仿宋_GB2312" w:eastAsia="仿宋_GB2312"/>
                <w:sz w:val="24"/>
                <w:color w:val="333333"/>
              </w:rPr>
              <w:t>2.阀门（阀体为铸钢，阀芯、阀杆为不锈钢）：“浙江飞环阀门” 、“上海金来邦阀门”、“上海良固阀门” 、“上海标一”。</w:t>
            </w:r>
          </w:p>
          <w:p>
            <w:pPr>
              <w:pStyle w:val="null3"/>
              <w:ind w:firstLine="560"/>
              <w:jc w:val="both"/>
            </w:pPr>
            <w:r>
              <w:rPr>
                <w:rFonts w:ascii="仿宋_GB2312" w:hAnsi="仿宋_GB2312" w:cs="仿宋_GB2312" w:eastAsia="仿宋_GB2312"/>
                <w:sz w:val="24"/>
                <w:color w:val="333333"/>
              </w:rPr>
              <w:t>3.防火卷帘：“万通”、“高科金城”、“安安”、“蓝盾”、“牧城”；</w:t>
            </w:r>
          </w:p>
          <w:p>
            <w:pPr>
              <w:pStyle w:val="null3"/>
              <w:ind w:firstLine="560"/>
              <w:jc w:val="both"/>
            </w:pPr>
            <w:r>
              <w:rPr>
                <w:rFonts w:ascii="仿宋_GB2312" w:hAnsi="仿宋_GB2312" w:cs="仿宋_GB2312" w:eastAsia="仿宋_GB2312"/>
                <w:sz w:val="24"/>
                <w:color w:val="333333"/>
              </w:rPr>
              <w:t>4.挡烟垂壁：“富达康”、“佳安”、“安舜”、“金盾”‘</w:t>
            </w:r>
          </w:p>
          <w:p>
            <w:pPr>
              <w:pStyle w:val="null3"/>
              <w:ind w:firstLine="560"/>
              <w:jc w:val="both"/>
            </w:pPr>
            <w:r>
              <w:rPr>
                <w:rFonts w:ascii="仿宋_GB2312" w:hAnsi="仿宋_GB2312" w:cs="仿宋_GB2312" w:eastAsia="仿宋_GB2312"/>
                <w:sz w:val="24"/>
                <w:color w:val="333333"/>
              </w:rPr>
              <w:t>5.排烟风机：“山东亚太”、“格瑞德”、“金光”；</w:t>
            </w:r>
          </w:p>
          <w:p>
            <w:pPr>
              <w:pStyle w:val="null3"/>
              <w:ind w:firstLine="560"/>
              <w:jc w:val="both"/>
            </w:pPr>
            <w:r>
              <w:rPr>
                <w:rFonts w:ascii="仿宋_GB2312" w:hAnsi="仿宋_GB2312" w:cs="仿宋_GB2312" w:eastAsia="仿宋_GB2312"/>
                <w:sz w:val="24"/>
                <w:color w:val="333333"/>
              </w:rPr>
              <w:t>6.防火门：“高科金城”、“新多”、“星月神”、“大力大喜”；</w:t>
            </w:r>
          </w:p>
          <w:p>
            <w:pPr>
              <w:pStyle w:val="null3"/>
              <w:ind w:firstLine="560"/>
              <w:jc w:val="both"/>
            </w:pPr>
            <w:r>
              <w:rPr>
                <w:rFonts w:ascii="仿宋_GB2312" w:hAnsi="仿宋_GB2312" w:cs="仿宋_GB2312" w:eastAsia="仿宋_GB2312"/>
                <w:sz w:val="24"/>
                <w:color w:val="333333"/>
              </w:rPr>
              <w:t xml:space="preserve">7.配电箱、控制柜厂家：“陕西秦通电力”、“西安高科电气”、“陕西联控机电”（ 配电箱含箱中电气元件等成套产品，配电箱中开关元件等见技术要求）。元器件选定要求如下：     </w:t>
            </w:r>
          </w:p>
          <w:p>
            <w:pPr>
              <w:pStyle w:val="null3"/>
              <w:ind w:firstLine="560"/>
              <w:jc w:val="both"/>
            </w:pPr>
            <w:r>
              <w:rPr>
                <w:rFonts w:ascii="仿宋_GB2312" w:hAnsi="仿宋_GB2312" w:cs="仿宋_GB2312" w:eastAsia="仿宋_GB2312"/>
                <w:sz w:val="24"/>
                <w:color w:val="333333"/>
              </w:rPr>
              <w:t>7.1空气断路器：“施耐德”、“ABB”、“西门子”、“正泰”、“德力西”；</w:t>
            </w:r>
          </w:p>
          <w:p>
            <w:pPr>
              <w:pStyle w:val="null3"/>
              <w:ind w:firstLine="560"/>
              <w:jc w:val="both"/>
            </w:pPr>
            <w:r>
              <w:rPr>
                <w:rFonts w:ascii="仿宋_GB2312" w:hAnsi="仿宋_GB2312" w:cs="仿宋_GB2312" w:eastAsia="仿宋_GB2312"/>
                <w:sz w:val="24"/>
                <w:color w:val="333333"/>
              </w:rPr>
              <w:t>7.2双电源开关：“天津万高”、“施耐德”、“ABB”、“西门子”、“正泰”、“德力西”；</w:t>
            </w:r>
          </w:p>
          <w:p>
            <w:pPr>
              <w:pStyle w:val="null3"/>
              <w:ind w:firstLine="560"/>
              <w:jc w:val="both"/>
            </w:pPr>
            <w:r>
              <w:rPr>
                <w:rFonts w:ascii="仿宋_GB2312" w:hAnsi="仿宋_GB2312" w:cs="仿宋_GB2312" w:eastAsia="仿宋_GB2312"/>
                <w:sz w:val="24"/>
                <w:color w:val="333333"/>
              </w:rPr>
              <w:t>7.3负荷隔离开关：“正泰”、“西门子”、“正泰”、“德力西”、“西电”；</w:t>
            </w:r>
          </w:p>
          <w:p>
            <w:pPr>
              <w:pStyle w:val="null3"/>
              <w:ind w:firstLine="560"/>
              <w:jc w:val="both"/>
            </w:pPr>
            <w:r>
              <w:rPr>
                <w:rFonts w:ascii="仿宋_GB2312" w:hAnsi="仿宋_GB2312" w:cs="仿宋_GB2312" w:eastAsia="仿宋_GB2312"/>
                <w:sz w:val="24"/>
                <w:color w:val="333333"/>
              </w:rPr>
              <w:t xml:space="preserve">7.4浪涌器：“天津中力”、“杭州易造”、“德力西”、“正泰”；   </w:t>
            </w:r>
          </w:p>
          <w:p>
            <w:pPr>
              <w:pStyle w:val="null3"/>
              <w:ind w:firstLine="560"/>
              <w:jc w:val="both"/>
            </w:pPr>
            <w:r>
              <w:rPr>
                <w:rFonts w:ascii="仿宋_GB2312" w:hAnsi="仿宋_GB2312" w:cs="仿宋_GB2312" w:eastAsia="仿宋_GB2312"/>
                <w:sz w:val="24"/>
                <w:color w:val="333333"/>
              </w:rPr>
              <w:t>7.5电气火灾监控器：“江苏斯菲尔”、“西安亚川”、“深圳赋安”</w:t>
            </w:r>
          </w:p>
          <w:p>
            <w:pPr>
              <w:pStyle w:val="null3"/>
              <w:ind w:firstLine="560"/>
              <w:jc w:val="both"/>
            </w:pPr>
            <w:r>
              <w:rPr>
                <w:rFonts w:ascii="仿宋_GB2312" w:hAnsi="仿宋_GB2312" w:cs="仿宋_GB2312" w:eastAsia="仿宋_GB2312"/>
                <w:sz w:val="24"/>
                <w:color w:val="333333"/>
              </w:rPr>
              <w:t>7.6辅助元件选用</w:t>
            </w:r>
          </w:p>
          <w:p>
            <w:pPr>
              <w:pStyle w:val="null3"/>
              <w:ind w:firstLine="560"/>
              <w:jc w:val="both"/>
            </w:pPr>
            <w:r>
              <w:rPr>
                <w:rFonts w:ascii="仿宋_GB2312" w:hAnsi="仿宋_GB2312" w:cs="仿宋_GB2312" w:eastAsia="仿宋_GB2312"/>
                <w:sz w:val="24"/>
                <w:color w:val="333333"/>
              </w:rPr>
              <w:t>7.6.1交流接触器、热继电器、中间继电器：“正泰”、“德力西”、“西电”；</w:t>
            </w:r>
          </w:p>
          <w:p>
            <w:pPr>
              <w:pStyle w:val="null3"/>
              <w:ind w:firstLine="560"/>
              <w:jc w:val="both"/>
            </w:pPr>
            <w:r>
              <w:rPr>
                <w:rFonts w:ascii="仿宋_GB2312" w:hAnsi="仿宋_GB2312" w:cs="仿宋_GB2312" w:eastAsia="仿宋_GB2312"/>
                <w:sz w:val="24"/>
                <w:color w:val="333333"/>
              </w:rPr>
              <w:t>7.6.2多功能电力仪表：“上海安科瑞”、“江苏斯菲尔”</w:t>
            </w:r>
          </w:p>
          <w:p>
            <w:pPr>
              <w:pStyle w:val="null3"/>
              <w:ind w:firstLine="560"/>
              <w:jc w:val="both"/>
            </w:pPr>
            <w:r>
              <w:rPr>
                <w:rFonts w:ascii="仿宋_GB2312" w:hAnsi="仿宋_GB2312" w:cs="仿宋_GB2312" w:eastAsia="仿宋_GB2312"/>
                <w:sz w:val="24"/>
                <w:color w:val="333333"/>
              </w:rPr>
              <w:t>7.6.3电压表、电流表：“江苏斯菲尔”、“斯沃”</w:t>
            </w:r>
          </w:p>
          <w:p>
            <w:pPr>
              <w:pStyle w:val="null3"/>
              <w:ind w:firstLine="560"/>
              <w:jc w:val="both"/>
            </w:pPr>
            <w:r>
              <w:rPr>
                <w:rFonts w:ascii="仿宋_GB2312" w:hAnsi="仿宋_GB2312" w:cs="仿宋_GB2312" w:eastAsia="仿宋_GB2312"/>
                <w:sz w:val="24"/>
                <w:color w:val="333333"/>
              </w:rPr>
              <w:t>8.电缆桥架、线槽：国标电缆桥架、线槽。</w:t>
            </w:r>
          </w:p>
          <w:p>
            <w:pPr>
              <w:pStyle w:val="null3"/>
              <w:ind w:firstLine="560"/>
              <w:jc w:val="both"/>
            </w:pPr>
            <w:r>
              <w:rPr>
                <w:rFonts w:ascii="仿宋_GB2312" w:hAnsi="仿宋_GB2312" w:cs="仿宋_GB2312" w:eastAsia="仿宋_GB2312"/>
                <w:sz w:val="24"/>
                <w:color w:val="333333"/>
              </w:rPr>
              <w:t>9.电气配管焊接钢管、室外穿线管品牌、材质要求：陕西龙门钢铁（集团）有限责任公司、中国首钢集团、酒泉钢铁（集团）有限责任公司、宝钢集团有限公司、河北钢铁集团邯郸钢铁集团有限责任公司、包头钢铁（集团）有限责任公司、唐山钢铁集团有限责任公司、武汉钢铁（集团）公司、太原钢铁（集团）有限公司、马鞍山钢铁股份有限公司。</w:t>
            </w:r>
          </w:p>
          <w:p>
            <w:pPr>
              <w:pStyle w:val="null3"/>
              <w:ind w:firstLine="560"/>
              <w:jc w:val="both"/>
            </w:pPr>
            <w:r>
              <w:rPr>
                <w:rFonts w:ascii="仿宋_GB2312" w:hAnsi="仿宋_GB2312" w:cs="仿宋_GB2312" w:eastAsia="仿宋_GB2312"/>
                <w:sz w:val="24"/>
                <w:color w:val="333333"/>
              </w:rPr>
              <w:t>10.电线及电力电缆：“喜爱”、“西电”、“上上”。</w:t>
            </w:r>
          </w:p>
          <w:p>
            <w:pPr>
              <w:pStyle w:val="null3"/>
              <w:ind w:firstLine="560"/>
              <w:jc w:val="both"/>
            </w:pPr>
            <w:r>
              <w:rPr>
                <w:rFonts w:ascii="仿宋_GB2312" w:hAnsi="仿宋_GB2312" w:cs="仿宋_GB2312" w:eastAsia="仿宋_GB2312"/>
                <w:sz w:val="24"/>
                <w:color w:val="333333"/>
              </w:rPr>
              <w:t>11.室内消防设施品牌及要求</w:t>
            </w:r>
          </w:p>
          <w:p>
            <w:pPr>
              <w:pStyle w:val="null3"/>
              <w:ind w:firstLine="560"/>
              <w:jc w:val="both"/>
            </w:pPr>
            <w:r>
              <w:rPr>
                <w:rFonts w:ascii="仿宋_GB2312" w:hAnsi="仿宋_GB2312" w:cs="仿宋_GB2312" w:eastAsia="仿宋_GB2312"/>
                <w:sz w:val="24"/>
                <w:color w:val="333333"/>
              </w:rPr>
              <w:t>11.1 烟感、声光报警、手报、消火栓按钮：“北大青鸟”、“海湾”、“深圳赋安”、“北京利达”、“西核彩桥”、“深圳赋安”</w:t>
            </w:r>
          </w:p>
          <w:p>
            <w:pPr>
              <w:pStyle w:val="null3"/>
              <w:ind w:firstLine="560"/>
              <w:jc w:val="both"/>
            </w:pPr>
            <w:r>
              <w:rPr>
                <w:rFonts w:ascii="仿宋_GB2312" w:hAnsi="仿宋_GB2312" w:cs="仿宋_GB2312" w:eastAsia="仿宋_GB2312"/>
                <w:sz w:val="24"/>
                <w:color w:val="333333"/>
              </w:rPr>
              <w:t>11.2 应急广播、应急照明、疏散标识：“中消恒安”、“西安亚川”、“广东敏华”、“深圳赋安”、“北大青鸟”、“海湾”、“深圳赋安”、“北京利达”；</w:t>
            </w:r>
          </w:p>
          <w:p>
            <w:pPr>
              <w:pStyle w:val="null3"/>
              <w:ind w:firstLine="560"/>
              <w:jc w:val="both"/>
            </w:pPr>
            <w:r>
              <w:rPr>
                <w:rFonts w:ascii="仿宋_GB2312" w:hAnsi="仿宋_GB2312" w:cs="仿宋_GB2312" w:eastAsia="仿宋_GB2312"/>
                <w:sz w:val="24"/>
                <w:color w:val="333333"/>
              </w:rPr>
              <w:t>11.3 电消防钢管管径符合国标厚度；</w:t>
            </w:r>
          </w:p>
          <w:p>
            <w:pPr>
              <w:pStyle w:val="null3"/>
              <w:ind w:firstLine="560"/>
              <w:jc w:val="both"/>
            </w:pPr>
            <w:r>
              <w:rPr>
                <w:rFonts w:ascii="仿宋_GB2312" w:hAnsi="仿宋_GB2312" w:cs="仿宋_GB2312" w:eastAsia="仿宋_GB2312"/>
                <w:sz w:val="24"/>
                <w:color w:val="333333"/>
              </w:rPr>
              <w:t>11.4 电线的线径达到标注的物理线径；</w:t>
            </w:r>
          </w:p>
          <w:p>
            <w:pPr>
              <w:pStyle w:val="null3"/>
              <w:ind w:firstLine="560"/>
              <w:jc w:val="both"/>
            </w:pPr>
            <w:r>
              <w:rPr>
                <w:rFonts w:ascii="仿宋_GB2312" w:hAnsi="仿宋_GB2312" w:cs="仿宋_GB2312" w:eastAsia="仿宋_GB2312"/>
                <w:sz w:val="24"/>
                <w:color w:val="333333"/>
              </w:rPr>
              <w:t>11.5 镀锌钢管：“天津利达”、“友发 ”、“华岐”国标加厚 1MM；</w:t>
            </w:r>
          </w:p>
          <w:p>
            <w:pPr>
              <w:pStyle w:val="null3"/>
              <w:ind w:firstLine="560"/>
              <w:jc w:val="both"/>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工程地点：陕西省西安市</w:t>
            </w:r>
          </w:p>
          <w:p>
            <w:pPr>
              <w:pStyle w:val="null3"/>
            </w:pPr>
            <w:r>
              <w:rPr>
                <w:rFonts w:ascii="仿宋_GB2312" w:hAnsi="仿宋_GB2312" w:cs="仿宋_GB2312" w:eastAsia="仿宋_GB2312"/>
              </w:rPr>
              <w:t>质量标准：达到国家施工验收规范合格标准和西安市有关质量标准和要求</w:t>
            </w:r>
          </w:p>
          <w:p>
            <w:pPr>
              <w:pStyle w:val="null3"/>
            </w:pPr>
            <w:r>
              <w:rPr>
                <w:rFonts w:ascii="仿宋_GB2312" w:hAnsi="仿宋_GB2312" w:cs="仿宋_GB2312" w:eastAsia="仿宋_GB2312"/>
              </w:rPr>
              <w:t>工期：</w:t>
            </w:r>
            <w:r>
              <w:rPr>
                <w:rFonts w:ascii="仿宋_GB2312" w:hAnsi="仿宋_GB2312" w:cs="仿宋_GB2312" w:eastAsia="仿宋_GB2312"/>
              </w:rPr>
              <w:t>25日历天</w:t>
            </w:r>
          </w:p>
          <w:p>
            <w:pPr>
              <w:pStyle w:val="null3"/>
            </w:pPr>
            <w:r>
              <w:rPr>
                <w:rFonts w:ascii="仿宋_GB2312" w:hAnsi="仿宋_GB2312" w:cs="仿宋_GB2312" w:eastAsia="仿宋_GB2312"/>
                <w:sz w:val="21"/>
              </w:rPr>
              <w:t>暂列金：</w:t>
            </w:r>
            <w:r>
              <w:rPr>
                <w:rFonts w:ascii="仿宋_GB2312" w:hAnsi="仿宋_GB2312" w:cs="仿宋_GB2312" w:eastAsia="仿宋_GB2312"/>
                <w:sz w:val="21"/>
              </w:rPr>
              <w:t>本项目暂列金额按照分部分项工程费的10%分别计入各单位工程中</w:t>
            </w:r>
            <w:r>
              <w:rPr>
                <w:rFonts w:ascii="仿宋_GB2312" w:hAnsi="仿宋_GB2312" w:cs="仿宋_GB2312" w:eastAsia="仿宋_GB2312"/>
                <w:sz w:val="21"/>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达到国家施工验收规范合格标准和西安市有关质量标准和要求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符合国家、省、市等相关标准及采购人和设计要求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1、本工程量清单采用广联达云计价平台GCCP7.0版本号7.5000.23.3编制。 2、本项目最高限价采用全费用综合单价，磋商总报价为完成本项目磋商文件中所提出的工作范围及要求的全部内容，并达到国家及采购人验收标准而产生的所有费用，投标报价包括但不限于以下内容：包括人工费、材料费、机械费、措施费、管理费、利润、规费、税金、风险、工程保险费、招标代理服务费、防污治霾费等完成本项目所产生的一切费用。任何错报、漏报由供应商自行负责。 3、成交供应商在成交结果公告发布后3个工作日内提供叁套纸质响应文件（经编标工具生成的文件直接打印并加盖公章），递交的纸质版文件内容确保与线上电子文件保持一致，不允许修改和补充。4、成交供应商须具备开具增值税专用发票的能力。</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资格证明资料.docx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者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提供2026年1月至今已缴存任意一个月社会保障资金缴存单据或社保机构开具的社会保险参保缴费证明，依法不需要缴纳社会保障资金的单位应提供相应证明文件；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提供具有履行合同所必需的设备和专业技术能力证明文件， 提供承诺函。</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具备建设行政主管部门颁发的建筑工程施工总承包叁级及以上资质证书，同时具有合格有效的安全生产许可证。</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项目经理资格</w:t>
            </w:r>
          </w:p>
        </w:tc>
        <w:tc>
          <w:tcPr>
            <w:tcW w:type="dxa" w:w="3322"/>
          </w:tcPr>
          <w:p>
            <w:pPr>
              <w:pStyle w:val="null3"/>
            </w:pPr>
            <w:r>
              <w:rPr>
                <w:rFonts w:ascii="仿宋_GB2312" w:hAnsi="仿宋_GB2312" w:cs="仿宋_GB2312" w:eastAsia="仿宋_GB2312"/>
              </w:rPr>
              <w:t>拟派项目经理须具备建筑工程专业二级及以上注册建造师资格，具备有效的安全生产考核合格证书（B证），在本单位注册，且无在建工程(需提供承诺)。</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供应商不得为“信用中国”网站（www.creditchina.gov.cn）（中国执行信息公开网）中被列入失信被执行人、重大税收违法失信主体和中国政府采购网（www.ccgp.gov.cn）政府采购严重违法失信行为记录名单的单位；（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平台查询信息</w:t>
            </w:r>
          </w:p>
        </w:tc>
        <w:tc>
          <w:tcPr>
            <w:tcW w:type="dxa" w:w="3322"/>
          </w:tcPr>
          <w:p>
            <w:pPr>
              <w:pStyle w:val="null3"/>
            </w:pPr>
            <w:r>
              <w:rPr>
                <w:rFonts w:ascii="仿宋_GB2312" w:hAnsi="仿宋_GB2312" w:cs="仿宋_GB2312" w:eastAsia="仿宋_GB2312"/>
              </w:rPr>
              <w:t>供应商及拟派项目经理须在“陕西省住房和城乡建设厅"官网可查询。如供应商为外省进陕企业，还须同时提供“陕西省住房和城乡建设厅”官网企业库外省进陕施工企业信息首页截图。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w:t>
            </w:r>
          </w:p>
        </w:tc>
        <w:tc>
          <w:tcPr>
            <w:tcW w:type="dxa" w:w="1661"/>
          </w:tcPr>
          <w:p>
            <w:pPr>
              <w:pStyle w:val="null3"/>
            </w:pPr>
            <w:r>
              <w:rPr>
                <w:rFonts w:ascii="仿宋_GB2312" w:hAnsi="仿宋_GB2312" w:cs="仿宋_GB2312" w:eastAsia="仿宋_GB2312"/>
              </w:rPr>
              <w:t>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1、投标文件是否按照招标文件要求的格式编写； 2、投标报价内容是否有重大缺漏项。</w:t>
            </w:r>
          </w:p>
        </w:tc>
        <w:tc>
          <w:tcPr>
            <w:tcW w:type="dxa" w:w="1661"/>
          </w:tcPr>
          <w:p>
            <w:pPr>
              <w:pStyle w:val="null3"/>
            </w:pPr>
            <w:r>
              <w:rPr>
                <w:rFonts w:ascii="仿宋_GB2312" w:hAnsi="仿宋_GB2312" w:cs="仿宋_GB2312" w:eastAsia="仿宋_GB2312"/>
              </w:rPr>
              <w:t>技术服务方案.docx 已标价工程量清单 中小企业声明函 技术服务合同条款及其他商务要求应答表 强制优先采购产品承诺函 资格证明资料.docx 响应文件封面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1、投标文件的签署、加盖印章是否合格、有效； 2、提供的各种证明文件、数据、资料 是否真实、有效。</w:t>
            </w:r>
          </w:p>
        </w:tc>
        <w:tc>
          <w:tcPr>
            <w:tcW w:type="dxa" w:w="1661"/>
          </w:tcPr>
          <w:p>
            <w:pPr>
              <w:pStyle w:val="null3"/>
            </w:pPr>
            <w:r>
              <w:rPr>
                <w:rFonts w:ascii="仿宋_GB2312" w:hAnsi="仿宋_GB2312" w:cs="仿宋_GB2312" w:eastAsia="仿宋_GB2312"/>
              </w:rPr>
              <w:t>技术服务方案.docx 已标价工程量清单 中小企业声明函 技术服务合同条款及其他商务要求应答表 强制优先采购产品承诺函 资格证明资料.docx 响应文件封面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1、报价是否未超过最高限价，且只能有一个有效报价，不得提交选择性报价； 2、磋商有效期是否符合磋商文件的要求； 3、响应文件内容是否符合国家法律法规，是否响应了磋商文件要求的全部条款、条件和规格要求，没有重大偏离。</w:t>
            </w:r>
          </w:p>
        </w:tc>
        <w:tc>
          <w:tcPr>
            <w:tcW w:type="dxa" w:w="1661"/>
          </w:tcPr>
          <w:p>
            <w:pPr>
              <w:pStyle w:val="null3"/>
            </w:pPr>
            <w:r>
              <w:rPr>
                <w:rFonts w:ascii="仿宋_GB2312" w:hAnsi="仿宋_GB2312" w:cs="仿宋_GB2312" w:eastAsia="仿宋_GB2312"/>
              </w:rPr>
              <w:t>技术服务方案.docx 已标价工程量清单 中小企业声明函 技术服务合同条款及其他商务要求应答表 强制优先采购产品承诺函 资格证明资料.docx 响应文件封面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③施工平面布置与安排：现场围挡及收入口管理、交通组织安排、消防及道路安排。 二、评审标准 1、完整性：方案必须全面，对评审内容中的各项要求有详细描述； 2、可实施性：切合本项目实际情况，提出步骤清晰、合理的方案； 3、针对性：方案能够紧扣项目实际情况，内容科学合理。 三、赋分标准 ①施工目标：每完全满足一个评审标准得1分，满分3分；有一项缺陷扣0.5分； ②施工准备：每完全满足一个评审标准得1分，满分3分；有一项缺陷扣0.5分； ③施工平面布置与安排：每完全满足一个评审标准得1分，满分3分；有一项缺陷扣0.5分。（缺陷是指：内容粗略、逻辑混乱、描述过于简单、与项目特点不匹配、凭空编造、逻辑漏洞、出现常识性错误、存在不可能实现的夸大情形） 四、以上内容未提供得0分。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供应商针对本项目编制完善的施工进度计划，内容包含：①施工进度计划横道图②进度计划保证措施③工期保证措施。 二、评审标准 1、完整性：方案必须全面，对评审内容中的各项要求有详细描述； 2、可实施性：切合本项目实际情况，提出步骤清晰、合理的方案； 3、针对性：方案能够紧扣项目实际情况，内容科学合理。 三、赋分标准 ①施工进度计划图：每完全满足一个评审标准得1分，满分3分；有一项缺陷扣0.5分； ②进度计划保证措施：每完全满足一个评审标准得1分，满分3分；有一项缺陷扣0.5分； ③工期保证措施：每完全满足一个评审标准得1分，满分3分；有一项缺陷扣0.5分。（缺陷是指：内容粗略、逻辑混乱、描述过于简单、与项目特点不匹配、凭空编造、逻辑漏洞、出现常识性错误、存在不可能实现的夸大情形）四、以上内容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供应商针对本项目编制完善的施工方案内容包含：①工程重难点及解决措施②工程施工方法③施工质量通病防治措施。 二、评审标准 1、完整性：方案必须全面，对评审内容中的各项要求有详细描述； 2、可实施性：切合本项目实际情况，提出步骤清晰、合理的方案； 3、针对性：方案能够紧扣项目实际情况，内容科学合理。 三、赋分标准 ①工程重难点及解决措施：每完全满足一个评审标准得1分，满分3分；有一项缺陷扣0.5分； ②工程施工方法：每完全满足一个评审标准得1分，满分3分；有一项缺陷扣0.5分； ③施工质量通病防治措施：每完全满足一个评审标准得1分，满分3分；有一项缺陷扣0.5分。（缺陷是指：内容粗略、逻辑混乱、描述过于简单、与项目特点不匹配、凭空编造、逻辑漏洞、出现常识性错误、存在不可能实现的夸大情形）四、以上内容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供应商针对本项目编制完善的质量保证措施，内容包含：①质量目标管理体系；②施工质量控制措施。 二、评审标准 1、完整性：方案必须全面，对评审内容中的各项要求有详细描述； 2、可实施性：切合本项目实际情况，提出步骤清晰、合理的方案； 3、针对性：方案能够紧扣项目实际情况，内容科学合理。 三、赋分标准 ①质量目标管理体系：每完全满足一个评审标准得1分，满分3分；有一项缺陷扣0.5分； ②施工质量控制措施：每完全满足一个评审标准得1分，满分3分；有一项缺陷扣0.5分。（缺陷是指：内容粗略、逻辑混乱、描述过于简单、与项目特点不匹配、凭空编造、逻辑漏洞、出现常识性错误、存在不可能实现的夸大情形） 四、以上内容未提供得0分。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供应商针对本项目编制完整的安全施工措施，内容包含：①安全生产管理制度②安全施工措施及应急预案。 二、评审标准 1、完整性：方案必须全面，对评审内容中的各项要求有详细描述； 2、可实施性：切合本项目实际情况，提出步骤清晰、合理的方案； 3、针对性：方案能够紧扣项目实际情况，内容科学合理。 三、赋分标准①安全生产管理制度：每完全满足一个评审标准得1分，满分3分；有一项缺陷扣0.5分； ②安全施工措施及应急预案：每完全满足一个评审标准1分，满分3分；有一项缺陷扣0.5分； 。（缺陷是指：内容粗略、逻辑混乱、描述过于简单、与项目特点不匹配、凭空编造、逻辑漏洞、出现常识性错误、存在不可能实现的夸大情形）四、以上内容未提供得0分。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供应商针对本项目编制科学的项目管理机构，内容包含：①管理机构的配备计划及管理人员证书②组织机构的岗位职责。 二、评审标准 1、完整性：方案必须全面，对评审内容中的各项要求有详细描述； 2、可实施性：切合本项目实际情况，提出步骤清晰、合理的方案。 三、赋分标准 ①管理机构的配备计划：每完全满足一个评审标准得2分，满分4分；有一项缺陷扣1分； ②组织机构的岗位职责：每完全满足一个评审标准得2分，满分4分；有一项缺陷扣1分。（缺陷是指：内容粗略、逻辑混乱、描述过于简单、与项目特点不匹配、凭空编造、逻辑漏洞、出现常识性错误、存在不可能实现的夸大情形） 四、以上内容未提供得0分。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技术服务方案.docx</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节能环保、绿色建材</w:t>
            </w:r>
          </w:p>
        </w:tc>
        <w:tc>
          <w:tcPr>
            <w:tcW w:type="dxa" w:w="2492"/>
          </w:tcPr>
          <w:p>
            <w:pPr>
              <w:pStyle w:val="null3"/>
            </w:pPr>
            <w:r>
              <w:rPr>
                <w:rFonts w:ascii="仿宋_GB2312" w:hAnsi="仿宋_GB2312" w:cs="仿宋_GB2312" w:eastAsia="仿宋_GB2312"/>
              </w:rPr>
              <w:t>1.对所选用的施工材料采用绿色建材的;以上内容每提供一项计1分，最高计2分。(以上内容需提供检测报告及相关证明材料等并加盖公章) 2.供应商选用主材中每有一项为节能产品经国家认证的得0.5分，每有一项为环境标志产品经国家认证的得0.5分，最多得1分。(以经国家确定的认证机构出具的、处于有效期内的节能产品、环境标志产品认证证书为准)3、以上内容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针对本项目作出合理有效的工程施工承诺（主要体现不得拖欠施工人员工资、给施工人员缴纳保险），每提供1条得2分，满分4分；不提供不得分。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供应商提供2023年6月1日起至今的类似业绩证明材料，时间以合同签订日期为准，（文件中附合同复印件），每提供一项上述业绩的得2分，最高得6分。不提供或缺项不得分。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价格分统一采用低价优先法计算，即满足磋商文件要求且最后磋商报价最低的供应商的价格为磋商基准价，其价格分为满分。其他供应商的价格分统一按照下列公式计算： 磋商报价得分=(磋商基准价／最后磋商报价)×价格分值 计算分数时四舍五入取小数点后两位。 注：磋商小组三分之二以上人员认为某最后磋商报价有低于成本价嫌疑的，该报价为无效报价。</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3%的扣除，用扣除后的价格参加评审。承接本项目的供应商符合相应条件时，给予3%的价格扣除，即：评标价=最后报价×（1-3%）;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已标价工程量清单</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详见附件：技术服务方案.docx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