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版本号：SXBX-ZFCG-202601220260528002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蔡伦墓和祠拜殿.献殿.东西厢房及乐楼屋面保护修缮建安工程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SXBX-ZFCG-2026012</w:t>
      </w:r>
      <w:r>
        <w:br/>
      </w:r>
      <w:r>
        <w:br/>
      </w:r>
      <w:r>
        <w:br/>
      </w:r>
    </w:p>
    <w:p>
      <w:pPr>
        <w:pStyle w:val="null3"/>
        <w:jc w:val="center"/>
        <w:outlineLvl w:val="2"/>
      </w:pPr>
      <w:r>
        <w:rPr>
          <w:rFonts w:ascii="仿宋_GB2312" w:hAnsi="仿宋_GB2312" w:cs="仿宋_GB2312" w:eastAsia="仿宋_GB2312"/>
          <w:sz w:val="28"/>
          <w:b/>
        </w:rPr>
        <w:t>洋县蔡伦墓祠文物管理所</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洋县蔡伦墓祠文物管理所</w:t>
      </w:r>
      <w:r>
        <w:rPr>
          <w:rFonts w:ascii="仿宋_GB2312" w:hAnsi="仿宋_GB2312" w:cs="仿宋_GB2312" w:eastAsia="仿宋_GB2312"/>
        </w:rPr>
        <w:t>委托，拟对</w:t>
      </w:r>
      <w:r>
        <w:rPr>
          <w:rFonts w:ascii="仿宋_GB2312" w:hAnsi="仿宋_GB2312" w:cs="仿宋_GB2312" w:eastAsia="仿宋_GB2312"/>
        </w:rPr>
        <w:t>蔡伦墓和祠拜殿.献殿.东西厢房及乐楼屋面保护修缮建安工程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蔡伦墓和祠拜殿.献殿.东西厢房及乐楼屋面保护修缮建安工程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对蔡伦墓和祠拜殿、献殿、东西厢房及乐楼屋⾯开展保护性修缮,消除屋⾯渗漏、构件⽼化等病害，恢复⽂物建筑原有形制与⻛貌，提升⽂物本体结构安全性与耐久性。延续历史⽂化价值。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采购包1（蔡伦墓和祠拜殿、献殿、东西厢房及乐楼屋面保护修缮建安工程）：属于专门面向中小企业采购。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并出具近半年的社保证明；供应商需在项目电子化交易系统中按要求上传相应证明文件并进行电子签章；</w:t>
      </w:r>
    </w:p>
    <w:p>
      <w:pPr>
        <w:pStyle w:val="null3"/>
      </w:pPr>
      <w:r>
        <w:rPr>
          <w:rFonts w:ascii="仿宋_GB2312" w:hAnsi="仿宋_GB2312" w:cs="仿宋_GB2312" w:eastAsia="仿宋_GB2312"/>
        </w:rPr>
        <w:t>3、供应商资质要求：供应商须具备国家文物局颁发的文物保护工程施工一级企业资质（业务范围包含" 古建筑"）且具备有效的安全生产许可证；</w:t>
      </w:r>
    </w:p>
    <w:p>
      <w:pPr>
        <w:pStyle w:val="null3"/>
      </w:pPr>
      <w:r>
        <w:rPr>
          <w:rFonts w:ascii="仿宋_GB2312" w:hAnsi="仿宋_GB2312" w:cs="仿宋_GB2312" w:eastAsia="仿宋_GB2312"/>
        </w:rPr>
        <w:t>4、项目负责人资质：拟派项目负责人须具备文物保护工程责任工程师证（从业范围含：“古建筑”），且无在建项目（提供无在建工程承诺书）；</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供应商应出具参加本次政府采购活动前3年内在经营活动中没有重大违法违纪，截止至响应文件递交截止时间之前，供应商未被“信用中国”网站列入失信被执行人名单、重大税收违法案件当事人名单，未被列入“中国政府采购网”政府采购严重违法失信行为记录名单；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6、无关联关系：单位负责人为同一人或者存在控股、管理关系的不同单位，不得同时参加本采购项目磋商。违反规定的，其响应均无效；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洋县蔡伦墓祠文物管理所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洋县⻰亭镇⻰亭村三组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18991623860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陕西省汉中市洋县云江⽉酒店向东30⽶</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19992619689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开户名称：陕西柏骁项⽬管理有限公司</w:t>
            </w:r>
          </w:p>
          <w:p>
            <w:pPr>
              <w:pStyle w:val="null3"/>
            </w:pPr>
            <w:r>
              <w:rPr>
                <w:rFonts w:ascii="仿宋_GB2312" w:hAnsi="仿宋_GB2312" w:cs="仿宋_GB2312" w:eastAsia="仿宋_GB2312"/>
              </w:rPr>
              <w:t>开户银行：中国⼯商银⾏股份有限公司汉中洋县⽀⾏营业部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成交供应商在领取成交通知书前，须向采购代理机构⼀次性⽀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洋县蔡伦墓祠文物管理所</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洋县蔡伦墓祠文物管理所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洋县蔡伦墓祠文物管理所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验收的⼯程，必须符合规定的⼯程质量标准，有完整的⼯程技术经济资料和经签著的⼯程保修书，并具备国家规定的其他竣⼯条件。⼯程竣⼯经验收合格后，⽅可交付使⽤；未经验收或者验收不合格的，不得交付使⽤。</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联系人：梁女士</w:t>
      </w:r>
    </w:p>
    <w:p>
      <w:pPr>
        <w:pStyle w:val="null3"/>
      </w:pPr>
      <w:r>
        <w:rPr>
          <w:rFonts w:ascii="仿宋_GB2312" w:hAnsi="仿宋_GB2312" w:cs="仿宋_GB2312" w:eastAsia="仿宋_GB2312"/>
        </w:rPr>
        <w:t>联系电话：19992619689</w:t>
      </w:r>
    </w:p>
    <w:p>
      <w:pPr>
        <w:pStyle w:val="null3"/>
      </w:pPr>
      <w:r>
        <w:rPr>
          <w:rFonts w:ascii="仿宋_GB2312" w:hAnsi="仿宋_GB2312" w:cs="仿宋_GB2312" w:eastAsia="仿宋_GB2312"/>
        </w:rPr>
        <w:t>地址：陕西省汉中市洋县云江⽉酒店向东30⽶</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1,660,000.00</w:t>
      </w:r>
    </w:p>
    <w:p>
      <w:pPr>
        <w:pStyle w:val="null3"/>
      </w:pPr>
      <w:r>
        <w:rPr>
          <w:rFonts w:ascii="仿宋_GB2312" w:hAnsi="仿宋_GB2312" w:cs="仿宋_GB2312" w:eastAsia="仿宋_GB2312"/>
        </w:rPr>
        <w:t>采购包最高限价（元）: 1,657,800.00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蔡伦墓和祠拜殿.献殿.东西厢房及乐楼屋面保护修缮建安工程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标的名称：蔡伦墓和祠拜殿.献殿.东西厢房及乐楼屋面保护修缮建安工程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5"/>
                <w:color w:val="000000"/>
              </w:rPr>
              <w:t>1.</w:t>
            </w:r>
            <w:r>
              <w:rPr>
                <w:rFonts w:ascii="仿宋_GB2312" w:hAnsi="仿宋_GB2312" w:cs="仿宋_GB2312" w:eastAsia="仿宋_GB2312"/>
                <w:sz w:val="15"/>
                <w:color w:val="000000"/>
              </w:rPr>
              <w:t>施⼯⼯期：</w:t>
            </w:r>
            <w:r>
              <w:rPr>
                <w:rFonts w:ascii="仿宋_GB2312" w:hAnsi="仿宋_GB2312" w:cs="仿宋_GB2312" w:eastAsia="仿宋_GB2312"/>
                <w:sz w:val="15"/>
                <w:color w:val="000000"/>
              </w:rPr>
              <w:t>150</w:t>
            </w:r>
            <w:r>
              <w:rPr>
                <w:rFonts w:ascii="仿宋_GB2312" w:hAnsi="仿宋_GB2312" w:cs="仿宋_GB2312" w:eastAsia="仿宋_GB2312"/>
                <w:sz w:val="15"/>
                <w:color w:val="000000"/>
              </w:rPr>
              <w:t>⽇历天</w:t>
            </w:r>
          </w:p>
          <w:p>
            <w:pPr>
              <w:pStyle w:val="null3"/>
            </w:pPr>
            <w:r>
              <w:rPr>
                <w:rFonts w:ascii="仿宋_GB2312" w:hAnsi="仿宋_GB2312" w:cs="仿宋_GB2312" w:eastAsia="仿宋_GB2312"/>
                <w:sz w:val="15"/>
                <w:color w:val="000000"/>
              </w:rPr>
              <w:t>2.</w:t>
            </w:r>
            <w:r>
              <w:rPr>
                <w:rFonts w:ascii="仿宋_GB2312" w:hAnsi="仿宋_GB2312" w:cs="仿宋_GB2312" w:eastAsia="仿宋_GB2312"/>
                <w:sz w:val="15"/>
                <w:color w:val="000000"/>
              </w:rPr>
              <w:t>质量⽬标：符合国家及⾏业验收合格标准</w:t>
            </w:r>
          </w:p>
          <w:p>
            <w:pPr>
              <w:pStyle w:val="null3"/>
            </w:pPr>
            <w:r>
              <w:rPr>
                <w:rFonts w:ascii="仿宋_GB2312" w:hAnsi="仿宋_GB2312" w:cs="仿宋_GB2312" w:eastAsia="仿宋_GB2312"/>
                <w:sz w:val="15"/>
                <w:color w:val="000000"/>
              </w:rPr>
              <w:t>3.</w:t>
            </w:r>
            <w:r>
              <w:rPr>
                <w:rFonts w:ascii="仿宋_GB2312" w:hAnsi="仿宋_GB2312" w:cs="仿宋_GB2312" w:eastAsia="仿宋_GB2312"/>
                <w:sz w:val="15"/>
                <w:color w:val="000000"/>
              </w:rPr>
              <w:t>施⼯范围：⼯程量清单内所含的全部内容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1、技术要求详⻅本⼯程施⼯图纸及⼯程量清单;2、在施⼯期间，成交供应商必须注意⼈员安全，加强安全措施，并对施⼯⼈员进⾏安全教育，施⼯⼈员必须持证上岗。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并出具近半年的社保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供应商须具备国家文物局颁发的文物保护工程施工一级企业资质（业务范围包含" 古建筑"）且具备有效的安全生产许可证；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拟派项目负责人须具备文物保护工程责任工程师证（从业范围含：“古建筑”），且无在建项目（提供无在建工程承诺书）；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供应商应出具参加本次政府采购活动前3年内在经营活动中没有重大违法违纪，截止至响应文件递交截止时间之前，供应商未被“信用中国”网站列入失信被执行人名单、重大税收违法案件当事人名单，未被列入“中国政府采购网”政府采购严重违法失信行为记录名单；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 xml:space="preserve"> 响应⽂件有效期符合⽂件要求</w:t>
            </w:r>
          </w:p>
        </w:tc>
        <w:tc>
          <w:tcPr>
            <w:tcW w:type="dxa" w:w="1661"/>
          </w:tcPr>
          <w:p>
            <w:pPr>
              <w:pStyle w:val="null3"/>
            </w:pPr>
            <w:r>
              <w:rPr>
                <w:rFonts w:ascii="仿宋_GB2312" w:hAnsi="仿宋_GB2312" w:cs="仿宋_GB2312" w:eastAsia="仿宋_GB2312"/>
              </w:rPr>
              <w:t>响应文件封面 供应商应提交的相关资格证明文件.docx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 xml:space="preserve"> 符合⽂件要求，响应⽂件内容⻬全、⽆遗漏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 xml:space="preserve"> 均按⽂件要求签字、盖章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 报价符合竞争性磋商⽂件的要求。</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磋商报价</w:t>
            </w:r>
          </w:p>
        </w:tc>
        <w:tc>
          <w:tcPr>
            <w:tcW w:type="dxa" w:w="2492"/>
          </w:tcPr>
          <w:p>
            <w:pPr>
              <w:pStyle w:val="null3"/>
            </w:pPr>
            <w:r>
              <w:rPr>
                <w:rFonts w:ascii="仿宋_GB2312" w:hAnsi="仿宋_GB2312" w:cs="仿宋_GB2312" w:eastAsia="仿宋_GB2312"/>
              </w:rPr>
              <w:t>依据财政部财库〔2014〕214号--《政府采购竞争性磋商采购方式管理暂行办法》的规定文件要求，综合评分法中的价格分统一采用低价优先法计算，即满足磋商文件要求且最后报价最低的供应商的价格为磋商基准价，其价格分为满分。其他供应商的价格分统一按照下列公式计算： 磋商报价得分=（磋商基准价/最终磋商报价）× 30（价格权值设定为 30 分）。备注：依据财政部《关于推动解决政府采购异常低价问题的通知》（财库〔2026〕2号）异常低价审查启动情形：评审中出现下列任一情形，启动异常低价审查 ：①报价低于全部合格报价平均值的50%；② 报价低于次低报价的50%；③ 评审委员会认定报价过低，可能影响文物保护质量或诚信履约的。审查要求：被认定异常低价的供应商，需在 30分钟内提交成本测算、材料单价、人工标准等书面说明及证明材料 。处理规则：无法提供有效证明或经核验不合理的，按无效投标处理；审查过程及结果须完整记录在评审报告中。</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 2023年5月至今已完成的相关类似业绩，提供合同的复印件并加盖单位公章，以合同的签订日期为准。每提供1份得2分，最多得6分，未提供或提供的合同内容模糊无法辨认得0分。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工程概况与现状评估</w:t>
            </w:r>
          </w:p>
        </w:tc>
        <w:tc>
          <w:tcPr>
            <w:tcW w:type="dxa" w:w="2492"/>
          </w:tcPr>
          <w:p>
            <w:pPr>
              <w:pStyle w:val="null3"/>
            </w:pPr>
            <w:r>
              <w:rPr>
                <w:rFonts w:ascii="仿宋_GB2312" w:hAnsi="仿宋_GB2312" w:cs="仿宋_GB2312" w:eastAsia="仿宋_GB2312"/>
              </w:rPr>
              <w:t>工程概况完整、现状评估方案分析全面、精准透彻，贴合工程规模、工艺特点、现场条件及行业规范；对应方案具体可行、针对性强3.6-5分； 能识别项目主要问题，但分析不够深入、针对性一般，满足项目实施基本需求得1.6-3.5分； 对项目评估不清或缺失，分析笼统片面，难以保障项目顺利实施得0-1.5分。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施工方案与措施</w:t>
            </w:r>
          </w:p>
        </w:tc>
        <w:tc>
          <w:tcPr>
            <w:tcW w:type="dxa" w:w="2492"/>
          </w:tcPr>
          <w:p>
            <w:pPr>
              <w:pStyle w:val="null3"/>
            </w:pPr>
            <w:r>
              <w:rPr>
                <w:rFonts w:ascii="仿宋_GB2312" w:hAnsi="仿宋_GB2312" w:cs="仿宋_GB2312" w:eastAsia="仿宋_GB2312"/>
              </w:rPr>
              <w:t>施工方案完整、针对性极强，贴合项目实际工况；技术措施科学先进、可操作性强，关键工序有专项优化方案，完全符合规范要求得7.6-10分。 施工方案完整，针对性较强，能匹配项目主要工况；技术措施合理可行，覆盖核心工序，符合规范要求，无明显疏漏得5.1-7.5分； 施工方案基本完整，针对性一般，能满足项目基础施工需求；技术措施基本可行，关键工序措施略有欠缺，基本符合规范要求得2.6-5分； 施工方案残缺不全，缺乏针对性，与项目实际严重不符；技术措施不可行，核心工序无有效措施，不符合规范要求，甚至存在原则性错误，得0-2.5分。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质量保证体系健全完善、符合规范，质量目标明确，针对性强、可操作性高，能有效保障工程质量得7.6-10分； 质量保证体系较为完善，质量目标、管理制度及主要保证措施基本齐全，整体可满足工程质量要求得5.1-7.5分； 质量保证体系基本建立，质量目标、保证措施内容较简单、针对性一般，基本能满足施工质量基本要求得2.6-5分； 质量保证体系不健全或缺失，质量目标、保证措施笼统等内容不足，难以有效保障工程质量得0-2.5分。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文物保护专项措施</w:t>
            </w:r>
          </w:p>
        </w:tc>
        <w:tc>
          <w:tcPr>
            <w:tcW w:type="dxa" w:w="2492"/>
          </w:tcPr>
          <w:p>
            <w:pPr>
              <w:pStyle w:val="null3"/>
            </w:pPr>
            <w:r>
              <w:rPr>
                <w:rFonts w:ascii="仿宋_GB2312" w:hAnsi="仿宋_GB2312" w:cs="仿宋_GB2312" w:eastAsia="仿宋_GB2312"/>
              </w:rPr>
              <w:t>管理体系健全完善，符合规范；保护专项措施全面具体，针对性极强；能全面防范现场各类风险得10.6-14分；管理体系较为完善；保护专项措施基本齐全，覆盖现场主要管控环节；可满足项目现场文物保护及日常管理需求得7.1-10.5分；管理体系基本建立，管理制度不够完善；保护专项措施内容较简单；未明确具体操作流程及管控标准，仅能基本满足现场管理最低要求得3.6-7分；管理体系不健全或完全缺失，无相关管理制度；各项保护专项措施笼统空洞、缺乏具体内容，无任何可操作性；难以有效防范现场风险得0-3.5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管理体系健全完善，文明施工、扬尘噪声、污水固废、绿色施工、消防等措施全面具体、针对性强、可操作性高，保障措施充分可靠得7.6-10分； 管理体系较为完善，文明施工、环保、消防措施基本齐全，关键环节管控到位，可满足项目现场管理要求得5.1-7.5分； 管理体系基本建立，相关措施内容较简单、针对性一般，部分环节不够细化，基本满足现场管理基本要求得2.6-5分； 管理体系不健全或缺失，措施笼统空洞、缺乏可操作性，现场管控、环保、消防等内容不足，难以有效保障现场管理得0-2.5分。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进度计划与保障措施</w:t>
            </w:r>
          </w:p>
        </w:tc>
        <w:tc>
          <w:tcPr>
            <w:tcW w:type="dxa" w:w="2492"/>
          </w:tcPr>
          <w:p>
            <w:pPr>
              <w:pStyle w:val="null3"/>
            </w:pPr>
            <w:r>
              <w:rPr>
                <w:rFonts w:ascii="仿宋_GB2312" w:hAnsi="仿宋_GB2312" w:cs="仿宋_GB2312" w:eastAsia="仿宋_GB2312"/>
              </w:rPr>
              <w:t>进度计划科学合理、细化完整，贴合项目总工期要求，逻辑清晰；对应保证措施全面具体、针对性强，能有效保障工期目标实现得3.3-5分； 进度计划框架基本完整，但细节不够细化；对应保证措施内容较简单、针对性一般，基本满足工期基本要求得1.6-3.2分； 进度计划不合理或缺失关键内容，节点混乱、与总工期要求不符；对应保证措施笼统空洞、缺乏可操作性，难以保障工期顺利推进得0-1.5分。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人员配置充足、分工清晰；有详细的人员进场计划、岗位职责说明。设备配置与施工进度计划、施工工艺高度匹配，能充分保障工程施工效率与施工进度计划得3.3-5分；人员构成基本合理，有明确的人员进场安排及基础履职保障措施。设备配置与施工计划、工艺基本匹配，无明显不合理之处，能基本保障工程施工效率和质量得1.6-3.2分 ; 无明确的人员进场计划及履职保障措施，难以支撑工程顺利实施。 设备配置与施工计划、工艺不匹配，不能充分保障工程施工效率和质量得0-1.5分。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施工部署和现场平面布置</w:t>
            </w:r>
          </w:p>
        </w:tc>
        <w:tc>
          <w:tcPr>
            <w:tcW w:type="dxa" w:w="2492"/>
          </w:tcPr>
          <w:p>
            <w:pPr>
              <w:pStyle w:val="null3"/>
            </w:pPr>
            <w:r>
              <w:rPr>
                <w:rFonts w:ascii="仿宋_GB2312" w:hAnsi="仿宋_GB2312" w:cs="仿宋_GB2312" w:eastAsia="仿宋_GB2312"/>
              </w:rPr>
              <w:t>施工部署科学，流程计划清晰；现场平面布置规范，功能分区明确，文物保护区有专属防护，无安全隐患得3.3-5分；施工部署基本可行，流程有少量不合理；现场平面布置基本达标，分区不清晰，文物保护措施一般，无重大安全隐患得1.6-3.2分；施工部署缺失或不合理，未考虑文物保护；现场布置混乱，文物无防护，存在严重安全隐患，无法保障施工及文物安全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