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AD10DD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 xml:space="preserve"> 采购内容及要求</w:t>
      </w:r>
    </w:p>
    <w:p w14:paraId="49C9B07A">
      <w:pPr>
        <w:widowControl/>
        <w:spacing w:line="360" w:lineRule="auto"/>
        <w:jc w:val="left"/>
        <w:rPr>
          <w:rFonts w:hint="eastAsia" w:ascii="宋体" w:hAnsi="宋体" w:cs="宋体"/>
          <w:b/>
          <w:kern w:val="0"/>
          <w:sz w:val="24"/>
        </w:rPr>
      </w:pPr>
    </w:p>
    <w:p w14:paraId="477DDED3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一、项目概况</w:t>
      </w:r>
    </w:p>
    <w:p w14:paraId="6E22CBAF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本项目为流动科普展品（涵盖科普大篷车随车展品及流动科技馆模块化展品）维修服务采购。中标供应商须确保修复后展品功能达到或优于原展示效果。</w:t>
      </w:r>
    </w:p>
    <w:p w14:paraId="412356C1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二、服务范围</w:t>
      </w:r>
    </w:p>
    <w:p w14:paraId="19469B74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对全部流动科普展品中已损坏的展项进行维修，维修内容涵盖但不限于：</w:t>
      </w:r>
    </w:p>
    <w:p w14:paraId="6928AB8C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1.机械传动部件的修复与更换</w:t>
      </w:r>
    </w:p>
    <w:p w14:paraId="71D11D50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2.电子元器件（电路板、传感器、继电器等）的检测与更换</w:t>
      </w:r>
    </w:p>
    <w:p w14:paraId="4586B2F9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3.互动操作装置（按键、手柄、触摸屏等）的修复与校准</w:t>
      </w:r>
    </w:p>
    <w:p w14:paraId="490BB376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4.电气线路的排查、修复与绝缘处理</w:t>
      </w:r>
    </w:p>
    <w:p w14:paraId="722BCA84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5.多媒体触控设备的屏幕更换与系统调试</w:t>
      </w:r>
    </w:p>
    <w:p w14:paraId="6147C81F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6.外观结构件的修复与表面处理</w:t>
      </w:r>
    </w:p>
    <w:p w14:paraId="015117A8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7.电源适配器及线缆故障排除</w:t>
      </w:r>
    </w:p>
    <w:p w14:paraId="513C860E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三、维修基本原则</w:t>
      </w:r>
    </w:p>
    <w:p w14:paraId="6ED04F87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1.功能恢复原则：修复后的展品须恢复全部原有互动功能和展示效果，达到或优于原展示效果。</w:t>
      </w:r>
    </w:p>
    <w:p w14:paraId="1E162456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安全优先原则：维修后的展品须符合展品安全要求，观众可触及部分无任何尖锐、锋利部位；涉及高压电、高温、高速运动部件的展品须设置安全隔离装置和警示标识；电路布线须规范，保证安全距离，选用阻燃电线电缆。</w:t>
      </w:r>
    </w:p>
    <w:p w14:paraId="0D38EE3D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3.可追溯原则：建立完整的维修档案，记录每件展品的故障现象、维修过程、更换部件、测试结果等信息。</w:t>
      </w:r>
    </w:p>
    <w:p w14:paraId="3A32E10F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四、维修工艺要求</w:t>
      </w:r>
    </w:p>
    <w:p w14:paraId="07D1A58A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1.机械维修：机械传动部件修复后须运行平稳、无异响、无卡滞；紧固件须按规定扭矩拧紧；润滑部位须加注符合要求的润滑剂。</w:t>
      </w:r>
    </w:p>
    <w:p w14:paraId="064CABC3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2.电气维修：电路板维修须采用专业焊接工艺；线缆连接须牢固可靠、绝缘良好；更换的电子元器件参数须与原器件一致或优于原规格。</w:t>
      </w:r>
    </w:p>
    <w:p w14:paraId="511A990C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3.外观修复：修复后的外观须平整、色泽协调，无明显修复痕迹；表面处理（喷漆、烤漆等）须与原展品一致。</w:t>
      </w:r>
    </w:p>
    <w:p w14:paraId="798A8341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4.软件调试：多媒体及软件控制类展品维修后须完成系统调试，确保软件功能完整、界面显示正常、交互响应灵敏。</w:t>
      </w:r>
    </w:p>
    <w:p w14:paraId="3664040A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五、质量保证期要求</w:t>
      </w:r>
    </w:p>
    <w:p w14:paraId="3BC35911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1.质保期限：本项目维修展品质保期不少于12个月，自验收合格之日起计算。</w:t>
      </w:r>
    </w:p>
    <w:p w14:paraId="70D653B9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2.质保范围：质保期内，因维修质量原因导致的同一故障，供应商须免费返修。</w:t>
      </w:r>
    </w:p>
    <w:p w14:paraId="19FC84CC"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 xml:space="preserve">3.质保响应：质保期内出现质量问题，供应商须在48小时内响应并安排维修人员处理。  </w:t>
      </w:r>
    </w:p>
    <w:p w14:paraId="10408AEE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1E1C736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E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2026-08-20T06:21:24Z</dcterms:created>
  <dc:creator>杨光</dc:creator>
  <cp:lastModifiedBy>快乐猫</cp:lastModifiedBy>
  <dcterms:modified xsi:type="dcterms:W3CDTF">2026-08-20T06:21:28Z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eyJoZGlkIjoiM2NmYTlkNmQyOWE5NjNjOWY3Y2ZiMGFkYTc1MDQ4YzciLCJ1c2VySWQiOiIxNTE3ODQyNzU3In0=</vt:lpwstr>
  </property>
  <property fmtid="{D5CDD505-2E9C-101B-9397-08002B2CF9AE}" pid="4" name="ICV">
    <vt:lpwstr>05E834FC9E204594911A12655AD6BAD1_12</vt:lpwstr>
  </property>
</Properties>
</file>