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版本号：NCXD2026-CS10420260714001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地质调查业务全生命周期流程优化与集成应用示范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NCXD2026-CS104</w:t>
      </w:r>
      <w:r>
        <w:br/>
      </w:r>
      <w:r>
        <w:br/>
      </w:r>
      <w:r>
        <w:br/>
      </w:r>
    </w:p>
    <w:p>
      <w:pPr>
        <w:pStyle w:val="null3"/>
        <w:jc w:val="center"/>
        <w:outlineLvl w:val="2"/>
      </w:pPr>
      <w:r>
        <w:rPr>
          <w:rFonts w:ascii="仿宋_GB2312" w:hAnsi="仿宋_GB2312" w:cs="仿宋_GB2312" w:eastAsia="仿宋_GB2312"/>
          <w:sz w:val="28"/>
          <w:b/>
        </w:rPr>
        <w:t>陕西省地质调查院机关</w:t>
      </w:r>
    </w:p>
    <w:p>
      <w:pPr>
        <w:pStyle w:val="null3"/>
        <w:jc w:val="center"/>
        <w:outlineLvl w:val="2"/>
      </w:pPr>
      <w:r>
        <w:rPr>
          <w:rFonts w:ascii="仿宋_GB2312" w:hAnsi="仿宋_GB2312" w:cs="仿宋_GB2312" w:eastAsia="仿宋_GB2312"/>
          <w:sz w:val="28"/>
          <w:b/>
        </w:rPr>
        <w:t>陕西诺诚鑫达招标代理有限公司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陕西诺诚鑫达招标代理有限公司</w:t>
      </w:r>
      <w:r>
        <w:rPr>
          <w:rFonts w:ascii="仿宋_GB2312" w:hAnsi="仿宋_GB2312" w:cs="仿宋_GB2312" w:eastAsia="仿宋_GB2312"/>
        </w:rPr>
        <w:t>（以下简称“代理机构”）受</w:t>
      </w:r>
      <w:r>
        <w:rPr>
          <w:rFonts w:ascii="仿宋_GB2312" w:hAnsi="仿宋_GB2312" w:cs="仿宋_GB2312" w:eastAsia="仿宋_GB2312"/>
        </w:rPr>
        <w:t>陕西省地质调查院机关</w:t>
      </w:r>
      <w:r>
        <w:rPr>
          <w:rFonts w:ascii="仿宋_GB2312" w:hAnsi="仿宋_GB2312" w:cs="仿宋_GB2312" w:eastAsia="仿宋_GB2312"/>
        </w:rPr>
        <w:t>委托，拟对</w:t>
      </w:r>
      <w:r>
        <w:rPr>
          <w:rFonts w:ascii="仿宋_GB2312" w:hAnsi="仿宋_GB2312" w:cs="仿宋_GB2312" w:eastAsia="仿宋_GB2312"/>
        </w:rPr>
        <w:t>地质调查业务全生命周期流程优化与集成应用示范</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NCXD2026-CS104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地质调查业务全生命周期流程优化与集成应用示范</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地质调查业务全生命周期流程优化与集成应用示范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报告：供应商是法人的，提供2024年或2025年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pPr>
        <w:pStyle w:val="null3"/>
      </w:pPr>
      <w:r>
        <w:rPr>
          <w:rFonts w:ascii="仿宋_GB2312" w:hAnsi="仿宋_GB2312" w:cs="仿宋_GB2312" w:eastAsia="仿宋_GB2312"/>
        </w:rPr>
        <w:t>2、税收缴纳证明：提供2025年6月1日以来任意一个月税收缴纳证明（至少包含增值税或企业所得税其中一种），依法免税的单位应提供相关证明材料；</w:t>
      </w:r>
    </w:p>
    <w:p>
      <w:pPr>
        <w:pStyle w:val="null3"/>
      </w:pPr>
      <w:r>
        <w:rPr>
          <w:rFonts w:ascii="仿宋_GB2312" w:hAnsi="仿宋_GB2312" w:cs="仿宋_GB2312" w:eastAsia="仿宋_GB2312"/>
        </w:rPr>
        <w:t>3、社会保障资金缴纳证明：提供2025年6月1日以来任意一个月的社会保障资金缴存单据或社保机构开具的社会保险参保缴费情况证明，依法不需要缴纳社会保障资金的单位应提供相关证明材料；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4、承诺函：具备履行合同所必需的设备和专业技术能力的证明材料；（书面声明）</w:t>
      </w:r>
    </w:p>
    <w:p>
      <w:pPr>
        <w:pStyle w:val="null3"/>
      </w:pPr>
      <w:r>
        <w:rPr>
          <w:rFonts w:ascii="仿宋_GB2312" w:hAnsi="仿宋_GB2312" w:cs="仿宋_GB2312" w:eastAsia="仿宋_GB2312"/>
        </w:rPr>
        <w:t>5、无重大违法记录：参加政府采购活动前3年内在经营活动中没有重大违法记录的书面声明；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法定代表人授权委托书：供应商代表应提供法定代表人（单位负责人）授权书（附法定代表人（单位负责人）及被授权人身份证复印件），（法定代表人（单位负责人）直接参加只须提供法定代表人（单位负责人）身份证明书及身份证复印件；</w:t>
      </w:r>
    </w:p>
    <w:p>
      <w:pPr>
        <w:pStyle w:val="null3"/>
      </w:pPr>
      <w:r>
        <w:rPr>
          <w:rFonts w:ascii="仿宋_GB2312" w:hAnsi="仿宋_GB2312" w:cs="仿宋_GB2312" w:eastAsia="仿宋_GB2312"/>
        </w:rPr>
        <w:t>8、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接受联合体磋商：本项目接受联合体磋商，组成联合体成员家数不得超过3个。①本项目接受联合体响应，若联合体响应时须明确牵头单位，联合体牵头单位代表联合体各方办理本项目采购活动过程中的一切事务，联合体各方应满足资格审查条件中规定的相应要求。牵头单位和其法定代表人或其委托代理人的印章或签字代表联合体各成员单位相应的印章或签字。联合体各方不得再以自己的名义单独或参加其他联合体在同一包投标，否则其投标和与此相关的联合体响应将被拒绝。②若联合体响应，提供联合体协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财务状况报告：供应商是法人的，提供2024年或2025年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pPr>
        <w:pStyle w:val="null3"/>
      </w:pPr>
      <w:r>
        <w:rPr>
          <w:rFonts w:ascii="仿宋_GB2312" w:hAnsi="仿宋_GB2312" w:cs="仿宋_GB2312" w:eastAsia="仿宋_GB2312"/>
        </w:rPr>
        <w:t>2、税收缴纳证明：提供2025年6月1日以来任意一个月税收缴纳证明（至少包含增值税或企业所得税其中一种），依法免税的单位应提供相关证明材料；</w:t>
      </w:r>
    </w:p>
    <w:p>
      <w:pPr>
        <w:pStyle w:val="null3"/>
      </w:pPr>
      <w:r>
        <w:rPr>
          <w:rFonts w:ascii="仿宋_GB2312" w:hAnsi="仿宋_GB2312" w:cs="仿宋_GB2312" w:eastAsia="仿宋_GB2312"/>
        </w:rPr>
        <w:t>3、社会保障资金缴纳证明：提供2025年6月1日以来任意一个月的社会保障资金缴存单据或社保机构开具的社会保险参保缴费情况证明，依法不需要缴纳社会保障资金的单位应提供相关证明材料；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4、承诺函：具备履行合同所必需的设备和专业技术能力的证明材料；（书面声明）</w:t>
      </w:r>
    </w:p>
    <w:p>
      <w:pPr>
        <w:pStyle w:val="null3"/>
      </w:pPr>
      <w:r>
        <w:rPr>
          <w:rFonts w:ascii="仿宋_GB2312" w:hAnsi="仿宋_GB2312" w:cs="仿宋_GB2312" w:eastAsia="仿宋_GB2312"/>
        </w:rPr>
        <w:t>5、无重大违法记录：参加政府采购活动前3年内在经营活动中没有重大违法记录的书面声明；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法定代表人授权委托书：供应商代表应提供法定代表人（单位负责人）授权书（附法定代表人（单位负责人）及被授权人身份证复印件），（法定代表人（单位负责人）直接参加只须提供法定代表人（单位负责人）身份证明书及身份证复印件；</w:t>
      </w:r>
    </w:p>
    <w:p>
      <w:pPr>
        <w:pStyle w:val="null3"/>
      </w:pPr>
      <w:r>
        <w:rPr>
          <w:rFonts w:ascii="仿宋_GB2312" w:hAnsi="仿宋_GB2312" w:cs="仿宋_GB2312" w:eastAsia="仿宋_GB2312"/>
        </w:rPr>
        <w:t>8、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提供书面声明（后附格式）；</w:t>
      </w:r>
    </w:p>
    <w:p>
      <w:pPr>
        <w:pStyle w:val="null3"/>
      </w:pPr>
      <w:r>
        <w:rPr>
          <w:rFonts w:ascii="仿宋_GB2312" w:hAnsi="仿宋_GB2312" w:cs="仿宋_GB2312" w:eastAsia="仿宋_GB2312"/>
        </w:rPr>
        <w:t>9、接受联合体磋商：本项目接受联合体磋商，组成联合体成员家数不得超过3个。①本项目接受联合体响应，若联合体响应时须明确牵头单位，联合体牵头单位代表联合体各方办理本项目采购活动过程中的一切事务，联合体各方应满足资格审查条件中规定的相应要求。牵头单位和其法定代表人或其委托代理人的印章或签字代表联合体各成员单位相应的印章或签字。联合体各方不得再以自己的名义单独或参加其他联合体在同一包投标，否则其投标和与此相关的联合体响应将被拒绝。②若联合体响应，提供联合体协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陕西省地质调查院机关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西安市新城区解放路280号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029-87226920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陕西诺诚鑫达招标代理有限公司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陕西省西安市莲湖区高新三路财富中心二期B座18层21811室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赵芸莉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029-68805822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采购包1：1,592,700.00元</w:t>
            </w:r>
          </w:p>
          <w:p>
            <w:pPr>
              <w:pStyle w:val="null3"/>
            </w:pPr>
            <w:r>
              <w:rPr>
                <w:rFonts w:ascii="仿宋_GB2312" w:hAnsi="仿宋_GB2312" w:cs="仿宋_GB2312" w:eastAsia="仿宋_GB2312"/>
              </w:rPr>
              <w:t>采购包2：857,300.00元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开户名称：陕西诺诚鑫达招标代理有限公司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银行账号：61050192570000001695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代理服务费收费标准：招标代理服务费的金额参照国家发展计划委员会计价格[2002]1980号文件、《关于招标代理服务收费有关问题的通知》（发改办价格[2003]857号）的标准收取。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陕西省地质调查院机关</w:t>
      </w:r>
      <w:r>
        <w:rPr>
          <w:rFonts w:ascii="仿宋_GB2312" w:hAnsi="仿宋_GB2312" w:cs="仿宋_GB2312" w:eastAsia="仿宋_GB2312"/>
        </w:rPr>
        <w:t>和</w:t>
      </w:r>
      <w:r>
        <w:rPr>
          <w:rFonts w:ascii="仿宋_GB2312" w:hAnsi="仿宋_GB2312" w:cs="仿宋_GB2312" w:eastAsia="仿宋_GB2312"/>
        </w:rPr>
        <w:t>陕西诺诚鑫达招标代理有限公司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陕西省地质调查院机关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陕西诺诚鑫达招标代理有限公司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陕西省地质调查院机关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陕西诺诚鑫达招标代理有限公司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以采购文件、响应文件、合同文本、国内相应的标准规范等为验收依据。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以采购文件、响应文件、合同文本、国内相应的标准规范等为验收依据。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联系人：赵芸莉</w:t>
      </w:r>
    </w:p>
    <w:p>
      <w:pPr>
        <w:pStyle w:val="null3"/>
      </w:pPr>
      <w:r>
        <w:rPr>
          <w:rFonts w:ascii="仿宋_GB2312" w:hAnsi="仿宋_GB2312" w:cs="仿宋_GB2312" w:eastAsia="仿宋_GB2312"/>
        </w:rPr>
        <w:t>联系电话：029-68805822</w:t>
      </w:r>
    </w:p>
    <w:p>
      <w:pPr>
        <w:pStyle w:val="null3"/>
      </w:pPr>
      <w:r>
        <w:rPr>
          <w:rFonts w:ascii="仿宋_GB2312" w:hAnsi="仿宋_GB2312" w:cs="仿宋_GB2312" w:eastAsia="仿宋_GB2312"/>
        </w:rPr>
        <w:t>地址：陕西省西安市莲湖区高新三路财富中心二期B座18层21811室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地质调查业务全生命周期流程优化与集成应用示范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1,592,700.00</w:t>
      </w:r>
    </w:p>
    <w:p>
      <w:pPr>
        <w:pStyle w:val="null3"/>
      </w:pPr>
      <w:r>
        <w:rPr>
          <w:rFonts w:ascii="仿宋_GB2312" w:hAnsi="仿宋_GB2312" w:cs="仿宋_GB2312" w:eastAsia="仿宋_GB2312"/>
        </w:rPr>
        <w:t>采购包最高限价（元）: 1,592,700.00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地质调查综合业务支撑与项目全周期管理及资料资源整理服务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1,592,700.00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857,300.00</w:t>
      </w:r>
    </w:p>
    <w:p>
      <w:pPr>
        <w:pStyle w:val="null3"/>
      </w:pPr>
      <w:r>
        <w:rPr>
          <w:rFonts w:ascii="仿宋_GB2312" w:hAnsi="仿宋_GB2312" w:cs="仿宋_GB2312" w:eastAsia="仿宋_GB2312"/>
        </w:rPr>
        <w:t>采购包最高限价（元）: 857,300.00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内部控制与经费支出全流程规范管理能力提升服务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857,300.00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标的名称：地质调查综合业务支撑与项目全周期管理及资料资源整理服务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18"/>
            </w:pPr>
            <w:r>
              <w:rPr>
                <w:rFonts w:ascii="仿宋_GB2312" w:hAnsi="仿宋_GB2312" w:cs="仿宋_GB2312" w:eastAsia="仿宋_GB2312"/>
              </w:rPr>
              <w:t>一、项目背景与现状</w:t>
            </w:r>
          </w:p>
          <w:p>
            <w:pPr>
              <w:pStyle w:val="null3"/>
              <w:ind w:firstLine="418"/>
            </w:pPr>
            <w:r>
              <w:rPr>
                <w:rFonts w:ascii="仿宋_GB2312" w:hAnsi="仿宋_GB2312" w:cs="仿宋_GB2312" w:eastAsia="仿宋_GB2312"/>
              </w:rPr>
              <w:t>随着地质调查工作数字化、智能化和协同化要求不断提高，在项目立项、任务组织、过程实施、资料采集、质量控制、成果汇交和应用服务等环节，仍不同程度存在流程衔接不紧、业务协同不足、数据分散管理和信息传递不畅等问题，业务流与数据流尚未实现全过程贯通，难以满足地质调查项目全过程精细化管理要求。为此，拟围绕地质调查业务全生命周期，优化业务流程、数据资源和协同管理机制，强化项目管理、安全管理、资料汇集和综合应用等环节的有效衔接，进一步提升项目实施效率、成果共享利用水平和全过程管理能力。</w:t>
            </w:r>
          </w:p>
          <w:p>
            <w:pPr>
              <w:pStyle w:val="null3"/>
              <w:ind w:firstLine="418"/>
            </w:pPr>
            <w:r>
              <w:rPr>
                <w:rFonts w:ascii="仿宋_GB2312" w:hAnsi="仿宋_GB2312" w:cs="仿宋_GB2312" w:eastAsia="仿宋_GB2312"/>
              </w:rPr>
              <w:t>二、建设总体目标</w:t>
            </w:r>
          </w:p>
          <w:p>
            <w:pPr>
              <w:pStyle w:val="null3"/>
              <w:ind w:firstLine="418"/>
            </w:pPr>
            <w:r>
              <w:rPr>
                <w:rFonts w:ascii="仿宋_GB2312" w:hAnsi="仿宋_GB2312" w:cs="仿宋_GB2312" w:eastAsia="仿宋_GB2312"/>
              </w:rPr>
              <w:t>通过优化地质调查业务生命周期管理流程，构建符合地质调查全过程业务协同要求的工作流模型，推动项目申报、任务审批、组织实施、过程监管、质量控制、成果汇交和应用服务等环节有效衔接，实现业务流与数据流深度融合。完善分级管理和业务协同机制，优化项目审批流程，简化在线申报内容及操作环节，提高项目数据的完整性、规范性和可利用性。结合地质调查项目及野外作业管理实际，梳理安全管理相关业务流程和信息要素，完善安全信息采集、报送、查询和提示机制，为项目安全管理提供支撑。</w:t>
            </w:r>
          </w:p>
          <w:p>
            <w:pPr>
              <w:pStyle w:val="null3"/>
              <w:ind w:firstLine="418"/>
            </w:pPr>
            <w:r>
              <w:rPr>
                <w:rFonts w:ascii="仿宋_GB2312" w:hAnsi="仿宋_GB2312" w:cs="仿宋_GB2312" w:eastAsia="仿宋_GB2312"/>
              </w:rPr>
              <w:t>三、服务范围</w:t>
            </w:r>
          </w:p>
          <w:p>
            <w:pPr>
              <w:pStyle w:val="null3"/>
              <w:ind w:firstLine="418"/>
            </w:pPr>
            <w:r>
              <w:rPr>
                <w:rFonts w:ascii="仿宋_GB2312" w:hAnsi="仿宋_GB2312" w:cs="仿宋_GB2312" w:eastAsia="仿宋_GB2312"/>
              </w:rPr>
              <w:t>1</w:t>
            </w:r>
            <w:r>
              <w:rPr>
                <w:rFonts w:ascii="仿宋_GB2312" w:hAnsi="仿宋_GB2312" w:cs="仿宋_GB2312" w:eastAsia="仿宋_GB2312"/>
              </w:rPr>
              <w:t>、围绕地质调查业务全生命周期管理需要，开展项目管理、安全管理等相关服务能力优化，支撑项目申报、任务组织、过程实施、资料汇集、成果管理、统计查询和日常业务协同等工作。</w:t>
            </w:r>
          </w:p>
          <w:p>
            <w:pPr>
              <w:pStyle w:val="null3"/>
              <w:ind w:firstLine="418"/>
            </w:pPr>
            <w:r>
              <w:rPr>
                <w:rFonts w:ascii="仿宋_GB2312" w:hAnsi="仿宋_GB2312" w:cs="仿宋_GB2312" w:eastAsia="仿宋_GB2312"/>
              </w:rPr>
              <w:t>2</w:t>
            </w:r>
            <w:r>
              <w:rPr>
                <w:rFonts w:ascii="仿宋_GB2312" w:hAnsi="仿宋_GB2312" w:cs="仿宋_GB2312" w:eastAsia="仿宋_GB2312"/>
              </w:rPr>
              <w:t>、结合地质调查项目管理实际，梳理项目立项申报、任务审批、组织实施、进度监管、质量控制、成果汇交和应用服务等业务流程，明确各环节管理要求、岗位职责和关键节点，优化业务衔接关系，形成符合地质调查项目管理需要的业务流程模型。</w:t>
            </w:r>
          </w:p>
          <w:p>
            <w:pPr>
              <w:pStyle w:val="null3"/>
              <w:ind w:firstLine="418"/>
            </w:pPr>
            <w:r>
              <w:rPr>
                <w:rFonts w:ascii="仿宋_GB2312" w:hAnsi="仿宋_GB2312" w:cs="仿宋_GB2312" w:eastAsia="仿宋_GB2312"/>
              </w:rPr>
              <w:t>3</w:t>
            </w:r>
            <w:r>
              <w:rPr>
                <w:rFonts w:ascii="仿宋_GB2312" w:hAnsi="仿宋_GB2312" w:cs="仿宋_GB2312" w:eastAsia="仿宋_GB2312"/>
              </w:rPr>
              <w:t>、完善分级管理和业务协同机制，支持全面掌握项目申报、实施进度、成果汇交及安全管理等情况，按照管理权限开展项目申报、过程管理、资料维护和业务协同，实现业务上下贯通、权限合理配置、数据协同共享和过程可追溯。</w:t>
            </w:r>
          </w:p>
          <w:p>
            <w:pPr>
              <w:pStyle w:val="null3"/>
              <w:ind w:firstLine="418"/>
            </w:pPr>
            <w:r>
              <w:rPr>
                <w:rFonts w:ascii="仿宋_GB2312" w:hAnsi="仿宋_GB2312" w:cs="仿宋_GB2312" w:eastAsia="仿宋_GB2312"/>
              </w:rPr>
              <w:t>4</w:t>
            </w:r>
            <w:r>
              <w:rPr>
                <w:rFonts w:ascii="仿宋_GB2312" w:hAnsi="仿宋_GB2312" w:cs="仿宋_GB2312" w:eastAsia="仿宋_GB2312"/>
              </w:rPr>
              <w:t>、结合地质调查项目和野外作业管理实际，梳理项目安全管理业务需求、安全信息要素及关键管理环节，完善安全信息采集、报送、查询、统计和台账管理流程，为地质调查项目安全管理提供辅助支撑。</w:t>
            </w:r>
          </w:p>
          <w:p>
            <w:pPr>
              <w:pStyle w:val="null3"/>
              <w:ind w:firstLine="418"/>
            </w:pPr>
            <w:r>
              <w:rPr>
                <w:rFonts w:ascii="仿宋_GB2312" w:hAnsi="仿宋_GB2312" w:cs="仿宋_GB2312" w:eastAsia="仿宋_GB2312"/>
              </w:rPr>
              <w:t>5</w:t>
            </w:r>
            <w:r>
              <w:rPr>
                <w:rFonts w:ascii="仿宋_GB2312" w:hAnsi="仿宋_GB2312" w:cs="仿宋_GB2312" w:eastAsia="仿宋_GB2312"/>
              </w:rPr>
              <w:t>、推动项目基本信息、承担单位、实施进度、成果资料、安全信息及相关业务数据关联应用，支持按照项目、区域、类型和实施阶段等维度进行综合查询、统计分析和展示，为项目管理和辅助决策提供支撑。</w:t>
            </w:r>
          </w:p>
          <w:p>
            <w:pPr>
              <w:pStyle w:val="null3"/>
              <w:ind w:firstLine="418"/>
            </w:pPr>
            <w:r>
              <w:rPr>
                <w:rFonts w:ascii="仿宋_GB2312" w:hAnsi="仿宋_GB2312" w:cs="仿宋_GB2312" w:eastAsia="仿宋_GB2312"/>
              </w:rPr>
              <w:t>6</w:t>
            </w:r>
            <w:r>
              <w:rPr>
                <w:rFonts w:ascii="仿宋_GB2312" w:hAnsi="仿宋_GB2312" w:cs="仿宋_GB2312" w:eastAsia="仿宋_GB2312"/>
              </w:rPr>
              <w:t>、完成部分地质调查项目管理数据治理，对相关项目数据进行汇集、整理、核查和规范化处理，提升数据的完整性、准确性和一致性。</w:t>
            </w:r>
          </w:p>
          <w:p>
            <w:pPr>
              <w:pStyle w:val="null3"/>
              <w:ind w:firstLine="418"/>
            </w:pPr>
            <w:r>
              <w:rPr>
                <w:rFonts w:ascii="仿宋_GB2312" w:hAnsi="仿宋_GB2312" w:cs="仿宋_GB2312" w:eastAsia="仿宋_GB2312"/>
              </w:rPr>
              <w:t>四、交付要求</w:t>
            </w:r>
          </w:p>
          <w:p>
            <w:pPr>
              <w:pStyle w:val="null3"/>
              <w:ind w:firstLine="418"/>
            </w:pPr>
            <w:r>
              <w:rPr>
                <w:rFonts w:ascii="仿宋_GB2312" w:hAnsi="仿宋_GB2312" w:cs="仿宋_GB2312" w:eastAsia="仿宋_GB2312"/>
              </w:rPr>
              <w:t>1</w:t>
            </w:r>
            <w:r>
              <w:rPr>
                <w:rFonts w:ascii="仿宋_GB2312" w:hAnsi="仿宋_GB2312" w:cs="仿宋_GB2312" w:eastAsia="仿宋_GB2312"/>
              </w:rPr>
              <w:t>、提供实施方案、用户手册、管理员手册。</w:t>
            </w:r>
          </w:p>
          <w:p>
            <w:pPr>
              <w:pStyle w:val="null3"/>
              <w:ind w:firstLine="418"/>
            </w:pPr>
            <w:r>
              <w:rPr>
                <w:rFonts w:ascii="仿宋_GB2312" w:hAnsi="仿宋_GB2312" w:cs="仿宋_GB2312" w:eastAsia="仿宋_GB2312"/>
              </w:rPr>
              <w:t>2</w:t>
            </w:r>
            <w:r>
              <w:rPr>
                <w:rFonts w:ascii="仿宋_GB2312" w:hAnsi="仿宋_GB2312" w:cs="仿宋_GB2312" w:eastAsia="仿宋_GB2312"/>
              </w:rPr>
              <w:t xml:space="preserve">、组织不少于 </w:t>
            </w:r>
            <w:r>
              <w:rPr>
                <w:rFonts w:ascii="仿宋_GB2312" w:hAnsi="仿宋_GB2312" w:cs="仿宋_GB2312" w:eastAsia="仿宋_GB2312"/>
              </w:rPr>
              <w:t xml:space="preserve">1 </w:t>
            </w:r>
            <w:r>
              <w:rPr>
                <w:rFonts w:ascii="仿宋_GB2312" w:hAnsi="仿宋_GB2312" w:cs="仿宋_GB2312" w:eastAsia="仿宋_GB2312"/>
              </w:rPr>
              <w:t>次业务培训。</w:t>
            </w:r>
          </w:p>
          <w:p>
            <w:pPr>
              <w:pStyle w:val="null3"/>
              <w:ind w:firstLine="418"/>
            </w:pPr>
            <w:r>
              <w:rPr>
                <w:rFonts w:ascii="仿宋_GB2312" w:hAnsi="仿宋_GB2312" w:cs="仿宋_GB2312" w:eastAsia="仿宋_GB2312"/>
              </w:rPr>
              <w:t>3</w:t>
            </w:r>
            <w:r>
              <w:rPr>
                <w:rFonts w:ascii="仿宋_GB2312" w:hAnsi="仿宋_GB2312" w:cs="仿宋_GB2312" w:eastAsia="仿宋_GB2312"/>
              </w:rPr>
              <w:t>、经单位组织验收通过后方可交付。</w:t>
            </w:r>
          </w:p>
          <w:p>
            <w:pPr>
              <w:pStyle w:val="null3"/>
              <w:ind w:firstLine="418"/>
            </w:pPr>
            <w:r>
              <w:rPr>
                <w:rFonts w:ascii="仿宋_GB2312" w:hAnsi="仿宋_GB2312" w:cs="仿宋_GB2312" w:eastAsia="仿宋_GB2312"/>
              </w:rPr>
              <w:t>4</w:t>
            </w:r>
            <w:r>
              <w:rPr>
                <w:rFonts w:ascii="仿宋_GB2312" w:hAnsi="仿宋_GB2312" w:cs="仿宋_GB2312" w:eastAsia="仿宋_GB2312"/>
              </w:rPr>
              <w:t>、供应商需承诺，在单位后续优化业务流程、调整管理规则或开展扩展应用时，需提供技术移交支持，必须保证单位对业务流程模型、管理规则、数据资源和业务逻辑具有完全控制权。</w:t>
            </w:r>
          </w:p>
          <w:p>
            <w:pPr>
              <w:pStyle w:val="null3"/>
              <w:ind w:firstLine="418"/>
            </w:pPr>
            <w:r>
              <w:rPr>
                <w:rFonts w:ascii="仿宋_GB2312" w:hAnsi="仿宋_GB2312" w:cs="仿宋_GB2312" w:eastAsia="仿宋_GB2312"/>
              </w:rPr>
              <w:t>5</w:t>
            </w:r>
            <w:r>
              <w:rPr>
                <w:rFonts w:ascii="仿宋_GB2312" w:hAnsi="仿宋_GB2312" w:cs="仿宋_GB2312" w:eastAsia="仿宋_GB2312"/>
              </w:rPr>
              <w:t>、服务形成的全部报告、资料、数据及相关成果所有权归本单位，供应商不得留存。在实施过程中，供应商应对本单位所有涉及资料和数据进行保密，不得在网络中传播，或者用于业务推广宣传。</w:t>
            </w:r>
          </w:p>
          <w:p>
            <w:pPr>
              <w:pStyle w:val="null3"/>
              <w:ind w:firstLine="418"/>
            </w:pPr>
            <w:r>
              <w:rPr>
                <w:rFonts w:ascii="仿宋_GB2312" w:hAnsi="仿宋_GB2312" w:cs="仿宋_GB2312" w:eastAsia="仿宋_GB2312"/>
              </w:rPr>
              <w:t>五、服务要求</w:t>
            </w:r>
          </w:p>
          <w:p>
            <w:pPr>
              <w:pStyle w:val="null3"/>
              <w:ind w:firstLine="418"/>
            </w:pPr>
            <w:r>
              <w:rPr>
                <w:rFonts w:ascii="仿宋_GB2312" w:hAnsi="仿宋_GB2312" w:cs="仿宋_GB2312" w:eastAsia="仿宋_GB2312"/>
              </w:rPr>
              <w:t>1.服务人员及服务地点：服务期内驻场人数不少于</w:t>
            </w:r>
            <w:r>
              <w:rPr>
                <w:rFonts w:ascii="仿宋_GB2312" w:hAnsi="仿宋_GB2312" w:cs="仿宋_GB2312" w:eastAsia="仿宋_GB2312"/>
              </w:rPr>
              <w:t>2</w:t>
            </w:r>
            <w:r>
              <w:rPr>
                <w:rFonts w:ascii="仿宋_GB2312" w:hAnsi="仿宋_GB2312" w:cs="仿宋_GB2312" w:eastAsia="仿宋_GB2312"/>
              </w:rPr>
              <w:t>人，采购人指定地点。</w:t>
            </w:r>
          </w:p>
          <w:p>
            <w:pPr>
              <w:pStyle w:val="null3"/>
              <w:ind w:firstLine="418"/>
            </w:pPr>
            <w:r>
              <w:rPr>
                <w:rFonts w:ascii="仿宋_GB2312" w:hAnsi="仿宋_GB2312" w:cs="仿宋_GB2312" w:eastAsia="仿宋_GB2312"/>
              </w:rPr>
              <w:t>2.供应商须建立完善的服务质量管理体系，对服务过程和结果进行监控和评估。</w:t>
            </w:r>
          </w:p>
          <w:p>
            <w:pPr>
              <w:pStyle w:val="null3"/>
              <w:ind w:firstLine="418"/>
            </w:pPr>
            <w:r>
              <w:rPr>
                <w:rFonts w:ascii="仿宋_GB2312" w:hAnsi="仿宋_GB2312" w:cs="仿宋_GB2312" w:eastAsia="仿宋_GB2312"/>
              </w:rPr>
              <w:t>六、服务期限</w:t>
            </w:r>
          </w:p>
          <w:p>
            <w:pPr>
              <w:pStyle w:val="null3"/>
            </w:pPr>
            <w:r>
              <w:rPr>
                <w:rFonts w:ascii="仿宋_GB2312" w:hAnsi="仿宋_GB2312" w:cs="仿宋_GB2312" w:eastAsia="仿宋_GB2312"/>
                <w:sz w:val="21"/>
              </w:rPr>
              <w:t>合同签订之日起至</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日止。</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标的名称：内部控制与经费支出全流程规范管理能力提升服务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项目背景与现状</w:t>
            </w:r>
          </w:p>
          <w:p>
            <w:pPr>
              <w:pStyle w:val="null3"/>
              <w:ind w:firstLine="350"/>
              <w:jc w:val="both"/>
            </w:pPr>
            <w:r>
              <w:rPr>
                <w:rFonts w:ascii="仿宋_GB2312" w:hAnsi="仿宋_GB2312" w:cs="仿宋_GB2312" w:eastAsia="仿宋_GB2312"/>
                <w:sz w:val="20"/>
                <w:shd w:fill="FFFFFF" w:val="clear"/>
              </w:rPr>
              <w:t>随着财政预算管理改革不断深化、地质调查项目管理要求持续提升，原有依赖纸质单据流转和</w:t>
            </w:r>
            <w:r>
              <w:rPr>
                <w:rFonts w:ascii="仿宋_GB2312" w:hAnsi="仿宋_GB2312" w:cs="仿宋_GB2312" w:eastAsia="仿宋_GB2312"/>
                <w:sz w:val="20"/>
                <w:shd w:fill="FFFFFF" w:val="clear"/>
              </w:rPr>
              <w:t>Excel手工上报的报销审批、预算控制及二级单位监管模式，已难以满足合规性、及时性和绩效管理要求。为此，拟在现有财政预算一体化系统基础上，优化覆盖院机关及8个二级单位的内控管理流程，实现</w:t>
            </w:r>
            <w:r>
              <w:rPr>
                <w:rFonts w:ascii="仿宋_GB2312" w:hAnsi="仿宋_GB2312" w:cs="仿宋_GB2312" w:eastAsia="仿宋_GB2312"/>
                <w:sz w:val="20"/>
                <w:shd w:fill="FFFFFF" w:val="clear"/>
              </w:rPr>
              <w:t>全流程</w:t>
            </w:r>
            <w:r>
              <w:rPr>
                <w:rFonts w:ascii="仿宋_GB2312" w:hAnsi="仿宋_GB2312" w:cs="仿宋_GB2312" w:eastAsia="仿宋_GB2312"/>
                <w:sz w:val="20"/>
                <w:shd w:fill="FFFFFF" w:val="clear"/>
              </w:rPr>
              <w:t>报销、预算全程控制、支出标准自动校验及下属单位实时监管等功能，进一步提升内部</w:t>
            </w:r>
            <w:r>
              <w:rPr>
                <w:rFonts w:ascii="仿宋_GB2312" w:hAnsi="仿宋_GB2312" w:cs="仿宋_GB2312" w:eastAsia="仿宋_GB2312"/>
                <w:sz w:val="20"/>
                <w:shd w:fill="FFFFFF" w:val="clear"/>
              </w:rPr>
              <w:t>控制</w:t>
            </w:r>
            <w:r>
              <w:rPr>
                <w:rFonts w:ascii="仿宋_GB2312" w:hAnsi="仿宋_GB2312" w:cs="仿宋_GB2312" w:eastAsia="仿宋_GB2312"/>
                <w:sz w:val="20"/>
                <w:shd w:fill="FFFFFF" w:val="clear"/>
              </w:rPr>
              <w:t>管理水平，持续增强资金风险防范能力。</w:t>
            </w:r>
          </w:p>
          <w:p>
            <w:pPr>
              <w:pStyle w:val="null3"/>
              <w:ind w:firstLine="350"/>
              <w:jc w:val="both"/>
            </w:pPr>
            <w:r>
              <w:rPr>
                <w:rFonts w:ascii="仿宋_GB2312" w:hAnsi="仿宋_GB2312" w:cs="仿宋_GB2312" w:eastAsia="仿宋_GB2312"/>
                <w:sz w:val="20"/>
                <w:shd w:fill="FFFFFF" w:val="clear"/>
              </w:rPr>
              <w:t>二、建设</w:t>
            </w:r>
            <w:r>
              <w:rPr>
                <w:rFonts w:ascii="仿宋_GB2312" w:hAnsi="仿宋_GB2312" w:cs="仿宋_GB2312" w:eastAsia="仿宋_GB2312"/>
                <w:sz w:val="20"/>
                <w:shd w:fill="FFFFFF" w:val="clear"/>
              </w:rPr>
              <w:t>总体目标</w:t>
            </w:r>
          </w:p>
          <w:p>
            <w:pPr>
              <w:pStyle w:val="null3"/>
              <w:ind w:firstLine="350"/>
              <w:jc w:val="both"/>
            </w:pPr>
            <w:r>
              <w:rPr>
                <w:rFonts w:ascii="仿宋_GB2312" w:hAnsi="仿宋_GB2312" w:cs="仿宋_GB2312" w:eastAsia="仿宋_GB2312"/>
                <w:sz w:val="20"/>
                <w:shd w:fill="FFFFFF" w:val="clear"/>
              </w:rPr>
              <w:t>通过优化内控管理流程，实现全员</w:t>
            </w:r>
            <w:r>
              <w:rPr>
                <w:rFonts w:ascii="仿宋_GB2312" w:hAnsi="仿宋_GB2312" w:cs="仿宋_GB2312" w:eastAsia="仿宋_GB2312"/>
                <w:sz w:val="20"/>
                <w:shd w:fill="FFFFFF" w:val="clear"/>
              </w:rPr>
              <w:t>实时</w:t>
            </w:r>
            <w:r>
              <w:rPr>
                <w:rFonts w:ascii="仿宋_GB2312" w:hAnsi="仿宋_GB2312" w:cs="仿宋_GB2312" w:eastAsia="仿宋_GB2312"/>
                <w:sz w:val="20"/>
                <w:shd w:fill="FFFFFF" w:val="clear"/>
              </w:rPr>
              <w:t>报销，支持移动端与</w:t>
            </w:r>
            <w:r>
              <w:rPr>
                <w:rFonts w:ascii="仿宋_GB2312" w:hAnsi="仿宋_GB2312" w:cs="仿宋_GB2312" w:eastAsia="仿宋_GB2312"/>
                <w:sz w:val="20"/>
                <w:shd w:fill="FFFFFF" w:val="clear"/>
              </w:rPr>
              <w:t>PC端</w:t>
            </w:r>
            <w:r>
              <w:rPr>
                <w:rFonts w:ascii="仿宋_GB2312" w:hAnsi="仿宋_GB2312" w:cs="仿宋_GB2312" w:eastAsia="仿宋_GB2312"/>
                <w:sz w:val="20"/>
                <w:shd w:fill="FFFFFF" w:val="clear"/>
              </w:rPr>
              <w:t>多</w:t>
            </w:r>
            <w:r>
              <w:rPr>
                <w:rFonts w:ascii="仿宋_GB2312" w:hAnsi="仿宋_GB2312" w:cs="仿宋_GB2312" w:eastAsia="仿宋_GB2312"/>
                <w:sz w:val="20"/>
                <w:shd w:fill="FFFFFF" w:val="clear"/>
              </w:rPr>
              <w:t>渠道发起；强化预算全流程管理，覆盖预算批复、分解、执行、调剂及预警各环节。将差旅费、会议费、培训费等内部支出标准固化至流程中，实现审批环节自动校验；建立预算执行进度实时监控机制，对超预算情况自动预警与冻结。支持按管理需要灵活生成自定义统计报表；报销凭证及相关附件实现</w:t>
            </w:r>
            <w:r>
              <w:rPr>
                <w:rFonts w:ascii="仿宋_GB2312" w:hAnsi="仿宋_GB2312" w:cs="仿宋_GB2312" w:eastAsia="仿宋_GB2312"/>
                <w:sz w:val="20"/>
                <w:shd w:fill="FFFFFF" w:val="clear"/>
              </w:rPr>
              <w:t>自动</w:t>
            </w:r>
            <w:r>
              <w:rPr>
                <w:rFonts w:ascii="仿宋_GB2312" w:hAnsi="仿宋_GB2312" w:cs="仿宋_GB2312" w:eastAsia="仿宋_GB2312"/>
                <w:sz w:val="20"/>
                <w:shd w:fill="FFFFFF" w:val="clear"/>
              </w:rPr>
              <w:t>归档，可检索、可调阅。同时，强化对下属</w:t>
            </w:r>
            <w:r>
              <w:rPr>
                <w:rFonts w:ascii="仿宋_GB2312" w:hAnsi="仿宋_GB2312" w:cs="仿宋_GB2312" w:eastAsia="仿宋_GB2312"/>
                <w:sz w:val="20"/>
                <w:shd w:fill="FFFFFF" w:val="clear"/>
              </w:rPr>
              <w:t>8个二级单位经费支出的穿透式监管能力，一级预算单位可实时查看、统计、分析各下属单位的预算执行与报销情况，并支持数据穿透查询。通过上述优化，显著提升了资金使用的合规性、及时性和透明度，有效增强预算绩效管理和风险防范能力。</w:t>
            </w:r>
          </w:p>
          <w:p>
            <w:pPr>
              <w:pStyle w:val="null3"/>
              <w:ind w:firstLine="350"/>
              <w:jc w:val="both"/>
            </w:pPr>
            <w:r>
              <w:rPr>
                <w:rFonts w:ascii="仿宋_GB2312" w:hAnsi="仿宋_GB2312" w:cs="仿宋_GB2312" w:eastAsia="仿宋_GB2312"/>
                <w:sz w:val="20"/>
                <w:shd w:fill="FFFFFF" w:val="clear"/>
              </w:rPr>
              <w:t>三</w:t>
            </w:r>
            <w:r>
              <w:rPr>
                <w:rFonts w:ascii="仿宋_GB2312" w:hAnsi="仿宋_GB2312" w:cs="仿宋_GB2312" w:eastAsia="仿宋_GB2312"/>
                <w:sz w:val="20"/>
                <w:shd w:fill="FFFFFF" w:val="clear"/>
              </w:rPr>
              <w:t>、服务范围</w:t>
            </w:r>
          </w:p>
          <w:p>
            <w:pPr>
              <w:pStyle w:val="null3"/>
              <w:ind w:firstLine="350"/>
              <w:jc w:val="both"/>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根据单位内部控制制度建设情况，建立</w:t>
            </w:r>
            <w:r>
              <w:rPr>
                <w:rFonts w:ascii="仿宋_GB2312" w:hAnsi="仿宋_GB2312" w:cs="仿宋_GB2312" w:eastAsia="仿宋_GB2312"/>
                <w:sz w:val="20"/>
                <w:shd w:fill="FFFFFF" w:val="clear"/>
              </w:rPr>
              <w:t>覆盖各类常规费用报销，配套附件智能校验、单据信息自动填充、发票识别验真查重，实现智能稽核。支持灵活配置多级审批流程，兼顾多终端操作，大幅提升报销与审批效率。</w:t>
            </w:r>
          </w:p>
          <w:p>
            <w:pPr>
              <w:pStyle w:val="null3"/>
              <w:ind w:firstLine="350"/>
              <w:jc w:val="both"/>
            </w:pPr>
            <w:r>
              <w:rPr>
                <w:rFonts w:ascii="仿宋_GB2312" w:hAnsi="仿宋_GB2312" w:cs="仿宋_GB2312" w:eastAsia="仿宋_GB2312"/>
                <w:sz w:val="20"/>
                <w:shd w:fill="FFFFFF" w:val="clear"/>
              </w:rPr>
              <w:t>2.多维度同步预算数据，报销环节实时校验预算，分级预警并差异化管控。支持线上办理预算调剂、自动更新指标并留存台账，搭配可视化看板，全面掌握预算执行情况。</w:t>
            </w:r>
          </w:p>
          <w:p>
            <w:pPr>
              <w:pStyle w:val="null3"/>
              <w:ind w:firstLine="350"/>
              <w:jc w:val="both"/>
            </w:pPr>
            <w:r>
              <w:rPr>
                <w:rFonts w:ascii="仿宋_GB2312" w:hAnsi="仿宋_GB2312" w:cs="仿宋_GB2312" w:eastAsia="仿宋_GB2312"/>
                <w:sz w:val="20"/>
                <w:shd w:fill="FFFFFF" w:val="clear"/>
              </w:rPr>
              <w:t>3.统一搭建支出标准体系，报销时系统自动按规则核定费用上限，超标进行管控，同时支持标准版本迭代更新，实现费用标准刚性落地。动态展示整体执行数据与各类异常信息，全程追溯资金使用流程，自动识别违规报销行为，强化过程风险管控。</w:t>
            </w:r>
          </w:p>
          <w:p>
            <w:pPr>
              <w:pStyle w:val="null3"/>
              <w:ind w:firstLine="350"/>
              <w:jc w:val="both"/>
            </w:pPr>
            <w:r>
              <w:rPr>
                <w:rFonts w:ascii="仿宋_GB2312" w:hAnsi="仿宋_GB2312" w:cs="仿宋_GB2312" w:eastAsia="仿宋_GB2312"/>
                <w:sz w:val="20"/>
                <w:shd w:fill="FFFFFF" w:val="clear"/>
              </w:rPr>
              <w:t>4.支持灵活制作各类统计报表，多格式导出、自动生成分析报告，并可定时推送报表，满足多样化数据查询与汇报需求。报销全流程资料自动归档，支持便捷检索查阅，档案符合规范、安全防篡改，可满足上级电子档案管理需求。</w:t>
            </w:r>
          </w:p>
          <w:p>
            <w:pPr>
              <w:pStyle w:val="null3"/>
              <w:ind w:firstLine="350"/>
              <w:jc w:val="both"/>
            </w:pPr>
            <w:r>
              <w:rPr>
                <w:rFonts w:ascii="仿宋_GB2312" w:hAnsi="仿宋_GB2312" w:cs="仿宋_GB2312" w:eastAsia="仿宋_GB2312"/>
                <w:sz w:val="20"/>
                <w:shd w:fill="FFFFFF" w:val="clear"/>
              </w:rPr>
              <w:t>5.搭建分级管理架构，上级单位可全域监管、下级单位权限隔离。实现数据实时同步、逐层溯源查询，统一管控费用标准与预算调剂，自动生成汇总分析报表，全程留痕可追溯。</w:t>
            </w:r>
          </w:p>
          <w:p>
            <w:pPr>
              <w:pStyle w:val="null3"/>
              <w:ind w:firstLine="350"/>
              <w:jc w:val="both"/>
            </w:pPr>
            <w:r>
              <w:rPr>
                <w:rFonts w:ascii="仿宋_GB2312" w:hAnsi="仿宋_GB2312" w:cs="仿宋_GB2312" w:eastAsia="仿宋_GB2312"/>
                <w:sz w:val="20"/>
                <w:shd w:fill="FFFFFF" w:val="clear"/>
              </w:rPr>
              <w:t>四、</w:t>
            </w:r>
            <w:r>
              <w:rPr>
                <w:rFonts w:ascii="仿宋_GB2312" w:hAnsi="仿宋_GB2312" w:cs="仿宋_GB2312" w:eastAsia="仿宋_GB2312"/>
                <w:sz w:val="20"/>
                <w:shd w:fill="FFFFFF" w:val="clear"/>
              </w:rPr>
              <w:t>交付要求</w:t>
            </w:r>
          </w:p>
          <w:p>
            <w:pPr>
              <w:pStyle w:val="null3"/>
              <w:ind w:firstLine="350"/>
              <w:jc w:val="both"/>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提供实施方案、用户手册、管理员手册。</w:t>
            </w:r>
          </w:p>
          <w:p>
            <w:pPr>
              <w:pStyle w:val="null3"/>
              <w:ind w:firstLine="350"/>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组织不少于</w:t>
            </w:r>
            <w:r>
              <w:rPr>
                <w:rFonts w:ascii="仿宋_GB2312" w:hAnsi="仿宋_GB2312" w:cs="仿宋_GB2312" w:eastAsia="仿宋_GB2312"/>
                <w:sz w:val="20"/>
                <w:shd w:fill="FFFFFF" w:val="clear"/>
              </w:rPr>
              <w:t>3次现场培训。</w:t>
            </w:r>
          </w:p>
          <w:p>
            <w:pPr>
              <w:pStyle w:val="null3"/>
              <w:ind w:firstLine="350"/>
              <w:jc w:val="both"/>
            </w:pPr>
            <w:r>
              <w:rPr>
                <w:rFonts w:ascii="仿宋_GB2312" w:hAnsi="仿宋_GB2312" w:cs="仿宋_GB2312" w:eastAsia="仿宋_GB2312"/>
                <w:sz w:val="20"/>
                <w:shd w:fill="FFFFFF" w:val="clear"/>
              </w:rPr>
              <w:t>3、经单位组织验收通过后方可交付。</w:t>
            </w:r>
          </w:p>
          <w:p>
            <w:pPr>
              <w:pStyle w:val="null3"/>
              <w:ind w:firstLine="350"/>
              <w:jc w:val="both"/>
            </w:pPr>
            <w:r>
              <w:rPr>
                <w:rFonts w:ascii="仿宋_GB2312" w:hAnsi="仿宋_GB2312" w:cs="仿宋_GB2312" w:eastAsia="仿宋_GB2312"/>
                <w:sz w:val="20"/>
                <w:shd w:fill="FFFFFF" w:val="clear"/>
              </w:rPr>
              <w:t>4、</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需</w:t>
            </w:r>
            <w:r>
              <w:rPr>
                <w:rFonts w:ascii="仿宋_GB2312" w:hAnsi="仿宋_GB2312" w:cs="仿宋_GB2312" w:eastAsia="仿宋_GB2312"/>
                <w:sz w:val="20"/>
                <w:shd w:fill="FFFFFF" w:val="clear"/>
              </w:rPr>
              <w:t>承诺，在单位后续</w:t>
            </w:r>
            <w:r>
              <w:rPr>
                <w:rFonts w:ascii="仿宋_GB2312" w:hAnsi="仿宋_GB2312" w:cs="仿宋_GB2312" w:eastAsia="仿宋_GB2312"/>
                <w:sz w:val="20"/>
                <w:shd w:fill="FFFFFF" w:val="clear"/>
              </w:rPr>
              <w:t>优化管理流程时</w:t>
            </w:r>
            <w:r>
              <w:rPr>
                <w:rFonts w:ascii="仿宋_GB2312" w:hAnsi="仿宋_GB2312" w:cs="仿宋_GB2312" w:eastAsia="仿宋_GB2312"/>
                <w:sz w:val="20"/>
                <w:shd w:fill="FFFFFF" w:val="clear"/>
              </w:rPr>
              <w:t>，需提供技术移交支持，必须保证单位对</w:t>
            </w:r>
            <w:r>
              <w:rPr>
                <w:rFonts w:ascii="仿宋_GB2312" w:hAnsi="仿宋_GB2312" w:cs="仿宋_GB2312" w:eastAsia="仿宋_GB2312"/>
                <w:sz w:val="20"/>
                <w:shd w:fill="FFFFFF" w:val="clear"/>
              </w:rPr>
              <w:t>流程管理</w:t>
            </w:r>
            <w:r>
              <w:rPr>
                <w:rFonts w:ascii="仿宋_GB2312" w:hAnsi="仿宋_GB2312" w:cs="仿宋_GB2312" w:eastAsia="仿宋_GB2312"/>
                <w:sz w:val="20"/>
                <w:shd w:fill="FFFFFF" w:val="clear"/>
              </w:rPr>
              <w:t>模型和业务逻辑有完全控制权。</w:t>
            </w:r>
          </w:p>
          <w:p>
            <w:pPr>
              <w:pStyle w:val="null3"/>
              <w:ind w:firstLine="350"/>
              <w:jc w:val="both"/>
            </w:pPr>
            <w:r>
              <w:rPr>
                <w:rFonts w:ascii="仿宋_GB2312" w:hAnsi="仿宋_GB2312" w:cs="仿宋_GB2312" w:eastAsia="仿宋_GB2312"/>
                <w:sz w:val="20"/>
                <w:shd w:fill="FFFFFF" w:val="clear"/>
              </w:rPr>
              <w:t>5、服务形成所有资料数据所有权归本单位，供应商不得留存，在实施过程中供应商应对本单位所有涉及资料进行保密，不得在网络中传播，或者用于业务推广宣传。</w:t>
            </w:r>
          </w:p>
          <w:p>
            <w:pPr>
              <w:pStyle w:val="null3"/>
              <w:ind w:firstLine="350"/>
              <w:jc w:val="both"/>
            </w:pPr>
            <w:r>
              <w:rPr>
                <w:rFonts w:ascii="仿宋_GB2312" w:hAnsi="仿宋_GB2312" w:cs="仿宋_GB2312" w:eastAsia="仿宋_GB2312"/>
                <w:sz w:val="20"/>
                <w:shd w:fill="FFFFFF" w:val="clear"/>
              </w:rPr>
              <w:t>五、</w:t>
            </w:r>
            <w:r>
              <w:rPr>
                <w:rFonts w:ascii="仿宋_GB2312" w:hAnsi="仿宋_GB2312" w:cs="仿宋_GB2312" w:eastAsia="仿宋_GB2312"/>
                <w:sz w:val="20"/>
                <w:shd w:fill="FFFFFF" w:val="clear"/>
              </w:rPr>
              <w:t>服务要求</w:t>
            </w:r>
          </w:p>
          <w:p>
            <w:pPr>
              <w:pStyle w:val="null3"/>
              <w:ind w:firstLine="350"/>
              <w:jc w:val="both"/>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服务人员及服务地点：服务期内驻场人数不少于</w:t>
            </w:r>
            <w:r>
              <w:rPr>
                <w:rFonts w:ascii="仿宋_GB2312" w:hAnsi="仿宋_GB2312" w:cs="仿宋_GB2312" w:eastAsia="仿宋_GB2312"/>
                <w:sz w:val="20"/>
                <w:shd w:fill="FFFFFF" w:val="clear"/>
              </w:rPr>
              <w:t>2人，采购人指定地点。</w:t>
            </w:r>
          </w:p>
          <w:p>
            <w:pPr>
              <w:pStyle w:val="null3"/>
              <w:ind w:firstLine="350"/>
              <w:jc w:val="both"/>
            </w:pPr>
            <w:r>
              <w:rPr>
                <w:rFonts w:ascii="仿宋_GB2312" w:hAnsi="仿宋_GB2312" w:cs="仿宋_GB2312" w:eastAsia="仿宋_GB2312"/>
                <w:sz w:val="20"/>
                <w:shd w:fill="FFFFFF" w:val="clear"/>
              </w:rPr>
              <w:t>2、供应商</w:t>
            </w:r>
            <w:r>
              <w:rPr>
                <w:rFonts w:ascii="仿宋_GB2312" w:hAnsi="仿宋_GB2312" w:cs="仿宋_GB2312" w:eastAsia="仿宋_GB2312"/>
                <w:sz w:val="20"/>
                <w:shd w:fill="FFFFFF" w:val="clear"/>
              </w:rPr>
              <w:t>须建立完善的服务质量管理体系，对服务过程和结果进行监控和评估。</w:t>
            </w:r>
          </w:p>
          <w:p>
            <w:pPr>
              <w:pStyle w:val="null3"/>
              <w:ind w:firstLine="350"/>
              <w:jc w:val="both"/>
            </w:pPr>
            <w:r>
              <w:rPr>
                <w:rFonts w:ascii="仿宋_GB2312" w:hAnsi="仿宋_GB2312" w:cs="仿宋_GB2312" w:eastAsia="仿宋_GB2312"/>
                <w:sz w:val="20"/>
                <w:shd w:fill="FFFFFF" w:val="clear"/>
              </w:rPr>
              <w:t>六</w:t>
            </w:r>
            <w:r>
              <w:rPr>
                <w:rFonts w:ascii="仿宋_GB2312" w:hAnsi="仿宋_GB2312" w:cs="仿宋_GB2312" w:eastAsia="仿宋_GB2312"/>
                <w:sz w:val="20"/>
                <w:shd w:fill="FFFFFF" w:val="clear"/>
              </w:rPr>
              <w:t>、服务期限</w:t>
            </w:r>
          </w:p>
          <w:p>
            <w:pPr>
              <w:pStyle w:val="null3"/>
            </w:pPr>
            <w:r>
              <w:rPr>
                <w:rFonts w:ascii="仿宋_GB2312" w:hAnsi="仿宋_GB2312" w:cs="仿宋_GB2312" w:eastAsia="仿宋_GB2312"/>
                <w:sz w:val="20"/>
                <w:shd w:fill="FFFFFF" w:val="clear"/>
              </w:rPr>
              <w:t>合同签订之日起至</w:t>
            </w:r>
            <w:r>
              <w:rPr>
                <w:rFonts w:ascii="仿宋_GB2312" w:hAnsi="仿宋_GB2312" w:cs="仿宋_GB2312" w:eastAsia="仿宋_GB2312"/>
                <w:sz w:val="20"/>
                <w:shd w:fill="FFFFFF" w:val="clear"/>
              </w:rPr>
              <w:t>2026年12月31日止</w:t>
            </w:r>
            <w:r>
              <w:rPr>
                <w:rFonts w:ascii="仿宋_GB2312" w:hAnsi="仿宋_GB2312" w:cs="仿宋_GB2312" w:eastAsia="仿宋_GB2312"/>
                <w:sz w:val="20"/>
                <w:shd w:fill="FFFFFF" w:val="clear"/>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 成交供应商在领取成交通知书之前向代理机构按需提供纸质响应文件。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 成交供应商在领取成交通知书之前向代理机构按需提供纸质响应文件。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采购人组织验收工作，由采购人代表和相关专家组成，负责具体实施验收工作。以采购文件、响应文件、合同文本、国内相应的标准规范等为验收依据。 交付的服务内容与响应文件、竞争性磋商文件等所包括的内容相一致。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采购人组织验收工作，由采购人代表和相关专家组成，负责具体实施验收工作。以采购文件、响应文件、合同文本、国内相应的标准规范等为验收依据。 交付的服务内容与响应文件、竞争性磋商文件等所包括的内容相一致。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 ，达到付款条件起30个工作日内，支付合同总金额的30.0%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3、未按合同要求进行项目的实施或实施不能满足技术要求，采购人有权终止合同和对中标供应商违约行为进行追究，同时按政府采购法的有关规定进行相应的处罚。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3、未按合同要求进行项目的实施或实施不能满足技术要求，采购人有权终止合同和对中标供应商违约行为进行追究，同时按政府采购法的有关规定进行相应的处罚。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是法人的，提供2024年或2025年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提供2025年6月1日以来任意一个月税收缴纳证明（至少包含增值税或企业所得税其中一种），依法免税的单位应提供相关证明材料；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具备履行合同所必需的设备和专业技术能力的证明材料；（书面声明）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法定代表人（单位负责人）直接参加只须提供法定代表人（单位负责人）身份证明书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接受联合体磋商</w:t>
            </w:r>
          </w:p>
        </w:tc>
        <w:tc>
          <w:tcPr>
            <w:tcW w:type="dxa" w:w="3322"/>
          </w:tcPr>
          <w:p>
            <w:pPr>
              <w:pStyle w:val="null3"/>
            </w:pPr>
            <w:r>
              <w:rPr>
                <w:rFonts w:ascii="仿宋_GB2312" w:hAnsi="仿宋_GB2312" w:cs="仿宋_GB2312" w:eastAsia="仿宋_GB2312"/>
              </w:rPr>
              <w:t>本项目接受联合体磋商，组成联合体成员家数不得超过3个。①本项目接受联合体响应，若联合体响应时须明确牵头单位，联合体牵头单位代表联合体各方办理本项目采购活动过程中的一切事务，联合体各方应满足资格审查条件中规定的相应要求。牵头单位和其法定代表人或其委托代理人的印章或签字代表联合体各成员单位相应的印章或签字。联合体各方不得再以自己的名义单独或参加其他联合体在同一包投标，否则其投标和与此相关的联合体响应将被拒绝。②若联合体响应，提供联合体协议。</w:t>
            </w:r>
          </w:p>
        </w:tc>
        <w:tc>
          <w:tcPr>
            <w:tcW w:type="dxa" w:w="1661"/>
          </w:tcPr>
          <w:p>
            <w:pPr>
              <w:pStyle w:val="null3"/>
            </w:pPr>
            <w:r>
              <w:rPr>
                <w:rFonts w:ascii="仿宋_GB2312" w:hAnsi="仿宋_GB2312" w:cs="仿宋_GB2312" w:eastAsia="仿宋_GB2312"/>
              </w:rPr>
              <w:t>供应商应提交的相关资格证明材料.docx 联合体协议.docx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是法人的，提供2024年或2025年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提供2025年6月1日以来任意一个月税收缴纳证明（至少包含增值税或企业所得税其中一种），依法免税的单位应提供相关证明材料；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具备履行合同所必需的设备和专业技术能力的证明材料；（书面声明）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法定代表人（单位负责人）直接参加只须提供法定代表人（单位负责人）身份证明书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提供书面声明（后附格式）；</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接受联合体磋商</w:t>
            </w:r>
          </w:p>
        </w:tc>
        <w:tc>
          <w:tcPr>
            <w:tcW w:type="dxa" w:w="3322"/>
          </w:tcPr>
          <w:p>
            <w:pPr>
              <w:pStyle w:val="null3"/>
            </w:pPr>
            <w:r>
              <w:rPr>
                <w:rFonts w:ascii="仿宋_GB2312" w:hAnsi="仿宋_GB2312" w:cs="仿宋_GB2312" w:eastAsia="仿宋_GB2312"/>
              </w:rPr>
              <w:t>本项目接受联合体磋商，组成联合体成员家数不得超过3个。①本项目接受联合体响应，若联合体响应时须明确牵头单位，联合体牵头单位代表联合体各方办理本项目采购活动过程中的一切事务，联合体各方应满足资格审查条件中规定的相应要求。牵头单位和其法定代表人或其委托代理人的印章或签字代表联合体各成员单位相应的印章或签字。联合体各方不得再以自己的名义单独或参加其他联合体在同一包投标，否则其投标和与此相关的联合体响应将被拒绝。②若联合体响应，提供联合体协议。</w:t>
            </w:r>
          </w:p>
        </w:tc>
        <w:tc>
          <w:tcPr>
            <w:tcW w:type="dxa" w:w="1661"/>
          </w:tcPr>
          <w:p>
            <w:pPr>
              <w:pStyle w:val="null3"/>
            </w:pPr>
            <w:r>
              <w:rPr>
                <w:rFonts w:ascii="仿宋_GB2312" w:hAnsi="仿宋_GB2312" w:cs="仿宋_GB2312" w:eastAsia="仿宋_GB2312"/>
              </w:rPr>
              <w:t>供应商应提交的相关资格证明材料.docx 联合体协议.docx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磋商响应文件的签署、加盖印章是否合格、有效；提供的各种证明文件、数据、资料是否真实、有效。磋商有效期是否满足磋商文件规定，授权期限是否满足磋商文件中规定的有效期。 说明：以联合体响应的，除磋商文件中有明确要求的，其他需要加盖供应商公章或签字的，仅加盖联合体牵头人公章或签字即视为有效，联合体各成员单位共同对盖章内容负责。</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磋商响应文件方案是否有重大缺漏项；磋商响应文件提供的服务方案是否有重大偏离；磋商响应文件商务条款是否有重大偏离；对合同中规定的双方的权利和义务是否做出了实质性修改。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商务应答表 服务内容及服务要求应答表 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磋商报价是否超过项目采购预算。</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是否按照磋商文件的规定提交了磋商保证金或担保机构出具的保函。</w:t>
            </w:r>
          </w:p>
        </w:tc>
        <w:tc>
          <w:tcPr>
            <w:tcW w:type="dxa" w:w="1661"/>
          </w:tcPr>
          <w:p>
            <w:pPr>
              <w:pStyle w:val="null3"/>
            </w:pPr>
            <w:r>
              <w:rPr>
                <w:rFonts w:ascii="仿宋_GB2312" w:hAnsi="仿宋_GB2312" w:cs="仿宋_GB2312" w:eastAsia="仿宋_GB2312"/>
              </w:rPr>
              <w:t>保证金交纳凭证.docx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磋商响应文件的签署、加盖印章是否合格、有效；提供的各种证明文件、数据、资料是否真实、有效。磋商有效期是否满足磋商文件规定，授权期限是否满足磋商文件中规定的有效期。 说明：以联合体响应的，除磋商文件中有明确要求的，其他需要加盖供应商公章或签字的，仅加盖联合体牵头人公章或签字即视为有效，联合体各成员单位共同对盖章内容负责。</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磋商响应文件方案是否有重大缺漏项；磋商响应文件提供的服务方案是否有重大偏离；磋商响应文件商务条款是否有重大偏离；对合同中规定的双方的权利和义务是否做出了实质性修改。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商务应答表 服务内容及服务要求应答表 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磋商报价是否超过项目采购预算。</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是否按照磋商文件的规定提交了磋商保证金或担保机构出具的保函。</w:t>
            </w:r>
          </w:p>
        </w:tc>
        <w:tc>
          <w:tcPr>
            <w:tcW w:type="dxa" w:w="1661"/>
          </w:tcPr>
          <w:p>
            <w:pPr>
              <w:pStyle w:val="null3"/>
            </w:pPr>
            <w:r>
              <w:rPr>
                <w:rFonts w:ascii="仿宋_GB2312" w:hAnsi="仿宋_GB2312" w:cs="仿宋_GB2312" w:eastAsia="仿宋_GB2312"/>
              </w:rPr>
              <w:t>保证金交纳凭证.docx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评审得分相同的，按照最后报价由低到高的顺序推荐。评审得分且最后报价相同的，按照总体服务方案优劣顺序推荐。评审得分且最后报价且总体服务方案得分均相同的，成交候选供应商并列。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评审得分相同的，按照最后报价由低到高的顺序推荐。评审得分且最后报价相同的，按照总体服务方案优劣顺序推荐。评审得分且最后报价且总体服务方案得分均相同的，成交候选供应商并列。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 （1）项目背景的理解认识。 （2）项目实施方案。 （3）工作思路组织方案。 （4）服务流程安排措施。 2、评审标准 ： ①完整性：方案必须全面，对评审内容中的各项要求有详细描述； ②可实施性：切合本项目实际情况，提出步骤清晰、合理的方案； ③针对性：方案能够紧扣项目实际情况，内容科学合理。 2、赋分标准： ①项目背景的理解认识每完全满足一个评审标准得1分，最高得分3分。 ②项目实施方案每完全满足一个评审标准得3分，最高得分3分。 ③工作思路组织方案每完全满足一个评审标准得1分，最高得分3分。 ④服务流程安排措施。每完全满足一个评审标准得1分，最高得分3分。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 （1）全过程质量控制方法与工作管控措施 （2）事前预防性质量管理机制 （3）质量保证体系及全过程保障措施 （4）质量保证承诺 2、评审标准 ： ①完整性：内容必须全面，对评审内容中的各项要求有详细描述； ②可实施性：切合本项目实际情况，提出步骤清晰、合理的方案； ③针对性：内容能够紧扣项目实际情况，内容科学合理。 3、赋分标准： ①全过程质量控制方法与工作管控措施每完全满足一个评审标准得0.5分，最高得分1.5分。 ②事前预防性质量管理机制每完全满足一个评审标准得0.5分，最高得分1.5分。 ③质量保证体系及全过程保障措施每完全满足一个评审标准得0.5分，最高得分1.5分。 ④质量保证承诺每完全满足一个评审标准得0.5分，最高得分1.5分。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1、评审内容： （1）各岗位工作职责描述，人员安排方案。 （2）内部工作监督机制。 （3）员工的考核评价机制 （4）针对项目的沟通协调机制。 2、评审标准 ： ①完整性：方案必须全面，对评审内容中的各项要求有详细描述； ②可实施性：切合本项目实际情况，提出步骤清晰、合理的方案； ③针对性：方案能够紧扣项目实际情况，内容科学合理。 3、赋分标准： ①各岗位工作职责，人员安排方案描述每完全满足一个评审标准得0.5分，最高得分1.5分。 ②内部工作监督机制每完全满足一个评审标准得 0.5分，最高得分1.5分。 ③员工的考核评价机制每完全满足一个评审标准得 0.5分，最高得分1.5分。 ④针对项目的沟通协调机制。每完全满足一个评审标准得0.5分，最高得分1.5分。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（1）进度计划。 （2）进度保证措施。 2、评审标准 ： ①完整性：内容必须全面，对评审内容中的各项要求有详细描述； ②可实施性：切合本项目实际情况，提出步骤清晰、合理的方案； ③针对性：内容能够紧扣项目实际情况，内容科学合理。 3、赋分标准： ①进度计划每完全满足一个评审标准得0.5分，最高得分1.5分。 ②进度保证措施每完全满足一个评审标准得0.5分，最高得分1.5分。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（1）日常应急事项处理方案，人员变更、离职等应急预案： 从组织架构与职责、预警与报告机制、应急处理流程、后期处理等方面。 2、评审标准： ①完整性：内容必须全面，对评审内容中的各项要求有详细描述； ②可实施性：切合本项目实际情况，提出步骤清晰、合理的方案； ③针对性：内容能够紧扣项目实际情况，内容科学合理。 3、赋分标准： 方案每完全满足一个评审标准得0.5分，最高得分1.5分。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1、评审内容： 针对本项目拟定针对性的验收方案。 2、评审标准： ①完整性：方案必须全面，对评审内容中的各项要求有详细描述； ②可实施性：切合本项目实际情况，提出步骤清晰、合理的方案； ③针对性：方案能够紧扣项目实际情况，内容科学合理。 3、赋分标准： 验收方案每完全满足一个评审标准得0.5分，最高得分1.5分。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工作重、难点分析及解决</w:t>
            </w:r>
          </w:p>
        </w:tc>
        <w:tc>
          <w:tcPr>
            <w:tcW w:type="dxa" w:w="2492"/>
          </w:tcPr>
          <w:p>
            <w:pPr>
              <w:pStyle w:val="null3"/>
            </w:pPr>
            <w:r>
              <w:rPr>
                <w:rFonts w:ascii="仿宋_GB2312" w:hAnsi="仿宋_GB2312" w:cs="仿宋_GB2312" w:eastAsia="仿宋_GB2312"/>
              </w:rPr>
              <w:t>1、评审内容： （1）针对本项目工作重点、难点的分析 （2）重难点解决方案。 2、评审标准： ①完整性：内容必须全面，对评审内容中的各项要求有详细描述； ②可实施性：切合本项目实际情况，提出步骤清晰、合理的方案； ③针对性：内容能够紧扣项目实际情况，内容科学合理。 3、赋分标准： ①针对本项目工作重点、难点的分析每完全满足一个评审标准得0.5分，最高得分1.5分。 ②重难点解决方案每完全满足一个评审标准得0.5分，最高得分1.5分。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保密措施及方案</w:t>
            </w:r>
          </w:p>
        </w:tc>
        <w:tc>
          <w:tcPr>
            <w:tcW w:type="dxa" w:w="2492"/>
          </w:tcPr>
          <w:p>
            <w:pPr>
              <w:pStyle w:val="null3"/>
            </w:pPr>
            <w:r>
              <w:rPr>
                <w:rFonts w:ascii="仿宋_GB2312" w:hAnsi="仿宋_GB2312" w:cs="仿宋_GB2312" w:eastAsia="仿宋_GB2312"/>
              </w:rPr>
              <w:t>1、评审内容： 针对本项目的涉密信息提供有效，针对性强的保密措施。 2、评审标准： ①完整性：内容必须全面，对评审内容中的各项要求有详细描述； ②可实施性：切合本项目实际情况，提出步骤清晰、合理的方案； ③针对性：内容能够紧扣项目实际情况，内容科学合理。 3、赋分标准：保密措施及方案每完全满足一个评审标准得0.5分，最高得分1.5分。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针对本项目制定详细的售后服务方案。售后方案内容全面、针对性强、符合本项目特点。 2、评审标准： ①完整性：方案必须全面，对评审内容中的各项要求有详细描述； ②可实施性：切合本项目实际情况，提出步骤清晰、合理的方案； ③针对性：方案能够紧扣项目实际情况，内容科学合理。 3、赋分标准： 售后服务方案每完全满足一个评审标准得 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1、合理化建议：为本项目提出合理化建议从本项目实际情况出发（其中包括但不限于提高项目管理水平、有助于工作更加顺利进行等）。 2、赋分标准： ①对本项目提供合理化建议详尽阐述，可实施性强，针对性强得4分； ②对本项目提供合理化建议内容明确，有一定针对性得3分； ③对本项目提供合理化建议基本合理，得2分； ④对本项目提供合理化建议内容含糊，空洞不具有针对性得1分。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服务团队：供应商提供针对本项目服务团队组织架构、人员构成、服务经验（地质类相关工作经验）、服务能力等。 1、项目负责人（一人）： （1）项目负责人具有10年以上相关工作经验的得5分 具有5年以上相关工作经验的得3分 具有2年以上相关工作经验的得1分 （2）项目负责人具有地质类或相关专业，具备高级职称及以上得3分，具备中级职称得1分： 2、技术负责人（一人）： 拟派技术负责人具有人力资源社会保障部、工业和信息化部核发的计算机技术与软件专业技术资格（水平）高级证书，包含信息系统项目管理师、系统分析师、系统架构设计师任一证书的，得 2 分；本项最高得 2 分。 3、项目团队成员：（项目负责人和技术负责人除外，学历只按最高一档计分人员不重复计分）： （1）项目团队成员中具有计算机或地质类等专业硕士研究生或以上学历的每满足1人得2分，本项最高得6分 （2）项目团队成员中具有计算机或地质类等专业本科或以上学历的每满足1人得1分，本项最高得3分 4、团队人员组成： 15人（含本数）以上得5分 10人（含本数）以上得3分 10人以下得1分 证明材料： 1、提供工作经验证明或相关证明材料（包括不限于提供社保或劳动合同或项目合同或单位从业证明）作为评分依据； 2、提供职称证书作为评分依据； 3、提供学历毕业证书作为评分依据； 4、以人员列表提供人员组成作为评分依据； 评分中出现材料无法判定从业年限等无证明资料或专家无法凭所提供的资料判断是否得分的情况，一律作不得分处理。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服务方案附表（1包）.docx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企业提供有效的质量管理体系认证证书、保密资格证书，每提供一项得2分，满分4分，不提供不得分。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供应商持有与本项目信息化/地质数字化业务相关的国家授权发明专利、计算机软件著作权登记证书，每项有效证书得2分，本项累计最高8分。 证明材料： 须提供有效的证书或者资料作为评分依据。评分中出现无证明资料或专家无法凭所提供的资料判断是否得分的情况，一律作不得分处理。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项目负责人近五年（2021年1月1日至今）已完成的类似项目业绩每提供一项得2分，满分 4分。（业绩以签订的合同复印件或其他证明文件为准） 注：需体现项目负责人的姓名，否则不得分。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服务方案附表（1包）.docx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近五年2021年1月1日至今具有类似项目业绩，响应文件中附有合同或中标通知书作为证明文件（复印件加盖红色公章），证明文件不齐全不得分，每提供一项业绩计2分，满分10分。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服务方案附表（1包）.docx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2、有效最低评审价格得10分。 3、其他报价得分按（有效最低评审价格/评审价格）×10的公式计算其得分。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 （1）项目背景的理解认识。 （2）项目实施方案。 （3）工作思路组织方案。 （4）服务流程安排措施。 2、评审标准 ： ①完整性：方案必须全面，对评审内容中的各项要求有详细描述； ②可实施性：切合本项目实际情况，提出步骤清晰、合理的方案； ③针对性：方案能够紧扣项目实际情况，内容科学合理。 3、赋分标准： ①项目背景的理解认识每完全满足一个评审标准得1分，最高得分3分。 ②项目实施方案每完全满足一个评审标准得3分，最高得分3分。 ③工作思路组织方案每完全满足一个评审标准得1分，最高得分3分。 ④服务流程安排措施。每完全满足一个评审标准得1分，最高得分3分。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 （1）全过程质量控制方法与工作管控措施 （2）事前预防性质量管理机制 （3）质量保证体系及全过程保障措施 （4）质量保证承诺 2、评审标准 ： ①完整性：内容必须全面，对评审内容中的各项要求有详细描述； ②可实施性：切合本项目实际情况，提出步骤清晰、合理的方案； ③针对性：内容能够紧扣项目实际情况，内容科学合理。 3、赋分标准： ①全过程质量控制方法与工作管控措施每完全满足一个评审标准得0.5分，最高得分1.5分。 ②事前预防性质量管理机制每完全满足一个评审标准得0.5分，最高得分1.5分。 ③质量保证体系及全过程保障措施每完全满足一个评审标准得0.5分，最高得分1.5分。 ④质量保证承诺每完全满足一个评审标准得0.5分，最高得分1.5分。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1、评审内容： （1）各岗位工作职责描述，人员安排方案。 （2）内部工作监督机制。 （3）员工的考核评价机制 （4）针对项目的沟通协调机制。 2、评审标准 ： ①完整性：方案必须全面，对评审内容中的各项要求有详细描述； ②可实施性：切合本项目实际情况，提出步骤清晰、合理的方案； ③针对性：方案能够紧扣项目实际情况，内容科学合理。 3、赋分标准： ①各岗位工作职责，人员安排方案描述每完全满足一个评审标准得0.5分，最高得分1.5分。 ②内部工作监督机制每完全满足一个评审标准得 0.5分，最高得分1.5分。 ③员工的考核评价机制每完全满足一个评审标准得 0.5分，最高得分1.5分。 ④针对项目的沟通协调机制。每完全满足一个评审标准得0.5分，最高得分1.5分。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（1）进度计划。 （2）进度保证措施。 2、评审标准 ： ①完整性：内容必须全面，对评审内容中的各项要求有详细描述； ②可实施性：切合本项目实际情况，提出步骤清晰、合理的方案； ③针对性：内容能够紧扣项目实际情况，内容科学合理。 3、赋分标准： ①进度计划每完全满足一个评审标准得0.5分，最高得分1.5分。 ②进度保证措施每完全满足一个评审标准得0.5分，最高得分1.5分。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日常应急事项处理方案，人员变更、离职等应急预案： 从组织架构与职责、预警与报告机制、应急处理流程、后期处理等方面。 2、评审标准： ①完整性：内容必须全面，对评审内容中的各项要求有详细描述； ②可实施性：切合本项目实际情况，提出步骤清晰、合理的方案； ③针对性：内容能够紧扣项目实际情况，内容科学合理。 3、赋分标准： 方案每完全满足一个评审标准得0.5分，最高得分1.5分。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1、评审内容： 针对本项目拟定针对性的验收方案。 2、评审标准： ①完整性：方案必须全面，对评审内容中的各项要求有详细描述； ②可实施性：切合本项目实际情况，提出步骤清晰、合理的方案； ③针对性：方案能够紧扣项目实际情况，内容科学合理。 3、赋分标准： 验收方案每完全满足一个评审标准得0.5分，最高得分1.5分。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工作重、难点分析及解决</w:t>
            </w:r>
          </w:p>
        </w:tc>
        <w:tc>
          <w:tcPr>
            <w:tcW w:type="dxa" w:w="2492"/>
          </w:tcPr>
          <w:p>
            <w:pPr>
              <w:pStyle w:val="null3"/>
            </w:pPr>
            <w:r>
              <w:rPr>
                <w:rFonts w:ascii="仿宋_GB2312" w:hAnsi="仿宋_GB2312" w:cs="仿宋_GB2312" w:eastAsia="仿宋_GB2312"/>
              </w:rPr>
              <w:t>1、评审内容： （1）针对本项目工作重点、难点的分析 （2）重难点解决方案。 2、评审标准： ①完整性：内容必须全面，对评审内容中的各项要求有详细描述； ②可实施性：切合本项目实际情况，提出步骤清晰、合理的方案； ③针对性：内容能够紧扣项目实际情况，内容科学合理。 3、赋分标准： ①针对本项目工作重点、难点的分析每完全满足一个评审标准得0.5分，最高得分1.5分。 ②重难点解决方案每完全满足一个评审标准得0.5分，最高得分1.5分。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保密措施及方案</w:t>
            </w:r>
          </w:p>
        </w:tc>
        <w:tc>
          <w:tcPr>
            <w:tcW w:type="dxa" w:w="2492"/>
          </w:tcPr>
          <w:p>
            <w:pPr>
              <w:pStyle w:val="null3"/>
            </w:pPr>
            <w:r>
              <w:rPr>
                <w:rFonts w:ascii="仿宋_GB2312" w:hAnsi="仿宋_GB2312" w:cs="仿宋_GB2312" w:eastAsia="仿宋_GB2312"/>
              </w:rPr>
              <w:t>1、评审内容： 针对本项目的涉密信息提供有效，针对性强的保密措施。 2、评审标准： ①完整性：内容必须全面，对评审内容中的各项要求有详细描述； ②可实施性：切合本项目实际情况，提出步骤清晰、合理的方案； ③针对性：内容能够紧扣项目实际情况，内容科学合理。 3、赋分标准：保密措施及方案每完全满足一个评审标准得0.5分，最高得分1.5分。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针对本项目制定详细的售后服务方案。售后方案内容全面、针对性强、符合本项目特点。 2、评审标准： ①完整性：方案必须全面，对评审内容中的各项要求有详细描述； ②可实施性：切合本项目实际情况，提出步骤清晰、合理的方案； ③针对性：方案能够紧扣项目实际情况，内容科学合理。 3、赋分标准： 售后服务方案每完全满足一个评审标准得 0.5分，最高得分1.5分。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1、合理化建议：为本项目提出合理化建议从本项目实际情况出发（其中包括但不限于提高项目管理水平、有助于工作更加顺利进行等）。 2、赋分标准： ①对本项目提供合理化建议详尽阐述，可实施性强，针对性强得4分； ②对本项目提供合理化建议内容明确，有一定针对性得3分； ③对本项目提供合理化建议基本合理，得2分； ④对本项目提供合理化建议内容含糊，空洞不具有针对性得1分。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服务团队：供应商提供针对本项目服务团队组织架构、人员构成、服务经验（地质类相关工作经验）、服务能力等。 1、项目负责人（一人）： （1）项目负责人具有10年以上相关工作经验的得5分 具有5年以上相关工作经验的得3分 具有2年以上相关工作经验的得1分 （2）项目负责人具有地质类或相关专业，具备高级职称及以上得2分，具备中级职称得1分 （3）项目负责人具有地质类或相关专业硕士研究生及以上学历的得2分，本科学历的得1分 2、技术负责人（一人）： （1）拟派技术负责人具有人力资源社会保障部、工业和信息化部核发的计算机技术与软件专业技术资格（水平）高级证书，包含信息系统项目管理师、系统分析师、系统架构设计师任一证书的，得 2 分；本项最高得 2 分。 3、项目团队成员：（项目负责人和技术负责人除外）： （1）项目团队成员中具有计算机或地质类等专业硕士研究生或以上学历的每满足1人得2分，具有本科或以上学历的每满足1人得1分，本项最高得4分； （2）项目团队成员具有相关专业高级职称的每满足1人得2分，具有中级职称及以上职称每满足1人得1分，本项最高得4分： 4、团队人员组成： 10人（含本数）以上得5分 5人（含本数）以上得3分 3人以下得1分 证明材料： 1、提供工作经验证明或相关证明材料（包括不限于提供社保或劳动合同或项目合同或单位从业证明）作为评分依据； 2、提供职称证书作为评分依据； 3、提供学历毕业证书作为评分依据； 4、以人员列表提供人员组成作为评分依据； 评分中出现材料无法判定从业年限等无证明资料或专家无法凭所提供的资料判断是否得分的情况，一律作不得分处理。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服务方案附表（2包）.docx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企业提供有效的质量管理体系认证证书、ITSS运维证书，每提供一项得2分，满分4分，不提供不得分。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供应商持有与本项目信息化/地质数字化业务相关的国家授权发明专利、计算机软件著作权登记证书，每项有效证书得2分，本项累计最高10分。 证明材料： 须提供有效的证书或者资料作为评分依据。评分中出现无证明资料或专家无法凭所提供的资料判断是否得分的情况，一律作不得分处理。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近五年2021年1月1日至今供应商或其授权制造商具有类似项目业绩，响应文件中附有合同或中标通知书作为证明文件（复印件加盖红色公章），证明文件不齐全不得分，每提供一项业绩计2分，满分12分。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服务方案附表（2包）.docx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2、有效最低评审价格得10分。 3、其他报价得分按（有效最低评审价格/评审价格）×10的公式计算其得分。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详见附件：服务方案附表（1包）.docx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详见附件：联合体协议.docx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详见附件：服务方案附表（2包）.docx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详见附件：联合体协议.docx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