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0E5D3">
      <w:pPr>
        <w:pStyle w:val="8"/>
        <w:spacing w:line="560" w:lineRule="exact"/>
        <w:ind w:firstLine="562" w:firstLineChars="200"/>
        <w:jc w:val="center"/>
        <w:rPr>
          <w:rFonts w:hint="eastAsia" w:ascii="仿宋" w:hAnsi="仿宋" w:eastAsia="仿宋" w:cs="仿宋"/>
          <w:b/>
          <w:bCs/>
          <w:sz w:val="28"/>
          <w:szCs w:val="28"/>
        </w:rPr>
      </w:pPr>
      <w:r>
        <w:rPr>
          <w:rFonts w:hint="eastAsia" w:ascii="仿宋" w:hAnsi="仿宋" w:eastAsia="仿宋" w:cs="仿宋"/>
          <w:b/>
          <w:bCs/>
          <w:sz w:val="28"/>
          <w:szCs w:val="28"/>
        </w:rPr>
        <w:t>西安市食品药品检验所快检试剂采购合同</w:t>
      </w:r>
    </w:p>
    <w:p w14:paraId="156DBAF4">
      <w:pPr>
        <w:pStyle w:val="8"/>
        <w:spacing w:line="560" w:lineRule="exact"/>
        <w:ind w:firstLine="480" w:firstLineChars="200"/>
        <w:rPr>
          <w:rFonts w:hint="eastAsia" w:ascii="仿宋" w:hAnsi="仿宋" w:eastAsia="仿宋" w:cs="仿宋"/>
          <w:sz w:val="24"/>
          <w:szCs w:val="24"/>
        </w:rPr>
      </w:pPr>
    </w:p>
    <w:p w14:paraId="2DA9DA50">
      <w:pPr>
        <w:kinsoku w:val="0"/>
        <w:spacing w:line="360" w:lineRule="auto"/>
        <w:ind w:firstLine="480" w:firstLineChars="200"/>
        <w:rPr>
          <w:rFonts w:hint="eastAsia" w:ascii="仿宋" w:hAnsi="仿宋" w:eastAsia="仿宋" w:cs="仿宋"/>
          <w:sz w:val="24"/>
        </w:rPr>
      </w:pPr>
      <w:r>
        <w:rPr>
          <w:rFonts w:hint="eastAsia" w:ascii="仿宋" w:hAnsi="仿宋" w:eastAsia="仿宋" w:cs="仿宋"/>
          <w:kern w:val="0"/>
          <w:sz w:val="24"/>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”(项目编号</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)，通过采购。经评标委员会评审推荐， </w:t>
      </w:r>
      <w:r>
        <w:rPr>
          <w:rFonts w:hint="eastAsia" w:ascii="仿宋" w:hAnsi="仿宋" w:eastAsia="仿宋" w:cs="仿宋"/>
          <w:kern w:val="0"/>
          <w:sz w:val="24"/>
          <w:u w:val="single"/>
        </w:rPr>
        <w:t xml:space="preserve">                 </w:t>
      </w:r>
      <w:r>
        <w:rPr>
          <w:rFonts w:hint="eastAsia" w:ascii="仿宋" w:hAnsi="仿宋" w:eastAsia="仿宋" w:cs="仿宋"/>
          <w:kern w:val="0"/>
          <w:sz w:val="24"/>
        </w:rPr>
        <w:t>(以下简称“甲方”)确认</w:t>
      </w:r>
      <w:r>
        <w:rPr>
          <w:rFonts w:hint="eastAsia" w:ascii="仿宋" w:hAnsi="仿宋" w:eastAsia="仿宋" w:cs="仿宋"/>
          <w:kern w:val="0"/>
          <w:sz w:val="24"/>
          <w:u w:val="single"/>
        </w:rPr>
        <w:t xml:space="preserve">           </w:t>
      </w:r>
      <w:r>
        <w:rPr>
          <w:rFonts w:hint="eastAsia" w:ascii="仿宋" w:hAnsi="仿宋" w:eastAsia="仿宋" w:cs="仿宋"/>
          <w:bCs/>
          <w:kern w:val="0"/>
          <w:sz w:val="24"/>
        </w:rPr>
        <w:t>（</w:t>
      </w:r>
      <w:r>
        <w:rPr>
          <w:rFonts w:hint="eastAsia" w:ascii="仿宋" w:hAnsi="仿宋" w:eastAsia="仿宋" w:cs="仿宋"/>
          <w:kern w:val="0"/>
          <w:sz w:val="24"/>
        </w:rPr>
        <w:t>以下简称“乙方”）为本项目中标人。</w:t>
      </w:r>
      <w:r>
        <w:rPr>
          <w:rFonts w:hint="eastAsia" w:ascii="仿宋" w:hAnsi="仿宋" w:eastAsia="仿宋" w:cs="仿宋"/>
          <w:spacing w:val="-4"/>
          <w:kern w:val="0"/>
          <w:sz w:val="24"/>
        </w:rPr>
        <w:t>依据《中华人民共和国民法典》和《中华人民共和国政府采购法》、《中华人民共和国政府采购法实施条例》，</w:t>
      </w:r>
      <w:r>
        <w:rPr>
          <w:rFonts w:hint="eastAsia" w:ascii="仿宋" w:hAnsi="仿宋" w:eastAsia="仿宋" w:cs="仿宋"/>
          <w:sz w:val="24"/>
        </w:rPr>
        <w:t>甲、乙双方在平等自愿的基础上协商一致，达成如下合同条款：</w:t>
      </w:r>
    </w:p>
    <w:p w14:paraId="68290753">
      <w:pPr>
        <w:spacing w:line="360" w:lineRule="auto"/>
        <w:rPr>
          <w:rFonts w:hint="eastAsia" w:ascii="仿宋" w:hAnsi="仿宋" w:eastAsia="仿宋" w:cs="仿宋"/>
          <w:b/>
          <w:bCs/>
          <w:sz w:val="24"/>
        </w:rPr>
      </w:pPr>
      <w:r>
        <w:rPr>
          <w:rFonts w:hint="eastAsia" w:ascii="仿宋" w:hAnsi="仿宋" w:eastAsia="仿宋" w:cs="仿宋"/>
          <w:b/>
          <w:bCs/>
          <w:sz w:val="24"/>
        </w:rPr>
        <w:t>一、合同标的物内容及数量、单价、金额（以</w:t>
      </w:r>
      <w:r>
        <w:rPr>
          <w:rFonts w:hint="eastAsia" w:ascii="仿宋" w:hAnsi="仿宋" w:eastAsia="仿宋" w:cs="仿宋"/>
          <w:b/>
          <w:bCs/>
          <w:sz w:val="24"/>
          <w:lang w:val="en-US" w:eastAsia="zh-CN"/>
        </w:rPr>
        <w:t>响应</w:t>
      </w:r>
      <w:r>
        <w:rPr>
          <w:rFonts w:hint="eastAsia" w:ascii="仿宋" w:hAnsi="仿宋" w:eastAsia="仿宋" w:cs="仿宋"/>
          <w:b/>
          <w:bCs/>
          <w:sz w:val="24"/>
        </w:rPr>
        <w:t>文件正本和澄清表〈函〉为准）</w:t>
      </w:r>
    </w:p>
    <w:tbl>
      <w:tblPr>
        <w:tblStyle w:val="11"/>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23"/>
        <w:gridCol w:w="1454"/>
        <w:gridCol w:w="1559"/>
        <w:gridCol w:w="1539"/>
        <w:gridCol w:w="1363"/>
        <w:gridCol w:w="1150"/>
      </w:tblGrid>
      <w:tr w14:paraId="74960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090AFA4F">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1523" w:type="dxa"/>
            <w:tcBorders>
              <w:top w:val="single" w:color="auto" w:sz="4" w:space="0"/>
              <w:left w:val="single" w:color="auto" w:sz="4" w:space="0"/>
              <w:bottom w:val="single" w:color="auto" w:sz="4" w:space="0"/>
              <w:right w:val="single" w:color="auto" w:sz="4" w:space="0"/>
            </w:tcBorders>
            <w:vAlign w:val="center"/>
          </w:tcPr>
          <w:p w14:paraId="0531658B">
            <w:pPr>
              <w:spacing w:line="360" w:lineRule="auto"/>
              <w:jc w:val="center"/>
              <w:rPr>
                <w:rFonts w:hint="eastAsia" w:ascii="仿宋" w:hAnsi="仿宋" w:eastAsia="仿宋" w:cs="仿宋"/>
                <w:sz w:val="24"/>
              </w:rPr>
            </w:pPr>
            <w:r>
              <w:rPr>
                <w:rFonts w:hint="eastAsia" w:ascii="仿宋" w:hAnsi="仿宋" w:eastAsia="仿宋" w:cs="仿宋"/>
                <w:sz w:val="24"/>
              </w:rPr>
              <w:t>产品名称</w:t>
            </w:r>
          </w:p>
        </w:tc>
        <w:tc>
          <w:tcPr>
            <w:tcW w:w="1454" w:type="dxa"/>
            <w:tcBorders>
              <w:top w:val="single" w:color="auto" w:sz="4" w:space="0"/>
              <w:left w:val="single" w:color="auto" w:sz="4" w:space="0"/>
              <w:bottom w:val="single" w:color="auto" w:sz="4" w:space="0"/>
              <w:right w:val="single" w:color="auto" w:sz="4" w:space="0"/>
            </w:tcBorders>
            <w:vAlign w:val="center"/>
          </w:tcPr>
          <w:p w14:paraId="53114BDA">
            <w:pPr>
              <w:spacing w:line="360" w:lineRule="auto"/>
              <w:jc w:val="center"/>
              <w:rPr>
                <w:rFonts w:hint="eastAsia" w:ascii="仿宋" w:hAnsi="仿宋" w:eastAsia="仿宋" w:cs="仿宋"/>
                <w:sz w:val="24"/>
              </w:rPr>
            </w:pPr>
            <w:r>
              <w:rPr>
                <w:rFonts w:hint="eastAsia" w:ascii="仿宋" w:hAnsi="仿宋" w:eastAsia="仿宋" w:cs="仿宋"/>
                <w:sz w:val="24"/>
              </w:rPr>
              <w:t>产地/生产厂家</w:t>
            </w:r>
          </w:p>
        </w:tc>
        <w:tc>
          <w:tcPr>
            <w:tcW w:w="1559" w:type="dxa"/>
            <w:tcBorders>
              <w:top w:val="single" w:color="auto" w:sz="4" w:space="0"/>
              <w:left w:val="single" w:color="auto" w:sz="4" w:space="0"/>
              <w:bottom w:val="single" w:color="auto" w:sz="4" w:space="0"/>
              <w:right w:val="single" w:color="auto" w:sz="4" w:space="0"/>
            </w:tcBorders>
            <w:vAlign w:val="center"/>
          </w:tcPr>
          <w:p w14:paraId="5997D98A">
            <w:pPr>
              <w:spacing w:line="360" w:lineRule="auto"/>
              <w:jc w:val="center"/>
              <w:rPr>
                <w:rFonts w:hint="eastAsia" w:ascii="仿宋" w:hAnsi="仿宋" w:eastAsia="仿宋" w:cs="仿宋"/>
                <w:sz w:val="24"/>
              </w:rPr>
            </w:pPr>
            <w:r>
              <w:rPr>
                <w:rFonts w:hint="eastAsia" w:ascii="仿宋" w:hAnsi="仿宋" w:eastAsia="仿宋" w:cs="仿宋"/>
                <w:sz w:val="24"/>
              </w:rPr>
              <w:t>规格/型号</w:t>
            </w:r>
          </w:p>
        </w:tc>
        <w:tc>
          <w:tcPr>
            <w:tcW w:w="1539" w:type="dxa"/>
            <w:tcBorders>
              <w:top w:val="single" w:color="auto" w:sz="4" w:space="0"/>
              <w:left w:val="single" w:color="auto" w:sz="4" w:space="0"/>
              <w:bottom w:val="single" w:color="auto" w:sz="4" w:space="0"/>
              <w:right w:val="single" w:color="auto" w:sz="4" w:space="0"/>
            </w:tcBorders>
            <w:vAlign w:val="center"/>
          </w:tcPr>
          <w:p w14:paraId="318159D3">
            <w:pPr>
              <w:spacing w:line="360" w:lineRule="auto"/>
              <w:jc w:val="center"/>
              <w:rPr>
                <w:rFonts w:hint="eastAsia" w:ascii="仿宋" w:hAnsi="仿宋" w:eastAsia="仿宋" w:cs="仿宋"/>
                <w:sz w:val="24"/>
              </w:rPr>
            </w:pPr>
            <w:r>
              <w:rPr>
                <w:rFonts w:hint="eastAsia" w:ascii="仿宋" w:hAnsi="仿宋" w:eastAsia="仿宋" w:cs="仿宋"/>
                <w:sz w:val="24"/>
              </w:rPr>
              <w:t>单价</w:t>
            </w:r>
          </w:p>
          <w:p w14:paraId="4A5FD38F">
            <w:pPr>
              <w:spacing w:line="360" w:lineRule="auto"/>
              <w:jc w:val="center"/>
              <w:rPr>
                <w:rFonts w:hint="eastAsia" w:ascii="仿宋" w:hAnsi="仿宋" w:eastAsia="仿宋" w:cs="仿宋"/>
                <w:sz w:val="24"/>
              </w:rPr>
            </w:pPr>
            <w:r>
              <w:rPr>
                <w:rFonts w:hint="eastAsia" w:ascii="仿宋" w:hAnsi="仿宋" w:eastAsia="仿宋" w:cs="仿宋"/>
                <w:sz w:val="24"/>
              </w:rPr>
              <w:t>(万元)</w:t>
            </w:r>
          </w:p>
        </w:tc>
        <w:tc>
          <w:tcPr>
            <w:tcW w:w="1363" w:type="dxa"/>
            <w:tcBorders>
              <w:top w:val="single" w:color="auto" w:sz="4" w:space="0"/>
              <w:left w:val="single" w:color="auto" w:sz="4" w:space="0"/>
              <w:bottom w:val="single" w:color="auto" w:sz="4" w:space="0"/>
              <w:right w:val="single" w:color="auto" w:sz="4" w:space="0"/>
            </w:tcBorders>
            <w:vAlign w:val="center"/>
          </w:tcPr>
          <w:p w14:paraId="594401F8">
            <w:pPr>
              <w:spacing w:line="360" w:lineRule="auto"/>
              <w:jc w:val="center"/>
              <w:rPr>
                <w:rFonts w:hint="eastAsia" w:ascii="仿宋" w:hAnsi="仿宋" w:eastAsia="仿宋" w:cs="仿宋"/>
                <w:sz w:val="24"/>
              </w:rPr>
            </w:pPr>
            <w:r>
              <w:rPr>
                <w:rFonts w:hint="eastAsia" w:ascii="仿宋" w:hAnsi="仿宋" w:eastAsia="仿宋" w:cs="仿宋"/>
                <w:sz w:val="24"/>
              </w:rPr>
              <w:t>数量</w:t>
            </w:r>
          </w:p>
        </w:tc>
        <w:tc>
          <w:tcPr>
            <w:tcW w:w="1150" w:type="dxa"/>
            <w:tcBorders>
              <w:top w:val="single" w:color="auto" w:sz="4" w:space="0"/>
              <w:left w:val="single" w:color="auto" w:sz="4" w:space="0"/>
              <w:bottom w:val="single" w:color="auto" w:sz="4" w:space="0"/>
              <w:right w:val="single" w:color="auto" w:sz="4" w:space="0"/>
            </w:tcBorders>
            <w:vAlign w:val="center"/>
          </w:tcPr>
          <w:p w14:paraId="210C6BF3">
            <w:pPr>
              <w:spacing w:line="360" w:lineRule="auto"/>
              <w:jc w:val="center"/>
              <w:rPr>
                <w:rFonts w:hint="eastAsia" w:ascii="仿宋" w:hAnsi="仿宋" w:eastAsia="仿宋" w:cs="仿宋"/>
                <w:sz w:val="24"/>
              </w:rPr>
            </w:pPr>
            <w:r>
              <w:rPr>
                <w:rFonts w:hint="eastAsia" w:ascii="仿宋" w:hAnsi="仿宋" w:eastAsia="仿宋" w:cs="仿宋"/>
                <w:sz w:val="24"/>
              </w:rPr>
              <w:t>备注</w:t>
            </w:r>
          </w:p>
        </w:tc>
      </w:tr>
      <w:tr w14:paraId="621C6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3BDCE974">
            <w:pPr>
              <w:spacing w:line="360" w:lineRule="auto"/>
              <w:ind w:firstLine="480" w:firstLineChars="200"/>
              <w:jc w:val="center"/>
              <w:rPr>
                <w:rFonts w:hint="eastAsia" w:ascii="仿宋" w:hAnsi="仿宋" w:eastAsia="仿宋" w:cs="仿宋"/>
                <w:sz w:val="24"/>
              </w:rPr>
            </w:pPr>
          </w:p>
        </w:tc>
        <w:tc>
          <w:tcPr>
            <w:tcW w:w="1523" w:type="dxa"/>
            <w:tcBorders>
              <w:top w:val="single" w:color="auto" w:sz="4" w:space="0"/>
              <w:left w:val="single" w:color="auto" w:sz="4" w:space="0"/>
              <w:bottom w:val="single" w:color="auto" w:sz="4" w:space="0"/>
              <w:right w:val="single" w:color="auto" w:sz="4" w:space="0"/>
            </w:tcBorders>
            <w:vAlign w:val="bottom"/>
          </w:tcPr>
          <w:p w14:paraId="24F4E614">
            <w:pPr>
              <w:spacing w:line="360" w:lineRule="auto"/>
              <w:ind w:firstLine="480" w:firstLineChars="200"/>
              <w:jc w:val="center"/>
              <w:rPr>
                <w:rFonts w:hint="eastAsia" w:ascii="仿宋" w:hAnsi="仿宋" w:eastAsia="仿宋" w:cs="仿宋"/>
                <w:sz w:val="24"/>
              </w:rPr>
            </w:pPr>
          </w:p>
        </w:tc>
        <w:tc>
          <w:tcPr>
            <w:tcW w:w="1454" w:type="dxa"/>
            <w:tcBorders>
              <w:top w:val="single" w:color="auto" w:sz="4" w:space="0"/>
              <w:left w:val="single" w:color="auto" w:sz="4" w:space="0"/>
              <w:bottom w:val="single" w:color="auto" w:sz="4" w:space="0"/>
              <w:right w:val="single" w:color="auto" w:sz="4" w:space="0"/>
            </w:tcBorders>
            <w:vAlign w:val="bottom"/>
          </w:tcPr>
          <w:p w14:paraId="622B460F">
            <w:pPr>
              <w:spacing w:line="360" w:lineRule="auto"/>
              <w:ind w:firstLine="480" w:firstLineChars="200"/>
              <w:jc w:val="center"/>
              <w:rPr>
                <w:rFonts w:hint="eastAsia" w:ascii="仿宋" w:hAnsi="仿宋" w:eastAsia="仿宋" w:cs="仿宋"/>
                <w:sz w:val="24"/>
              </w:rPr>
            </w:pPr>
          </w:p>
        </w:tc>
        <w:tc>
          <w:tcPr>
            <w:tcW w:w="1559" w:type="dxa"/>
            <w:tcBorders>
              <w:top w:val="single" w:color="auto" w:sz="4" w:space="0"/>
              <w:left w:val="single" w:color="auto" w:sz="4" w:space="0"/>
              <w:bottom w:val="single" w:color="auto" w:sz="4" w:space="0"/>
              <w:right w:val="single" w:color="auto" w:sz="4" w:space="0"/>
            </w:tcBorders>
            <w:vAlign w:val="bottom"/>
          </w:tcPr>
          <w:p w14:paraId="312BA184">
            <w:pPr>
              <w:spacing w:line="360" w:lineRule="auto"/>
              <w:ind w:firstLine="480" w:firstLineChars="200"/>
              <w:jc w:val="center"/>
              <w:rPr>
                <w:rFonts w:hint="eastAsia" w:ascii="仿宋" w:hAnsi="仿宋" w:eastAsia="仿宋" w:cs="仿宋"/>
                <w:sz w:val="24"/>
              </w:rPr>
            </w:pPr>
          </w:p>
        </w:tc>
        <w:tc>
          <w:tcPr>
            <w:tcW w:w="1539" w:type="dxa"/>
            <w:tcBorders>
              <w:top w:val="single" w:color="auto" w:sz="4" w:space="0"/>
              <w:left w:val="single" w:color="auto" w:sz="4" w:space="0"/>
              <w:bottom w:val="single" w:color="auto" w:sz="4" w:space="0"/>
              <w:right w:val="single" w:color="auto" w:sz="4" w:space="0"/>
            </w:tcBorders>
            <w:vAlign w:val="bottom"/>
          </w:tcPr>
          <w:p w14:paraId="71E0064A">
            <w:pPr>
              <w:spacing w:line="360" w:lineRule="auto"/>
              <w:ind w:firstLine="480" w:firstLineChars="200"/>
              <w:jc w:val="center"/>
              <w:rPr>
                <w:rFonts w:hint="eastAsia" w:ascii="仿宋" w:hAnsi="仿宋" w:eastAsia="仿宋" w:cs="仿宋"/>
                <w:sz w:val="24"/>
              </w:rPr>
            </w:pPr>
          </w:p>
          <w:p w14:paraId="3A5E2DB5">
            <w:pPr>
              <w:spacing w:line="360" w:lineRule="auto"/>
              <w:ind w:firstLine="480" w:firstLineChars="200"/>
              <w:jc w:val="center"/>
              <w:rPr>
                <w:rFonts w:hint="eastAsia" w:ascii="仿宋" w:hAnsi="仿宋" w:eastAsia="仿宋" w:cs="仿宋"/>
                <w:sz w:val="24"/>
              </w:rPr>
            </w:pPr>
          </w:p>
        </w:tc>
        <w:tc>
          <w:tcPr>
            <w:tcW w:w="1363" w:type="dxa"/>
            <w:tcBorders>
              <w:top w:val="single" w:color="auto" w:sz="4" w:space="0"/>
              <w:left w:val="single" w:color="auto" w:sz="4" w:space="0"/>
              <w:bottom w:val="single" w:color="auto" w:sz="4" w:space="0"/>
              <w:right w:val="single" w:color="auto" w:sz="4" w:space="0"/>
            </w:tcBorders>
            <w:vAlign w:val="bottom"/>
          </w:tcPr>
          <w:p w14:paraId="4A0C5717">
            <w:pPr>
              <w:spacing w:line="360" w:lineRule="auto"/>
              <w:ind w:firstLine="480" w:firstLineChars="200"/>
              <w:jc w:val="center"/>
              <w:rPr>
                <w:rFonts w:hint="eastAsia" w:ascii="仿宋" w:hAnsi="仿宋" w:eastAsia="仿宋" w:cs="仿宋"/>
                <w:sz w:val="24"/>
              </w:rPr>
            </w:pPr>
          </w:p>
          <w:p w14:paraId="5675DB21">
            <w:pPr>
              <w:spacing w:line="360" w:lineRule="auto"/>
              <w:ind w:firstLine="480" w:firstLineChars="200"/>
              <w:jc w:val="center"/>
              <w:rPr>
                <w:rFonts w:hint="eastAsia" w:ascii="仿宋" w:hAnsi="仿宋" w:eastAsia="仿宋" w:cs="仿宋"/>
                <w:sz w:val="24"/>
              </w:rPr>
            </w:pPr>
          </w:p>
        </w:tc>
        <w:tc>
          <w:tcPr>
            <w:tcW w:w="1150" w:type="dxa"/>
            <w:tcBorders>
              <w:top w:val="single" w:color="auto" w:sz="4" w:space="0"/>
              <w:left w:val="single" w:color="auto" w:sz="4" w:space="0"/>
              <w:bottom w:val="single" w:color="auto" w:sz="4" w:space="0"/>
              <w:right w:val="single" w:color="auto" w:sz="4" w:space="0"/>
            </w:tcBorders>
            <w:vAlign w:val="bottom"/>
          </w:tcPr>
          <w:p w14:paraId="02646FA9">
            <w:pPr>
              <w:spacing w:line="360" w:lineRule="auto"/>
              <w:ind w:firstLine="480" w:firstLineChars="200"/>
              <w:jc w:val="center"/>
              <w:rPr>
                <w:rFonts w:hint="eastAsia" w:ascii="仿宋" w:hAnsi="仿宋" w:eastAsia="仿宋" w:cs="仿宋"/>
                <w:sz w:val="24"/>
              </w:rPr>
            </w:pPr>
          </w:p>
        </w:tc>
      </w:tr>
      <w:tr w14:paraId="34903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2340" w:type="dxa"/>
            <w:gridSpan w:val="2"/>
            <w:vMerge w:val="restart"/>
            <w:tcBorders>
              <w:top w:val="single" w:color="auto" w:sz="4" w:space="0"/>
              <w:left w:val="single" w:color="auto" w:sz="4" w:space="0"/>
              <w:right w:val="single" w:color="auto" w:sz="4" w:space="0"/>
            </w:tcBorders>
            <w:vAlign w:val="center"/>
          </w:tcPr>
          <w:p w14:paraId="76515EEE">
            <w:pPr>
              <w:spacing w:line="360" w:lineRule="auto"/>
              <w:rPr>
                <w:rFonts w:hint="eastAsia" w:ascii="仿宋" w:hAnsi="仿宋" w:eastAsia="仿宋" w:cs="仿宋"/>
                <w:sz w:val="24"/>
              </w:rPr>
            </w:pPr>
            <w:r>
              <w:rPr>
                <w:rFonts w:hint="eastAsia" w:ascii="仿宋" w:hAnsi="仿宋" w:eastAsia="仿宋" w:cs="仿宋"/>
                <w:sz w:val="24"/>
              </w:rPr>
              <w:t>合计（上述所有价格均为含税价）</w:t>
            </w:r>
          </w:p>
        </w:tc>
        <w:tc>
          <w:tcPr>
            <w:tcW w:w="3013" w:type="dxa"/>
            <w:gridSpan w:val="2"/>
            <w:tcBorders>
              <w:top w:val="single" w:color="auto" w:sz="4" w:space="0"/>
              <w:left w:val="single" w:color="auto" w:sz="4" w:space="0"/>
              <w:right w:val="single" w:color="auto" w:sz="4" w:space="0"/>
            </w:tcBorders>
            <w:vAlign w:val="bottom"/>
          </w:tcPr>
          <w:p w14:paraId="2AB3D11D">
            <w:pPr>
              <w:spacing w:line="360" w:lineRule="auto"/>
              <w:ind w:firstLine="480" w:firstLineChars="200"/>
              <w:jc w:val="center"/>
              <w:rPr>
                <w:rFonts w:hint="eastAsia" w:ascii="仿宋" w:hAnsi="仿宋" w:eastAsia="仿宋" w:cs="仿宋"/>
                <w:sz w:val="24"/>
              </w:rPr>
            </w:pPr>
            <w:r>
              <w:rPr>
                <w:rFonts w:hint="eastAsia" w:ascii="仿宋" w:hAnsi="仿宋" w:eastAsia="仿宋" w:cs="仿宋"/>
                <w:sz w:val="24"/>
              </w:rPr>
              <w:t>大写（人民币）</w:t>
            </w:r>
          </w:p>
        </w:tc>
        <w:tc>
          <w:tcPr>
            <w:tcW w:w="4052" w:type="dxa"/>
            <w:gridSpan w:val="3"/>
            <w:tcBorders>
              <w:top w:val="single" w:color="auto" w:sz="4" w:space="0"/>
              <w:left w:val="single" w:color="auto" w:sz="4" w:space="0"/>
              <w:bottom w:val="single" w:color="auto" w:sz="4" w:space="0"/>
              <w:right w:val="single" w:color="auto" w:sz="4" w:space="0"/>
            </w:tcBorders>
            <w:vAlign w:val="center"/>
          </w:tcPr>
          <w:p w14:paraId="4F6A1ABA">
            <w:pPr>
              <w:spacing w:line="360" w:lineRule="auto"/>
              <w:ind w:firstLine="480" w:firstLineChars="200"/>
              <w:jc w:val="center"/>
              <w:rPr>
                <w:rFonts w:hint="eastAsia" w:ascii="仿宋" w:hAnsi="仿宋" w:eastAsia="仿宋" w:cs="仿宋"/>
                <w:sz w:val="24"/>
              </w:rPr>
            </w:pPr>
          </w:p>
        </w:tc>
      </w:tr>
      <w:tr w14:paraId="7C214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40" w:type="dxa"/>
            <w:gridSpan w:val="2"/>
            <w:vMerge w:val="continue"/>
            <w:tcBorders>
              <w:left w:val="single" w:color="auto" w:sz="4" w:space="0"/>
              <w:bottom w:val="single" w:color="auto" w:sz="4" w:space="0"/>
              <w:right w:val="single" w:color="auto" w:sz="4" w:space="0"/>
            </w:tcBorders>
            <w:vAlign w:val="center"/>
          </w:tcPr>
          <w:p w14:paraId="1CE36A08">
            <w:pPr>
              <w:spacing w:line="360" w:lineRule="auto"/>
              <w:ind w:firstLine="480" w:firstLineChars="200"/>
              <w:jc w:val="center"/>
              <w:rPr>
                <w:rFonts w:hint="eastAsia" w:ascii="仿宋" w:hAnsi="仿宋" w:eastAsia="仿宋" w:cs="仿宋"/>
                <w:sz w:val="24"/>
              </w:rPr>
            </w:pPr>
          </w:p>
        </w:tc>
        <w:tc>
          <w:tcPr>
            <w:tcW w:w="3013" w:type="dxa"/>
            <w:gridSpan w:val="2"/>
            <w:tcBorders>
              <w:left w:val="single" w:color="auto" w:sz="4" w:space="0"/>
              <w:bottom w:val="single" w:color="auto" w:sz="4" w:space="0"/>
              <w:right w:val="single" w:color="auto" w:sz="4" w:space="0"/>
            </w:tcBorders>
            <w:vAlign w:val="bottom"/>
          </w:tcPr>
          <w:p w14:paraId="5B676BE7">
            <w:pPr>
              <w:spacing w:line="360" w:lineRule="auto"/>
              <w:ind w:firstLine="480" w:firstLineChars="200"/>
              <w:jc w:val="center"/>
              <w:rPr>
                <w:rFonts w:hint="eastAsia" w:ascii="仿宋" w:hAnsi="仿宋" w:eastAsia="仿宋" w:cs="仿宋"/>
                <w:sz w:val="24"/>
              </w:rPr>
            </w:pPr>
            <w:r>
              <w:rPr>
                <w:rFonts w:hint="eastAsia" w:ascii="仿宋" w:hAnsi="仿宋" w:eastAsia="仿宋" w:cs="仿宋"/>
                <w:sz w:val="24"/>
              </w:rPr>
              <w:t>小写（人民币）</w:t>
            </w:r>
          </w:p>
        </w:tc>
        <w:tc>
          <w:tcPr>
            <w:tcW w:w="4052" w:type="dxa"/>
            <w:gridSpan w:val="3"/>
            <w:tcBorders>
              <w:top w:val="single" w:color="auto" w:sz="4" w:space="0"/>
              <w:left w:val="single" w:color="auto" w:sz="4" w:space="0"/>
              <w:bottom w:val="single" w:color="auto" w:sz="4" w:space="0"/>
              <w:right w:val="single" w:color="auto" w:sz="4" w:space="0"/>
            </w:tcBorders>
            <w:vAlign w:val="center"/>
          </w:tcPr>
          <w:p w14:paraId="29A36332">
            <w:pPr>
              <w:spacing w:line="360" w:lineRule="auto"/>
              <w:ind w:firstLine="480" w:firstLineChars="200"/>
              <w:jc w:val="center"/>
              <w:rPr>
                <w:rFonts w:hint="eastAsia" w:ascii="仿宋" w:hAnsi="仿宋" w:eastAsia="仿宋" w:cs="仿宋"/>
                <w:sz w:val="24"/>
              </w:rPr>
            </w:pPr>
          </w:p>
        </w:tc>
      </w:tr>
      <w:tr w14:paraId="0C24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17" w:type="dxa"/>
            <w:tcBorders>
              <w:top w:val="single" w:color="auto" w:sz="4" w:space="0"/>
              <w:left w:val="single" w:color="auto" w:sz="4" w:space="0"/>
              <w:bottom w:val="single" w:color="auto" w:sz="4" w:space="0"/>
              <w:right w:val="single" w:color="auto" w:sz="4" w:space="0"/>
            </w:tcBorders>
            <w:vAlign w:val="bottom"/>
          </w:tcPr>
          <w:p w14:paraId="24878F0C">
            <w:pPr>
              <w:spacing w:line="360" w:lineRule="auto"/>
              <w:rPr>
                <w:rFonts w:hint="eastAsia" w:ascii="仿宋" w:hAnsi="仿宋" w:eastAsia="仿宋" w:cs="仿宋"/>
                <w:sz w:val="24"/>
              </w:rPr>
            </w:pPr>
            <w:r>
              <w:rPr>
                <w:rFonts w:hint="eastAsia" w:ascii="仿宋" w:hAnsi="仿宋" w:eastAsia="仿宋" w:cs="仿宋"/>
                <w:sz w:val="24"/>
              </w:rPr>
              <w:t>说明</w:t>
            </w:r>
          </w:p>
        </w:tc>
        <w:tc>
          <w:tcPr>
            <w:tcW w:w="8588" w:type="dxa"/>
            <w:gridSpan w:val="6"/>
            <w:tcBorders>
              <w:top w:val="single" w:color="auto" w:sz="4" w:space="0"/>
              <w:left w:val="single" w:color="auto" w:sz="4" w:space="0"/>
              <w:bottom w:val="single" w:color="auto" w:sz="4" w:space="0"/>
              <w:right w:val="single" w:color="auto" w:sz="4" w:space="0"/>
            </w:tcBorders>
            <w:vAlign w:val="bottom"/>
          </w:tcPr>
          <w:p w14:paraId="7F877F1F">
            <w:pPr>
              <w:spacing w:line="360" w:lineRule="auto"/>
              <w:ind w:firstLine="480" w:firstLineChars="200"/>
              <w:rPr>
                <w:rFonts w:hint="eastAsia" w:ascii="仿宋" w:hAnsi="仿宋" w:eastAsia="仿宋" w:cs="仿宋"/>
                <w:sz w:val="24"/>
              </w:rPr>
            </w:pPr>
            <w:r>
              <w:rPr>
                <w:rFonts w:hint="eastAsia" w:ascii="仿宋" w:hAnsi="仿宋" w:eastAsia="仿宋" w:cs="仿宋"/>
                <w:sz w:val="24"/>
              </w:rPr>
              <w:t>技术指标、服务承诺等见附件。</w:t>
            </w:r>
          </w:p>
        </w:tc>
      </w:tr>
    </w:tbl>
    <w:p w14:paraId="77BB8B1D">
      <w:pPr>
        <w:numPr>
          <w:ilvl w:val="0"/>
          <w:numId w:val="1"/>
        </w:numPr>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履约保证金</w:t>
      </w:r>
    </w:p>
    <w:p w14:paraId="70D4CAC6">
      <w:pPr>
        <w:pStyle w:val="7"/>
        <w:ind w:firstLine="464" w:firstLineChars="200"/>
        <w:rPr>
          <w:rFonts w:hint="eastAsia" w:ascii="仿宋" w:hAnsi="仿宋" w:eastAsia="仿宋" w:cs="仿宋"/>
          <w:color w:val="auto"/>
          <w:spacing w:val="-4"/>
          <w:kern w:val="0"/>
          <w:highlight w:val="yellow"/>
        </w:rPr>
      </w:pPr>
      <w:r>
        <w:rPr>
          <w:rFonts w:hint="eastAsia" w:ascii="仿宋" w:hAnsi="仿宋" w:eastAsia="仿宋" w:cs="仿宋"/>
          <w:color w:val="auto"/>
          <w:spacing w:val="-4"/>
          <w:kern w:val="0"/>
        </w:rPr>
        <w:t>本项目须缴纳履约保证金，履约保证金的金额为合同价款的5%，</w:t>
      </w:r>
      <w:r>
        <w:rPr>
          <w:rFonts w:ascii="仿宋" w:hAnsi="仿宋" w:eastAsia="仿宋" w:cs="仿宋"/>
          <w:color w:val="auto"/>
          <w:spacing w:val="-4"/>
          <w:kern w:val="0"/>
        </w:rPr>
        <w:t>乙方应在供货合同签订之</w:t>
      </w:r>
      <w:r>
        <w:rPr>
          <w:rFonts w:hint="eastAsia" w:ascii="仿宋" w:hAnsi="仿宋" w:eastAsia="仿宋" w:cs="仿宋"/>
          <w:color w:val="auto"/>
          <w:spacing w:val="-4"/>
          <w:kern w:val="0"/>
        </w:rPr>
        <w:t>后14个日历日内</w:t>
      </w:r>
      <w:r>
        <w:rPr>
          <w:rFonts w:ascii="仿宋" w:hAnsi="仿宋" w:eastAsia="仿宋" w:cs="仿宋"/>
          <w:color w:val="auto"/>
          <w:spacing w:val="-4"/>
          <w:kern w:val="0"/>
        </w:rPr>
        <w:t>向甲方提交履约保证金，履约保证金提交的方式为银行转账或履约担保函</w:t>
      </w:r>
      <w:r>
        <w:rPr>
          <w:rFonts w:hint="eastAsia" w:ascii="仿宋" w:hAnsi="仿宋" w:eastAsia="仿宋" w:cs="仿宋"/>
          <w:color w:val="auto"/>
          <w:spacing w:val="-4"/>
          <w:kern w:val="0"/>
        </w:rPr>
        <w:t>，最终验收合格后无息退还。</w:t>
      </w:r>
    </w:p>
    <w:p w14:paraId="2E73F5DB">
      <w:pPr>
        <w:spacing w:line="360" w:lineRule="auto"/>
        <w:ind w:firstLine="482" w:firstLineChars="200"/>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三、合同价款</w:t>
      </w:r>
    </w:p>
    <w:p w14:paraId="31ABAA00">
      <w:pPr>
        <w:spacing w:line="360" w:lineRule="auto"/>
        <w:ind w:firstLine="480" w:firstLineChars="200"/>
        <w:rPr>
          <w:rFonts w:hint="eastAsia" w:ascii="仿宋" w:hAnsi="仿宋" w:eastAsia="仿宋" w:cs="仿宋"/>
          <w:b/>
          <w:bCs/>
          <w:sz w:val="24"/>
        </w:rPr>
      </w:pPr>
      <w:r>
        <w:rPr>
          <w:rFonts w:hint="eastAsia" w:ascii="仿宋" w:hAnsi="仿宋" w:eastAsia="仿宋" w:cs="仿宋"/>
          <w:sz w:val="24"/>
        </w:rPr>
        <w:t>（一）合同总价款为人民币（大写）          ：（¥：        ）。</w:t>
      </w:r>
    </w:p>
    <w:p w14:paraId="21A59ADE">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（二）合同总价包括：合同总价为一次性包死，包括所发生的运输费、杂费（含保险）、商检费、搬运费、安装费等一切费用。合同总价不可变更，不受市场价格或汇率变化的影响。</w:t>
      </w:r>
    </w:p>
    <w:p w14:paraId="6932FA75">
      <w:pPr>
        <w:spacing w:line="360" w:lineRule="auto"/>
        <w:ind w:firstLine="480" w:firstLineChars="200"/>
        <w:rPr>
          <w:rFonts w:hint="eastAsia" w:ascii="仿宋" w:hAnsi="仿宋" w:eastAsia="仿宋" w:cs="仿宋"/>
          <w:sz w:val="24"/>
        </w:rPr>
      </w:pPr>
      <w:r>
        <w:rPr>
          <w:rFonts w:hint="eastAsia" w:ascii="仿宋" w:hAnsi="仿宋" w:eastAsia="仿宋" w:cs="仿宋"/>
          <w:sz w:val="24"/>
        </w:rPr>
        <w:t>（三）款项结算</w:t>
      </w:r>
    </w:p>
    <w:p w14:paraId="63BF431A">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1、经甲方首次验收合格后，达到付款条件起14个日历日内，支付合同总价款的40%。</w:t>
      </w:r>
    </w:p>
    <w:p w14:paraId="3B7E2C2A">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2、供货2个月，经甲方阶段性验收合格后，达到付款条件起14个日历日内，支付合同总价款的20%。</w:t>
      </w:r>
    </w:p>
    <w:p w14:paraId="72711A6D">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3、供货4个月，经甲方阶段性验收合格后，达到付款条件起14个日历日内，支付合同总价款的20%。</w:t>
      </w:r>
    </w:p>
    <w:p w14:paraId="780FB943">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4、2026年12月20日前，经甲方阶段性验收合格，达到付款条件起14个日历日内，支付合同总金额的20.00%。</w:t>
      </w:r>
    </w:p>
    <w:p w14:paraId="0E432E50">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5、乙方完成全部供货后，经甲方最终验收合格后，14个日历日内，无息退还履约保证金。</w:t>
      </w:r>
    </w:p>
    <w:p w14:paraId="425466FD">
      <w:pPr>
        <w:spacing w:line="360" w:lineRule="auto"/>
        <w:ind w:firstLine="480" w:firstLineChars="200"/>
        <w:rPr>
          <w:rFonts w:hint="eastAsia" w:ascii="仿宋" w:hAnsi="仿宋" w:eastAsia="仿宋" w:cs="仿宋"/>
          <w:sz w:val="24"/>
        </w:rPr>
      </w:pPr>
      <w:r>
        <w:rPr>
          <w:rFonts w:hint="eastAsia" w:ascii="仿宋" w:hAnsi="仿宋" w:eastAsia="仿宋" w:cs="仿宋"/>
          <w:sz w:val="24"/>
        </w:rPr>
        <w:t>（四）支付方式：银行转帐。</w:t>
      </w:r>
    </w:p>
    <w:p w14:paraId="3AFFCD08">
      <w:pPr>
        <w:ind w:firstLine="480" w:firstLineChars="200"/>
        <w:rPr>
          <w:rFonts w:hint="eastAsia" w:ascii="仿宋" w:hAnsi="仿宋" w:eastAsia="仿宋" w:cs="仿宋"/>
          <w:sz w:val="24"/>
        </w:rPr>
      </w:pPr>
      <w:r>
        <w:rPr>
          <w:rFonts w:hint="eastAsia" w:ascii="仿宋" w:hAnsi="仿宋" w:eastAsia="仿宋" w:cs="仿宋"/>
          <w:sz w:val="24"/>
        </w:rPr>
        <w:t>（五）每次付款前，乙方应向甲方开具等额有效真实的增值税发票，否则甲方有权拒绝付款。</w:t>
      </w:r>
    </w:p>
    <w:p w14:paraId="02696C93">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四、交货条件</w:t>
      </w:r>
    </w:p>
    <w:p w14:paraId="2176ED84">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（一）交货地点：甲方指定地点，产品交付验收合格前的所有风险均由乙方承担。</w:t>
      </w:r>
    </w:p>
    <w:p w14:paraId="6A829793">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（二）交货方式：分批次交付，甲方根据实际需求进行下单订货，直到所有已付合同款项使用完毕。</w:t>
      </w:r>
    </w:p>
    <w:p w14:paraId="2EFDE335">
      <w:pPr>
        <w:kinsoku w:val="0"/>
        <w:spacing w:line="360" w:lineRule="auto"/>
        <w:ind w:firstLine="480" w:firstLineChars="200"/>
        <w:rPr>
          <w:rFonts w:hint="eastAsia" w:ascii="仿宋" w:hAnsi="仿宋" w:eastAsia="仿宋" w:cs="仿宋"/>
          <w:kern w:val="0"/>
          <w:sz w:val="24"/>
        </w:rPr>
      </w:pPr>
      <w:r>
        <w:rPr>
          <w:rFonts w:hint="eastAsia" w:ascii="仿宋" w:hAnsi="仿宋" w:eastAsia="仿宋" w:cs="仿宋"/>
          <w:sz w:val="24"/>
        </w:rPr>
        <w:t>（三）交货日期：自甲方下订单起48小时内乙方将甲方订单中的货物交付至甲方或甲方指定地点。</w:t>
      </w:r>
    </w:p>
    <w:p w14:paraId="5D0224F2">
      <w:pPr>
        <w:spacing w:line="360" w:lineRule="auto"/>
        <w:ind w:firstLine="482" w:firstLineChars="200"/>
        <w:rPr>
          <w:rFonts w:hint="eastAsia" w:ascii="仿宋" w:hAnsi="仿宋" w:eastAsia="仿宋" w:cs="仿宋"/>
          <w:sz w:val="24"/>
        </w:rPr>
      </w:pPr>
      <w:r>
        <w:rPr>
          <w:rFonts w:hint="eastAsia" w:ascii="仿宋" w:hAnsi="仿宋" w:eastAsia="仿宋" w:cs="仿宋"/>
          <w:b/>
          <w:sz w:val="24"/>
        </w:rPr>
        <w:t>五、运输方式：</w:t>
      </w:r>
      <w:r>
        <w:rPr>
          <w:rFonts w:hint="eastAsia" w:ascii="仿宋" w:hAnsi="仿宋" w:eastAsia="仿宋" w:cs="仿宋"/>
          <w:bCs/>
          <w:sz w:val="24"/>
        </w:rPr>
        <w:t>乙方应</w:t>
      </w:r>
      <w:r>
        <w:rPr>
          <w:rFonts w:hint="eastAsia" w:ascii="仿宋" w:hAnsi="仿宋" w:eastAsia="仿宋" w:cs="仿宋"/>
          <w:sz w:val="24"/>
        </w:rPr>
        <w:t>根据产品特性在保证产品质量的前提下，自行选择运输及包装方式，产生的一切费用全部由乙方承担。</w:t>
      </w:r>
    </w:p>
    <w:p w14:paraId="365036B3">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六、质量保证</w:t>
      </w:r>
    </w:p>
    <w:p w14:paraId="3E4F424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（一）乙方提供的产品必须满足招投标文件及合同约定的技术参数要求。</w:t>
      </w:r>
    </w:p>
    <w:p w14:paraId="01AD6732">
      <w:pPr>
        <w:spacing w:line="360" w:lineRule="auto"/>
        <w:ind w:firstLine="480" w:firstLineChars="200"/>
        <w:rPr>
          <w:rFonts w:hint="eastAsia" w:ascii="仿宋" w:hAnsi="仿宋" w:eastAsia="仿宋" w:cs="仿宋"/>
          <w:sz w:val="24"/>
        </w:rPr>
      </w:pPr>
      <w:r>
        <w:rPr>
          <w:rFonts w:hint="eastAsia" w:ascii="仿宋" w:hAnsi="仿宋" w:eastAsia="仿宋" w:cs="仿宋"/>
          <w:sz w:val="24"/>
        </w:rPr>
        <w:t>（二）乙方保证货物应是全新、未曾使用过的、优质工艺及材料制造的产品，并保证所供产品的完整性（包括产品的技术手册、出厂说明、合格证明等），并确保供应产品在到货验收时剩余使用期限不得少于总使用期限的70%。</w:t>
      </w:r>
    </w:p>
    <w:p w14:paraId="745CA9C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（三）乙方保证所提供的产品质量可靠、进货渠道正规、技术性能完全符合投标文件。</w:t>
      </w:r>
    </w:p>
    <w:p w14:paraId="21E91A9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（四）乙方应随产品提供检验报告等证明产品合格的相关材料。</w:t>
      </w:r>
    </w:p>
    <w:p w14:paraId="06AF1783">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sz w:val="24"/>
        </w:rPr>
        <w:t>（五）产品</w:t>
      </w:r>
      <w:r>
        <w:rPr>
          <w:rFonts w:hint="eastAsia" w:ascii="仿宋" w:hAnsi="仿宋" w:eastAsia="仿宋" w:cs="仿宋"/>
          <w:bCs/>
          <w:sz w:val="24"/>
        </w:rPr>
        <w:t>性能未达到投标文件、合同文本技术参数要求的，甲方有权拒绝验收或退货。</w:t>
      </w:r>
    </w:p>
    <w:p w14:paraId="0625B697">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(六)乙方应采用符合安全标准的包装，确保供应货物安全储存。</w:t>
      </w:r>
    </w:p>
    <w:p w14:paraId="6FDA6298">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七、质保期与承诺</w:t>
      </w:r>
    </w:p>
    <w:p w14:paraId="280553B6">
      <w:pPr>
        <w:adjustRightInd w:val="0"/>
        <w:snapToGrid w:val="0"/>
        <w:spacing w:line="360" w:lineRule="auto"/>
        <w:ind w:firstLine="480" w:firstLineChars="200"/>
        <w:rPr>
          <w:rFonts w:hint="eastAsia" w:ascii="仿宋" w:hAnsi="仿宋" w:eastAsia="仿宋" w:cs="仿宋"/>
          <w:color w:val="FF0000"/>
          <w:sz w:val="24"/>
        </w:rPr>
      </w:pPr>
      <w:r>
        <w:rPr>
          <w:rFonts w:hint="eastAsia" w:ascii="仿宋" w:hAnsi="仿宋" w:eastAsia="仿宋" w:cs="仿宋"/>
          <w:sz w:val="24"/>
        </w:rPr>
        <w:t>（一）产品的质保期起算时间自产品验收合格之日起</w:t>
      </w:r>
      <w:r>
        <w:rPr>
          <w:rFonts w:hint="eastAsia" w:ascii="仿宋" w:hAnsi="仿宋" w:eastAsia="仿宋" w:cs="仿宋"/>
          <w:sz w:val="24"/>
          <w:u w:val="single"/>
        </w:rPr>
        <w:t xml:space="preserve">      </w:t>
      </w:r>
      <w:r>
        <w:rPr>
          <w:rFonts w:hint="eastAsia" w:ascii="仿宋" w:hAnsi="仿宋" w:eastAsia="仿宋" w:cs="仿宋"/>
          <w:sz w:val="24"/>
        </w:rPr>
        <w:t>年。</w:t>
      </w:r>
    </w:p>
    <w:p w14:paraId="6F693592">
      <w:pPr>
        <w:spacing w:line="360" w:lineRule="auto"/>
        <w:ind w:firstLine="480" w:firstLineChars="200"/>
        <w:rPr>
          <w:rFonts w:hint="eastAsia" w:ascii="仿宋" w:hAnsi="仿宋" w:eastAsia="仿宋" w:cs="仿宋"/>
          <w:sz w:val="24"/>
        </w:rPr>
      </w:pPr>
      <w:r>
        <w:rPr>
          <w:rFonts w:hint="eastAsia" w:ascii="仿宋" w:hAnsi="仿宋" w:eastAsia="仿宋" w:cs="仿宋"/>
          <w:sz w:val="24"/>
        </w:rPr>
        <w:t>（二）质保期内，若发生产品质量问题，乙方应在接到甲方通知后48小时内予以调换，产生的所有费用均由乙方承担。乙方未在规定时间内解决的，甲方有权聘请其他第三方解决，产生的费用从合同款中扣除，不足的部分由乙方承担。</w:t>
      </w:r>
    </w:p>
    <w:p w14:paraId="323914AE">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（三）超过质保期的维修服务，只收取单程的运保费。乙方应对提供产品有上门更换、终身维护的职责，对其所供产品应能提供质保期外的原厂商技术服务支持。</w:t>
      </w:r>
    </w:p>
    <w:p w14:paraId="52DB2DC1">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八、供货及技术服务</w:t>
      </w:r>
    </w:p>
    <w:p w14:paraId="3D771716">
      <w:pPr>
        <w:spacing w:line="360" w:lineRule="auto"/>
        <w:ind w:firstLine="480" w:firstLineChars="200"/>
        <w:rPr>
          <w:rFonts w:hint="eastAsia" w:ascii="仿宋" w:hAnsi="仿宋" w:eastAsia="仿宋" w:cs="仿宋"/>
          <w:sz w:val="24"/>
        </w:rPr>
      </w:pPr>
      <w:r>
        <w:rPr>
          <w:rFonts w:hint="eastAsia" w:ascii="仿宋" w:hAnsi="仿宋" w:eastAsia="仿宋" w:cs="仿宋"/>
          <w:sz w:val="24"/>
        </w:rPr>
        <w:t>（一）技术资料包括：出厂检测报告、产品使用说明书、合格证等其它相关资料。</w:t>
      </w:r>
    </w:p>
    <w:p w14:paraId="1CBD75E5">
      <w:pPr>
        <w:spacing w:line="360" w:lineRule="auto"/>
        <w:ind w:firstLine="480" w:firstLineChars="200"/>
        <w:rPr>
          <w:rFonts w:hint="eastAsia" w:ascii="仿宋" w:hAnsi="仿宋" w:eastAsia="仿宋" w:cs="仿宋"/>
          <w:sz w:val="24"/>
        </w:rPr>
      </w:pPr>
      <w:r>
        <w:rPr>
          <w:rFonts w:hint="eastAsia" w:ascii="仿宋" w:hAnsi="仿宋" w:eastAsia="仿宋" w:cs="仿宋"/>
          <w:sz w:val="24"/>
        </w:rPr>
        <w:t>（二）产品的性能、稳定性等未达到投标文件及合同文本技术参数要求，甲方有权拒绝验收，并有权解除合同。</w:t>
      </w:r>
    </w:p>
    <w:p w14:paraId="2B608FE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（三）服务承诺：按投标文件中的服务承诺执行。</w:t>
      </w:r>
    </w:p>
    <w:p w14:paraId="327E911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（四）运输配送过程中出现的安全责任问题由乙方全权负责，若造成损失由乙方负责赔偿。</w:t>
      </w:r>
    </w:p>
    <w:p w14:paraId="3C906A28">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九、产品验收</w:t>
      </w:r>
    </w:p>
    <w:p w14:paraId="0B455BB9">
      <w:pPr>
        <w:spacing w:line="360" w:lineRule="auto"/>
        <w:ind w:firstLine="480" w:firstLineChars="200"/>
        <w:rPr>
          <w:rFonts w:hint="eastAsia" w:ascii="仿宋" w:hAnsi="仿宋" w:eastAsia="仿宋" w:cs="仿宋"/>
          <w:sz w:val="24"/>
        </w:rPr>
      </w:pPr>
      <w:r>
        <w:rPr>
          <w:rFonts w:hint="eastAsia" w:ascii="仿宋" w:hAnsi="仿宋" w:eastAsia="仿宋" w:cs="仿宋"/>
          <w:sz w:val="24"/>
        </w:rPr>
        <w:t>（一）乙方应在产品到货后，将货物送达指定地点，书面通知甲方验收。</w:t>
      </w:r>
    </w:p>
    <w:p w14:paraId="7EDC7DDA">
      <w:pPr>
        <w:spacing w:line="360" w:lineRule="auto"/>
        <w:ind w:firstLine="480" w:firstLineChars="200"/>
        <w:rPr>
          <w:rFonts w:hint="eastAsia" w:ascii="仿宋" w:hAnsi="仿宋" w:eastAsia="仿宋" w:cs="仿宋"/>
          <w:sz w:val="24"/>
        </w:rPr>
      </w:pPr>
      <w:r>
        <w:rPr>
          <w:rFonts w:hint="eastAsia" w:ascii="仿宋" w:hAnsi="仿宋" w:eastAsia="仿宋" w:cs="仿宋"/>
          <w:sz w:val="24"/>
        </w:rPr>
        <w:t>（二）提供完整的产品使用说明书、合格证等其它相关资料；提供制造厂家的检验测试报告或出厂检测报告。</w:t>
      </w:r>
    </w:p>
    <w:p w14:paraId="6BD5167E">
      <w:pPr>
        <w:spacing w:line="360" w:lineRule="auto"/>
        <w:ind w:firstLine="480" w:firstLineChars="200"/>
        <w:rPr>
          <w:rFonts w:hint="eastAsia" w:ascii="仿宋" w:hAnsi="仿宋" w:eastAsia="仿宋" w:cs="仿宋"/>
          <w:sz w:val="24"/>
        </w:rPr>
      </w:pPr>
      <w:r>
        <w:rPr>
          <w:rFonts w:hint="eastAsia" w:ascii="仿宋" w:hAnsi="仿宋" w:eastAsia="仿宋" w:cs="仿宋"/>
          <w:sz w:val="24"/>
        </w:rPr>
        <w:t>（三）甲方根据合同要求对产品进行验收、确认产品的产地、规格、型号和数量。验收依据为</w:t>
      </w:r>
      <w:bookmarkStart w:id="0" w:name="_Toc337393760"/>
      <w:r>
        <w:rPr>
          <w:rFonts w:hint="eastAsia" w:ascii="仿宋" w:hAnsi="仿宋" w:eastAsia="仿宋" w:cs="仿宋"/>
          <w:sz w:val="24"/>
        </w:rPr>
        <w:t>本合同文本、招投标文件和国内相应的标准、规范</w:t>
      </w:r>
      <w:bookmarkEnd w:id="0"/>
      <w:bookmarkStart w:id="1" w:name="_Toc337393761"/>
      <w:r>
        <w:rPr>
          <w:rFonts w:hint="eastAsia" w:ascii="仿宋" w:hAnsi="仿宋" w:eastAsia="仿宋" w:cs="仿宋"/>
          <w:sz w:val="24"/>
        </w:rPr>
        <w:t>。</w:t>
      </w:r>
      <w:bookmarkEnd w:id="1"/>
    </w:p>
    <w:p w14:paraId="68CCDB2E">
      <w:pPr>
        <w:spacing w:line="360" w:lineRule="auto"/>
        <w:ind w:firstLine="480" w:firstLineChars="200"/>
        <w:rPr>
          <w:rFonts w:hint="eastAsia" w:ascii="仿宋" w:hAnsi="仿宋" w:eastAsia="仿宋" w:cs="仿宋"/>
          <w:sz w:val="24"/>
        </w:rPr>
      </w:pPr>
      <w:r>
        <w:rPr>
          <w:rFonts w:hint="eastAsia" w:ascii="仿宋" w:hAnsi="仿宋" w:eastAsia="仿宋" w:cs="仿宋"/>
          <w:sz w:val="24"/>
        </w:rPr>
        <w:t>（四）验收合格后，填写产品验收单，并向甲方提交产品所包含的所有资料，以便使用单位日后管理和维护。</w:t>
      </w:r>
    </w:p>
    <w:p w14:paraId="160153D9">
      <w:pPr>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十、双方的权利和义务</w:t>
      </w:r>
    </w:p>
    <w:p w14:paraId="4BFA6108">
      <w:pPr>
        <w:spacing w:line="360" w:lineRule="auto"/>
        <w:ind w:firstLine="480" w:firstLineChars="200"/>
        <w:rPr>
          <w:rFonts w:hint="eastAsia" w:ascii="仿宋" w:hAnsi="仿宋" w:eastAsia="仿宋" w:cs="仿宋"/>
          <w:sz w:val="24"/>
        </w:rPr>
      </w:pPr>
      <w:r>
        <w:rPr>
          <w:rFonts w:hint="eastAsia" w:ascii="仿宋" w:hAnsi="仿宋" w:eastAsia="仿宋" w:cs="仿宋"/>
          <w:sz w:val="24"/>
        </w:rPr>
        <w:t>（一）甲方的权利和义务</w:t>
      </w:r>
    </w:p>
    <w:p w14:paraId="5F694865">
      <w:pPr>
        <w:spacing w:line="360" w:lineRule="auto"/>
        <w:ind w:firstLine="480" w:firstLineChars="200"/>
        <w:rPr>
          <w:rFonts w:hint="eastAsia" w:ascii="仿宋" w:hAnsi="仿宋" w:eastAsia="仿宋" w:cs="仿宋"/>
          <w:sz w:val="24"/>
        </w:rPr>
      </w:pPr>
      <w:r>
        <w:rPr>
          <w:rFonts w:hint="eastAsia" w:ascii="仿宋" w:hAnsi="仿宋" w:eastAsia="仿宋" w:cs="仿宋"/>
          <w:sz w:val="24"/>
        </w:rPr>
        <w:t>1、甲方应积极配合乙方，并组织相关专家或技术人员进行产品的验收工作。</w:t>
      </w:r>
    </w:p>
    <w:p w14:paraId="650B3862">
      <w:pPr>
        <w:spacing w:line="360" w:lineRule="auto"/>
        <w:ind w:firstLine="480" w:firstLineChars="200"/>
        <w:rPr>
          <w:rFonts w:hint="eastAsia" w:ascii="仿宋" w:hAnsi="仿宋" w:eastAsia="仿宋" w:cs="仿宋"/>
          <w:sz w:val="24"/>
        </w:rPr>
      </w:pPr>
      <w:r>
        <w:rPr>
          <w:rFonts w:hint="eastAsia" w:ascii="仿宋" w:hAnsi="仿宋" w:eastAsia="仿宋" w:cs="仿宋"/>
          <w:sz w:val="24"/>
        </w:rPr>
        <w:t>2、产品货物到达甲方后，若发现产品与招投标文件、合同文本不符，甲方有权终止合同。</w:t>
      </w:r>
    </w:p>
    <w:p w14:paraId="7A7F04CE">
      <w:pPr>
        <w:spacing w:line="360" w:lineRule="auto"/>
        <w:ind w:firstLine="480" w:firstLineChars="200"/>
        <w:rPr>
          <w:rFonts w:hint="eastAsia" w:ascii="仿宋" w:hAnsi="仿宋" w:eastAsia="仿宋" w:cs="仿宋"/>
          <w:sz w:val="24"/>
        </w:rPr>
      </w:pPr>
      <w:r>
        <w:rPr>
          <w:rFonts w:hint="eastAsia" w:ascii="仿宋" w:hAnsi="仿宋" w:eastAsia="仿宋" w:cs="仿宋"/>
          <w:sz w:val="24"/>
        </w:rPr>
        <w:t>3、甲方在乙方货物送达后，并进行验收，验收合格后在规定的时间内及时办理验收手续（政府采购项目验收单）。</w:t>
      </w:r>
    </w:p>
    <w:p w14:paraId="75E840AE">
      <w:pPr>
        <w:spacing w:line="360" w:lineRule="auto"/>
        <w:ind w:firstLine="480" w:firstLineChars="200"/>
        <w:rPr>
          <w:rFonts w:hint="eastAsia" w:ascii="仿宋" w:hAnsi="仿宋" w:eastAsia="仿宋" w:cs="仿宋"/>
          <w:sz w:val="24"/>
        </w:rPr>
      </w:pPr>
      <w:r>
        <w:rPr>
          <w:rFonts w:hint="eastAsia" w:ascii="仿宋" w:hAnsi="仿宋" w:eastAsia="仿宋" w:cs="仿宋"/>
          <w:sz w:val="24"/>
        </w:rPr>
        <w:t>4、甲方在乙方货物送达后若发现存在潜在的产品质量问题，有权终止对产品进行验收，并以书面形式通知乙方，甲方有权要求乙方进行退货或换货处理。造成损失甲方有权要求乙方承担索赔、罚款。</w:t>
      </w:r>
    </w:p>
    <w:p w14:paraId="6A063823">
      <w:pPr>
        <w:spacing w:line="360" w:lineRule="auto"/>
        <w:ind w:firstLine="480" w:firstLineChars="200"/>
        <w:rPr>
          <w:rFonts w:hint="eastAsia" w:ascii="仿宋" w:hAnsi="仿宋" w:eastAsia="仿宋" w:cs="仿宋"/>
          <w:sz w:val="24"/>
        </w:rPr>
      </w:pPr>
      <w:r>
        <w:rPr>
          <w:rFonts w:hint="eastAsia" w:ascii="仿宋" w:hAnsi="仿宋" w:eastAsia="仿宋" w:cs="仿宋"/>
          <w:sz w:val="24"/>
        </w:rPr>
        <w:t>（二）乙方的权利和义务</w:t>
      </w:r>
    </w:p>
    <w:p w14:paraId="0BA48A55">
      <w:pPr>
        <w:spacing w:line="360" w:lineRule="auto"/>
        <w:ind w:firstLine="480" w:firstLineChars="200"/>
        <w:rPr>
          <w:rFonts w:hint="eastAsia" w:ascii="仿宋" w:hAnsi="仿宋" w:eastAsia="仿宋" w:cs="仿宋"/>
          <w:sz w:val="24"/>
        </w:rPr>
      </w:pPr>
      <w:r>
        <w:rPr>
          <w:rFonts w:hint="eastAsia" w:ascii="仿宋" w:hAnsi="仿宋" w:eastAsia="仿宋" w:cs="仿宋"/>
          <w:sz w:val="24"/>
        </w:rPr>
        <w:t>1、乙方提供产品必须是满足合同配置的全新产品。国产产品必须符合国家有关质量标准，进口产品必须符合产品的原厂标准及有关的国际标准。</w:t>
      </w:r>
    </w:p>
    <w:p w14:paraId="425B9CC5">
      <w:pPr>
        <w:spacing w:line="360" w:lineRule="auto"/>
        <w:ind w:firstLine="480" w:firstLineChars="200"/>
        <w:rPr>
          <w:rFonts w:hint="eastAsia" w:ascii="仿宋" w:hAnsi="仿宋" w:eastAsia="仿宋" w:cs="仿宋"/>
          <w:sz w:val="24"/>
        </w:rPr>
      </w:pPr>
      <w:r>
        <w:rPr>
          <w:rFonts w:hint="eastAsia" w:ascii="仿宋" w:hAnsi="仿宋" w:eastAsia="仿宋" w:cs="仿宋"/>
          <w:sz w:val="24"/>
        </w:rPr>
        <w:t>2、乙方保证所供产品来源渠道合法，产品是全新未使用过、且完全符合合同规定的质量、规格、技术指标等要求，使用的原材料应提供清单，并在质保期内、外应对由于设备设计、工艺或材料的缺陷而产生的质量问题负责。</w:t>
      </w:r>
    </w:p>
    <w:p w14:paraId="4F9A0CC1">
      <w:pPr>
        <w:spacing w:line="360" w:lineRule="auto"/>
        <w:ind w:firstLine="480" w:firstLineChars="200"/>
        <w:rPr>
          <w:rFonts w:hint="eastAsia" w:ascii="仿宋" w:hAnsi="仿宋" w:eastAsia="仿宋" w:cs="仿宋"/>
          <w:sz w:val="24"/>
        </w:rPr>
      </w:pPr>
      <w:r>
        <w:rPr>
          <w:rFonts w:hint="eastAsia" w:ascii="仿宋" w:hAnsi="仿宋" w:eastAsia="仿宋" w:cs="仿宋"/>
          <w:sz w:val="24"/>
        </w:rPr>
        <w:t>3、技术保障：乙方必须随产品向甲方提供产品使用说明书和相关的资料（包括产品合格证、装箱清单、使用说明书、检验报告、维护手册、服务指南等资料）。乙方应向甲方随同产品提供相应的中文技术文件，如：所供说明书和资料是外文的，乙方应为甲方提供中文版或译成中文文件。</w:t>
      </w:r>
    </w:p>
    <w:p w14:paraId="63E82420">
      <w:pPr>
        <w:spacing w:line="360" w:lineRule="auto"/>
        <w:ind w:firstLine="480" w:firstLineChars="200"/>
        <w:rPr>
          <w:rFonts w:hint="eastAsia" w:ascii="仿宋" w:hAnsi="仿宋" w:eastAsia="仿宋" w:cs="仿宋"/>
          <w:sz w:val="24"/>
        </w:rPr>
      </w:pPr>
      <w:r>
        <w:rPr>
          <w:rFonts w:hint="eastAsia" w:ascii="仿宋" w:hAnsi="仿宋" w:eastAsia="仿宋" w:cs="仿宋"/>
          <w:sz w:val="24"/>
        </w:rPr>
        <w:t>4、乙方对产品应保证质量，确保能够正常使用。</w:t>
      </w:r>
    </w:p>
    <w:p w14:paraId="5BBEBB90">
      <w:pPr>
        <w:spacing w:line="360" w:lineRule="auto"/>
        <w:ind w:firstLine="480" w:firstLineChars="200"/>
        <w:rPr>
          <w:rFonts w:hint="eastAsia" w:ascii="仿宋" w:hAnsi="仿宋" w:eastAsia="仿宋" w:cs="仿宋"/>
          <w:sz w:val="24"/>
        </w:rPr>
      </w:pPr>
      <w:r>
        <w:rPr>
          <w:rFonts w:hint="eastAsia" w:ascii="仿宋" w:hAnsi="仿宋" w:eastAsia="仿宋" w:cs="仿宋"/>
          <w:sz w:val="24"/>
        </w:rPr>
        <w:t>5、乙方所供产品必须具有合法手续及相关文件。如：涉及知识产权，则必须是自己拥有或合法使用。</w:t>
      </w:r>
    </w:p>
    <w:p w14:paraId="3F2E5848">
      <w:pPr>
        <w:spacing w:line="360" w:lineRule="auto"/>
        <w:ind w:firstLine="480" w:firstLineChars="200"/>
        <w:rPr>
          <w:rFonts w:hint="eastAsia" w:ascii="仿宋" w:hAnsi="仿宋" w:eastAsia="仿宋" w:cs="仿宋"/>
          <w:sz w:val="24"/>
        </w:rPr>
      </w:pPr>
      <w:r>
        <w:rPr>
          <w:rFonts w:hint="eastAsia" w:ascii="仿宋" w:hAnsi="仿宋" w:eastAsia="仿宋" w:cs="仿宋"/>
          <w:sz w:val="24"/>
        </w:rPr>
        <w:t>6、包装：包装必须适应货物特性和交通运输要求、以及国际、国家标准或企业标准的。</w:t>
      </w:r>
    </w:p>
    <w:p w14:paraId="6FFD9B3E">
      <w:pPr>
        <w:spacing w:line="360" w:lineRule="auto"/>
        <w:ind w:firstLine="480" w:firstLineChars="200"/>
        <w:rPr>
          <w:rFonts w:hint="eastAsia" w:ascii="仿宋" w:hAnsi="仿宋" w:eastAsia="仿宋" w:cs="仿宋"/>
          <w:sz w:val="24"/>
        </w:rPr>
      </w:pPr>
      <w:r>
        <w:rPr>
          <w:rFonts w:hint="eastAsia" w:ascii="仿宋" w:hAnsi="仿宋" w:eastAsia="仿宋" w:cs="仿宋"/>
          <w:sz w:val="24"/>
        </w:rPr>
        <w:t>7、要求：乙方应承担因包装、防护措施不妥引起的所有损失的责任和费用。</w:t>
      </w:r>
    </w:p>
    <w:p w14:paraId="6F399899">
      <w:pPr>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十一、违约责任</w:t>
      </w:r>
    </w:p>
    <w:p w14:paraId="0FA0282F">
      <w:pPr>
        <w:spacing w:line="360" w:lineRule="auto"/>
        <w:ind w:firstLine="480" w:firstLineChars="200"/>
        <w:rPr>
          <w:rFonts w:hint="eastAsia" w:ascii="仿宋" w:hAnsi="仿宋" w:eastAsia="仿宋" w:cs="仿宋"/>
          <w:sz w:val="24"/>
        </w:rPr>
      </w:pPr>
      <w:r>
        <w:rPr>
          <w:rFonts w:hint="eastAsia" w:ascii="仿宋" w:hAnsi="仿宋" w:eastAsia="仿宋" w:cs="仿宋"/>
          <w:sz w:val="24"/>
        </w:rPr>
        <w:t>（一）乙方未能按照合同时间约定交付货物的，每逾期一日，按照合同总金额的千分之五承担违约责任，逾期超过十五日的，甲方有权解除合同，甲方解除合同的，乙方应在接到甲方解除通知之日起三日内退还所有已收款项，并应按合同总金额的20%承担违约责任。</w:t>
      </w:r>
    </w:p>
    <w:p w14:paraId="0E325DA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（二）乙方未按合同要求提供产品或设备质量不能满足谈判技术或技术参数要求，乙方必须无条件退货，由此产生的一切费用均由乙方承担。</w:t>
      </w:r>
      <w:r>
        <w:rPr>
          <w:rFonts w:hint="eastAsia" w:ascii="仿宋" w:hAnsi="仿宋" w:eastAsia="仿宋" w:cs="仿宋"/>
          <w:bCs/>
          <w:sz w:val="24"/>
        </w:rPr>
        <w:t>甲方要求退货的，乙方应在接到甲方通知后三日内将产品取走，甲方有权要求乙方退还相应的已收款项，并有权要求乙方按照合同总金额的20%承担违约责任。</w:t>
      </w:r>
    </w:p>
    <w:p w14:paraId="3D3EB910">
      <w:pPr>
        <w:spacing w:line="360" w:lineRule="auto"/>
        <w:ind w:firstLine="480" w:firstLineChars="200"/>
        <w:rPr>
          <w:rFonts w:hint="eastAsia" w:ascii="仿宋" w:hAnsi="仿宋" w:eastAsia="仿宋" w:cs="仿宋"/>
          <w:sz w:val="24"/>
        </w:rPr>
      </w:pPr>
      <w:r>
        <w:rPr>
          <w:rFonts w:hint="eastAsia" w:ascii="仿宋" w:hAnsi="仿宋" w:eastAsia="仿宋" w:cs="仿宋"/>
          <w:sz w:val="24"/>
        </w:rPr>
        <w:t>（三）乙方应保证其交付的产品为合格产品，产品验收合格后30日内出现任何质量问题，甲方均有权要求乙方在48小时内予以更换或退货，由此产生的一切费用均由乙方承担，同时，乙方还应按照合同总金额的20%承担违约责任。</w:t>
      </w:r>
    </w:p>
    <w:p w14:paraId="2A4E70E8">
      <w:pPr>
        <w:spacing w:line="360" w:lineRule="auto"/>
        <w:ind w:firstLine="480" w:firstLineChars="200"/>
        <w:rPr>
          <w:rFonts w:hint="eastAsia" w:ascii="仿宋" w:hAnsi="仿宋" w:eastAsia="仿宋" w:cs="仿宋"/>
          <w:sz w:val="24"/>
        </w:rPr>
      </w:pPr>
      <w:r>
        <w:rPr>
          <w:rFonts w:hint="eastAsia" w:ascii="仿宋" w:hAnsi="仿宋" w:eastAsia="仿宋" w:cs="仿宋"/>
          <w:sz w:val="24"/>
        </w:rPr>
        <w:t>(四)甲方未应按照合同约定支付合同价款，每逾期一日，按照应付未付金额的千分之五承担违约责任。</w:t>
      </w:r>
    </w:p>
    <w:p w14:paraId="1E4E42CF">
      <w:pPr>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十二、合同争议解决的方式</w:t>
      </w:r>
    </w:p>
    <w:p w14:paraId="3B65C076">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本合同在履行过程中发生的争议，由甲、乙双方当事人协商解决，协商不成的，甲乙双方一致同意，任何一方均可向甲方所在地的人民法院起诉。</w:t>
      </w:r>
    </w:p>
    <w:p w14:paraId="499550B9">
      <w:pPr>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十三、其他事项</w:t>
      </w:r>
    </w:p>
    <w:p w14:paraId="0046AB98">
      <w:pPr>
        <w:spacing w:line="360" w:lineRule="auto"/>
        <w:ind w:firstLine="480" w:firstLineChars="200"/>
        <w:rPr>
          <w:rFonts w:hint="eastAsia" w:ascii="仿宋" w:hAnsi="仿宋" w:eastAsia="仿宋" w:cs="仿宋"/>
          <w:sz w:val="24"/>
        </w:rPr>
      </w:pPr>
      <w:r>
        <w:rPr>
          <w:rFonts w:hint="eastAsia" w:ascii="仿宋" w:hAnsi="仿宋" w:eastAsia="仿宋" w:cs="仿宋"/>
          <w:sz w:val="24"/>
        </w:rPr>
        <w:t>（一）招标文件、投标文件、澄清表（函）、中标通知书、合同附件均成为合同不可分割的部分。</w:t>
      </w:r>
    </w:p>
    <w:p w14:paraId="3231864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rPr>
        <w:t>（二）合同未尽事宜，由甲、乙双方协商，作为合同补充，与原合同具有同等法律效力。</w:t>
      </w:r>
    </w:p>
    <w:p w14:paraId="30F994D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（三）合同一式陆份，甲方执肆份、乙方执贰份。双方签字盖章后生效，合同执行完毕自动失效。（合同的服务承诺长期有效）。</w:t>
      </w:r>
    </w:p>
    <w:p w14:paraId="71CF9055">
      <w:pPr>
        <w:spacing w:line="360" w:lineRule="auto"/>
        <w:ind w:firstLine="480" w:firstLineChars="200"/>
        <w:rPr>
          <w:rFonts w:hint="eastAsia" w:ascii="仿宋" w:hAnsi="仿宋" w:eastAsia="仿宋" w:cs="仿宋"/>
          <w:sz w:val="24"/>
        </w:rPr>
      </w:pPr>
      <w:r>
        <w:rPr>
          <w:rFonts w:hint="eastAsia" w:ascii="仿宋" w:hAnsi="仿宋" w:eastAsia="仿宋" w:cs="仿宋"/>
          <w:sz w:val="24"/>
          <w:highlight w:val="none"/>
        </w:rPr>
        <w:t>（四）本合同附件与本合</w:t>
      </w:r>
      <w:r>
        <w:rPr>
          <w:rFonts w:hint="eastAsia" w:ascii="仿宋" w:hAnsi="仿宋" w:eastAsia="仿宋" w:cs="仿宋"/>
          <w:sz w:val="24"/>
        </w:rPr>
        <w:t>同具有同等的法律效力。</w:t>
      </w:r>
    </w:p>
    <w:p w14:paraId="42E10EBB">
      <w:pPr>
        <w:spacing w:line="360" w:lineRule="auto"/>
        <w:ind w:firstLine="480" w:firstLineChars="200"/>
        <w:rPr>
          <w:rFonts w:hint="eastAsia" w:ascii="仿宋" w:hAnsi="仿宋" w:eastAsia="仿宋" w:cs="仿宋"/>
          <w:sz w:val="24"/>
        </w:rPr>
      </w:pPr>
      <w:r>
        <w:rPr>
          <w:rFonts w:hint="eastAsia" w:ascii="仿宋" w:hAnsi="仿宋" w:eastAsia="仿宋" w:cs="仿宋"/>
          <w:sz w:val="24"/>
        </w:rPr>
        <w:t>附件-1：《产品技术指标》</w:t>
      </w:r>
    </w:p>
    <w:p w14:paraId="4EFEED88">
      <w:pPr>
        <w:spacing w:line="360" w:lineRule="auto"/>
        <w:ind w:firstLine="480" w:firstLineChars="200"/>
        <w:rPr>
          <w:rFonts w:hint="eastAsia" w:ascii="仿宋" w:hAnsi="仿宋" w:eastAsia="仿宋" w:cs="仿宋"/>
          <w:sz w:val="24"/>
        </w:rPr>
      </w:pPr>
      <w:r>
        <w:rPr>
          <w:rFonts w:hint="eastAsia" w:ascii="仿宋" w:hAnsi="仿宋" w:eastAsia="仿宋" w:cs="仿宋"/>
          <w:sz w:val="24"/>
        </w:rPr>
        <w:t>附件-2：《售后服务承诺》</w:t>
      </w:r>
    </w:p>
    <w:p w14:paraId="24EB4CD4">
      <w:pPr>
        <w:spacing w:line="360" w:lineRule="auto"/>
        <w:ind w:firstLine="480" w:firstLineChars="200"/>
        <w:rPr>
          <w:rFonts w:hint="eastAsia" w:ascii="仿宋" w:hAnsi="仿宋" w:eastAsia="仿宋" w:cs="仿宋"/>
          <w:sz w:val="24"/>
        </w:rPr>
      </w:pPr>
      <w:r>
        <w:rPr>
          <w:rFonts w:hint="eastAsia" w:ascii="仿宋" w:hAnsi="仿宋" w:eastAsia="仿宋" w:cs="仿宋"/>
          <w:sz w:val="24"/>
        </w:rPr>
        <w:t>附件-3：《人员培训服务承诺》</w:t>
      </w:r>
    </w:p>
    <w:p w14:paraId="71EF335C">
      <w:pPr>
        <w:spacing w:line="360" w:lineRule="auto"/>
        <w:ind w:firstLine="480" w:firstLineChars="200"/>
        <w:rPr>
          <w:rFonts w:hint="eastAsia" w:ascii="仿宋" w:hAnsi="仿宋" w:eastAsia="仿宋" w:cs="仿宋"/>
          <w:sz w:val="24"/>
        </w:rPr>
      </w:pPr>
      <w:r>
        <w:rPr>
          <w:rFonts w:hint="eastAsia" w:ascii="仿宋" w:hAnsi="仿宋" w:eastAsia="仿宋" w:cs="仿宋"/>
          <w:sz w:val="24"/>
        </w:rPr>
        <w:t>附件-4：《易损件及耗材报价表》</w:t>
      </w:r>
    </w:p>
    <w:p w14:paraId="0092422B">
      <w:pPr>
        <w:spacing w:line="360" w:lineRule="auto"/>
        <w:rPr>
          <w:rFonts w:hint="eastAsia" w:ascii="仿宋" w:hAnsi="仿宋" w:eastAsia="仿宋" w:cs="仿宋"/>
          <w:sz w:val="24"/>
        </w:rPr>
      </w:pPr>
    </w:p>
    <w:p w14:paraId="060114E9">
      <w:pPr>
        <w:adjustRightInd w:val="0"/>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甲方（公章）：                           乙方(公章)：</w:t>
      </w:r>
    </w:p>
    <w:p w14:paraId="728BE557">
      <w:pPr>
        <w:adjustRightInd w:val="0"/>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法定代表人或授权代表人(签字):            法定代表人或授权代表人(签字):</w:t>
      </w:r>
    </w:p>
    <w:p w14:paraId="7BEA36DE">
      <w:pPr>
        <w:adjustRightInd w:val="0"/>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地址：                                   地址：</w:t>
      </w:r>
    </w:p>
    <w:p w14:paraId="6347D1C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联系人：                                 联系人：</w:t>
      </w:r>
    </w:p>
    <w:p w14:paraId="5547346D">
      <w:pPr>
        <w:adjustRightInd w:val="0"/>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电话：                                   电话：</w:t>
      </w:r>
    </w:p>
    <w:p w14:paraId="27B32CD7">
      <w:pPr>
        <w:adjustRightInd w:val="0"/>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传真：                                   传真：</w:t>
      </w:r>
    </w:p>
    <w:p w14:paraId="1FCBF585">
      <w:pPr>
        <w:adjustRightInd w:val="0"/>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邮编：                                   邮编：</w:t>
      </w:r>
    </w:p>
    <w:p w14:paraId="6E96B8BE">
      <w:pPr>
        <w:ind w:firstLine="360" w:firstLineChars="150"/>
        <w:rPr>
          <w:rFonts w:hint="eastAsia" w:ascii="仿宋" w:hAnsi="仿宋" w:eastAsia="仿宋" w:cs="仿宋"/>
        </w:rPr>
      </w:pPr>
      <w:r>
        <w:rPr>
          <w:rFonts w:hint="eastAsia" w:ascii="仿宋" w:hAnsi="仿宋" w:eastAsia="仿宋" w:cs="仿宋"/>
          <w:sz w:val="24"/>
        </w:rPr>
        <w:t>日期：                                    日期：</w:t>
      </w:r>
    </w:p>
    <w:p w14:paraId="273A5187"/>
    <w:p w14:paraId="0A162C06">
      <w:pPr>
        <w:pStyle w:val="18"/>
        <w:widowControl/>
        <w:kinsoku w:val="0"/>
        <w:autoSpaceDE w:val="0"/>
        <w:autoSpaceDN w:val="0"/>
        <w:adjustRightInd w:val="0"/>
        <w:snapToGrid w:val="0"/>
        <w:spacing w:line="240" w:lineRule="atLeast"/>
        <w:jc w:val="center"/>
        <w:textAlignment w:val="baseline"/>
        <w:rPr>
          <w:rFonts w:hint="eastAsia" w:ascii="华文新魏" w:hAnsi="华文新魏" w:eastAsia="华文新魏" w:cs="华文新魏"/>
          <w:bCs/>
          <w:sz w:val="32"/>
          <w:szCs w:val="32"/>
        </w:rPr>
      </w:pPr>
      <w:bookmarkStart w:id="3" w:name="_GoBack"/>
      <w:bookmarkEnd w:id="3"/>
      <w:r>
        <w:drawing>
          <wp:anchor distT="0" distB="0" distL="0" distR="0" simplePos="0" relativeHeight="251662336" behindDoc="1" locked="0" layoutInCell="1" allowOverlap="1">
            <wp:simplePos x="0" y="0"/>
            <wp:positionH relativeFrom="column">
              <wp:posOffset>2859405</wp:posOffset>
            </wp:positionH>
            <wp:positionV relativeFrom="paragraph">
              <wp:posOffset>1774825</wp:posOffset>
            </wp:positionV>
            <wp:extent cx="74295" cy="8255"/>
            <wp:effectExtent l="0" t="0" r="0" b="0"/>
            <wp:wrapNone/>
            <wp:docPr id="22" name="IM 2"/>
            <wp:cNvGraphicFramePr/>
            <a:graphic xmlns:a="http://schemas.openxmlformats.org/drawingml/2006/main">
              <a:graphicData uri="http://schemas.openxmlformats.org/drawingml/2006/picture">
                <pic:pic xmlns:pic="http://schemas.openxmlformats.org/drawingml/2006/picture">
                  <pic:nvPicPr>
                    <pic:cNvPr id="22" name="IM 2"/>
                    <pic:cNvPicPr/>
                  </pic:nvPicPr>
                  <pic:blipFill>
                    <a:blip r:embed="rId5"/>
                    <a:stretch>
                      <a:fillRect/>
                    </a:stretch>
                  </pic:blipFill>
                  <pic:spPr>
                    <a:xfrm>
                      <a:off x="0" y="0"/>
                      <a:ext cx="74316" cy="8256"/>
                    </a:xfrm>
                    <a:prstGeom prst="rect">
                      <a:avLst/>
                    </a:prstGeom>
                  </pic:spPr>
                </pic:pic>
              </a:graphicData>
            </a:graphic>
          </wp:anchor>
        </w:drawing>
      </w:r>
      <w:r>
        <w:drawing>
          <wp:anchor distT="0" distB="0" distL="0" distR="0" simplePos="0" relativeHeight="251661312" behindDoc="1" locked="0" layoutInCell="1" allowOverlap="1">
            <wp:simplePos x="0" y="0"/>
            <wp:positionH relativeFrom="column">
              <wp:posOffset>3705225</wp:posOffset>
            </wp:positionH>
            <wp:positionV relativeFrom="paragraph">
              <wp:posOffset>1774825</wp:posOffset>
            </wp:positionV>
            <wp:extent cx="74295" cy="8255"/>
            <wp:effectExtent l="0" t="0" r="0" b="0"/>
            <wp:wrapNone/>
            <wp:docPr id="23" name="IM 4"/>
            <wp:cNvGraphicFramePr/>
            <a:graphic xmlns:a="http://schemas.openxmlformats.org/drawingml/2006/main">
              <a:graphicData uri="http://schemas.openxmlformats.org/drawingml/2006/picture">
                <pic:pic xmlns:pic="http://schemas.openxmlformats.org/drawingml/2006/picture">
                  <pic:nvPicPr>
                    <pic:cNvPr id="23" name="IM 4"/>
                    <pic:cNvPicPr/>
                  </pic:nvPicPr>
                  <pic:blipFill>
                    <a:blip r:embed="rId6"/>
                    <a:stretch>
                      <a:fillRect/>
                    </a:stretch>
                  </pic:blipFill>
                  <pic:spPr>
                    <a:xfrm>
                      <a:off x="0" y="0"/>
                      <a:ext cx="74316" cy="8256"/>
                    </a:xfrm>
                    <a:prstGeom prst="rect">
                      <a:avLst/>
                    </a:prstGeom>
                  </pic:spPr>
                </pic:pic>
              </a:graphicData>
            </a:graphic>
          </wp:anchor>
        </w:drawing>
      </w:r>
      <w:r>
        <w:drawing>
          <wp:anchor distT="0" distB="0" distL="0" distR="0" simplePos="0" relativeHeight="251659264" behindDoc="1" locked="0" layoutInCell="1" allowOverlap="1">
            <wp:simplePos x="0" y="0"/>
            <wp:positionH relativeFrom="column">
              <wp:posOffset>2851150</wp:posOffset>
            </wp:positionH>
            <wp:positionV relativeFrom="paragraph">
              <wp:posOffset>1692275</wp:posOffset>
            </wp:positionV>
            <wp:extent cx="90805" cy="99060"/>
            <wp:effectExtent l="0" t="0" r="4445" b="15240"/>
            <wp:wrapNone/>
            <wp:docPr id="24" name="IM 6"/>
            <wp:cNvGraphicFramePr/>
            <a:graphic xmlns:a="http://schemas.openxmlformats.org/drawingml/2006/main">
              <a:graphicData uri="http://schemas.openxmlformats.org/drawingml/2006/picture">
                <pic:pic xmlns:pic="http://schemas.openxmlformats.org/drawingml/2006/picture">
                  <pic:nvPicPr>
                    <pic:cNvPr id="24" name="IM 6"/>
                    <pic:cNvPicPr/>
                  </pic:nvPicPr>
                  <pic:blipFill>
                    <a:blip r:embed="rId7"/>
                    <a:stretch>
                      <a:fillRect/>
                    </a:stretch>
                  </pic:blipFill>
                  <pic:spPr>
                    <a:xfrm>
                      <a:off x="0" y="0"/>
                      <a:ext cx="90830" cy="99087"/>
                    </a:xfrm>
                    <a:prstGeom prst="rect">
                      <a:avLst/>
                    </a:prstGeom>
                  </pic:spPr>
                </pic:pic>
              </a:graphicData>
            </a:graphic>
          </wp:anchor>
        </w:drawing>
      </w:r>
      <w:r>
        <w:drawing>
          <wp:anchor distT="0" distB="0" distL="0" distR="0" simplePos="0" relativeHeight="251660288" behindDoc="1" locked="0" layoutInCell="1" allowOverlap="1">
            <wp:simplePos x="0" y="0"/>
            <wp:positionH relativeFrom="column">
              <wp:posOffset>3696970</wp:posOffset>
            </wp:positionH>
            <wp:positionV relativeFrom="paragraph">
              <wp:posOffset>1692275</wp:posOffset>
            </wp:positionV>
            <wp:extent cx="90805" cy="99060"/>
            <wp:effectExtent l="0" t="0" r="4445" b="15240"/>
            <wp:wrapNone/>
            <wp:docPr id="25" name="IM 8"/>
            <wp:cNvGraphicFramePr/>
            <a:graphic xmlns:a="http://schemas.openxmlformats.org/drawingml/2006/main">
              <a:graphicData uri="http://schemas.openxmlformats.org/drawingml/2006/picture">
                <pic:pic xmlns:pic="http://schemas.openxmlformats.org/drawingml/2006/picture">
                  <pic:nvPicPr>
                    <pic:cNvPr id="25" name="IM 8"/>
                    <pic:cNvPicPr/>
                  </pic:nvPicPr>
                  <pic:blipFill>
                    <a:blip r:embed="rId8"/>
                    <a:stretch>
                      <a:fillRect/>
                    </a:stretch>
                  </pic:blipFill>
                  <pic:spPr>
                    <a:xfrm>
                      <a:off x="0" y="0"/>
                      <a:ext cx="90830" cy="99087"/>
                    </a:xfrm>
                    <a:prstGeom prst="rect">
                      <a:avLst/>
                    </a:prstGeom>
                  </pic:spPr>
                </pic:pic>
              </a:graphicData>
            </a:graphic>
          </wp:anchor>
        </w:drawing>
      </w:r>
      <w:r>
        <w:rPr>
          <w:rFonts w:hint="eastAsia" w:ascii="华文新魏" w:hAnsi="华文新魏" w:eastAsia="华文新魏" w:cs="华文新魏"/>
          <w:bCs/>
          <w:sz w:val="32"/>
          <w:szCs w:val="32"/>
        </w:rPr>
        <w:t>西安市食品药品检验所</w:t>
      </w:r>
    </w:p>
    <w:p w14:paraId="0FA39FD9">
      <w:pPr>
        <w:widowControl/>
        <w:kinsoku w:val="0"/>
        <w:autoSpaceDE w:val="0"/>
        <w:autoSpaceDN w:val="0"/>
        <w:adjustRightInd w:val="0"/>
        <w:snapToGrid w:val="0"/>
        <w:spacing w:line="240" w:lineRule="atLeast"/>
        <w:jc w:val="center"/>
        <w:textAlignment w:val="baseline"/>
        <w:outlineLvl w:val="0"/>
        <w:rPr>
          <w:rFonts w:hint="eastAsia" w:ascii="微软雅黑" w:hAnsi="宋体" w:eastAsia="微软雅黑" w:cs="宋体"/>
          <w:sz w:val="32"/>
          <w:szCs w:val="32"/>
        </w:rPr>
      </w:pPr>
      <w:bookmarkStart w:id="2" w:name="_Toc228179094"/>
      <w:r>
        <w:rPr>
          <w:rFonts w:hint="eastAsia" w:ascii="微软雅黑" w:hAnsi="宋体" w:eastAsia="微软雅黑" w:cs="宋体"/>
          <w:sz w:val="32"/>
          <w:szCs w:val="32"/>
        </w:rPr>
        <w:t>政府采购履约验收记录表（货物</w:t>
      </w:r>
      <w:r>
        <w:rPr>
          <w:rFonts w:ascii="微软雅黑" w:hAnsi="宋体" w:eastAsia="微软雅黑" w:cs="宋体"/>
          <w:sz w:val="32"/>
          <w:szCs w:val="32"/>
        </w:rPr>
        <w:t>类</w:t>
      </w:r>
      <w:r>
        <w:rPr>
          <w:rFonts w:hint="eastAsia" w:ascii="微软雅黑" w:hAnsi="宋体" w:eastAsia="微软雅黑" w:cs="宋体"/>
          <w:sz w:val="32"/>
          <w:szCs w:val="32"/>
        </w:rPr>
        <w:t>）</w:t>
      </w:r>
      <w:bookmarkEnd w:id="2"/>
    </w:p>
    <w:tbl>
      <w:tblPr>
        <w:tblStyle w:val="19"/>
        <w:tblpPr w:leftFromText="180" w:rightFromText="180" w:vertAnchor="text" w:horzAnchor="page" w:tblpX="1465" w:tblpY="631"/>
        <w:tblOverlap w:val="never"/>
        <w:tblW w:w="5460" w:type="pct"/>
        <w:tblInd w:w="0" w:type="dxa"/>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Layout w:type="autofit"/>
        <w:tblCellMar>
          <w:top w:w="0" w:type="dxa"/>
          <w:left w:w="0" w:type="dxa"/>
          <w:bottom w:w="0" w:type="dxa"/>
          <w:right w:w="0" w:type="dxa"/>
        </w:tblCellMar>
      </w:tblPr>
      <w:tblGrid>
        <w:gridCol w:w="1000"/>
        <w:gridCol w:w="518"/>
        <w:gridCol w:w="656"/>
        <w:gridCol w:w="636"/>
        <w:gridCol w:w="129"/>
        <w:gridCol w:w="400"/>
        <w:gridCol w:w="363"/>
        <w:gridCol w:w="358"/>
        <w:gridCol w:w="147"/>
        <w:gridCol w:w="258"/>
        <w:gridCol w:w="543"/>
        <w:gridCol w:w="222"/>
        <w:gridCol w:w="271"/>
        <w:gridCol w:w="494"/>
        <w:gridCol w:w="688"/>
        <w:gridCol w:w="84"/>
        <w:gridCol w:w="763"/>
        <w:gridCol w:w="1551"/>
      </w:tblGrid>
      <w:tr w14:paraId="2824939F">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18" w:hRule="atLeast"/>
        </w:trPr>
        <w:tc>
          <w:tcPr>
            <w:tcW w:w="837" w:type="pct"/>
            <w:gridSpan w:val="2"/>
            <w:tcBorders>
              <w:top w:val="single" w:color="808080" w:sz="4" w:space="0"/>
              <w:left w:val="single" w:color="808080" w:sz="4" w:space="0"/>
              <w:bottom w:val="single" w:color="808080" w:sz="4" w:space="0"/>
              <w:right w:val="single" w:color="808080" w:sz="4" w:space="0"/>
            </w:tcBorders>
            <w:vAlign w:val="center"/>
          </w:tcPr>
          <w:p w14:paraId="13380E1E">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采购单位</w:t>
            </w:r>
          </w:p>
        </w:tc>
        <w:tc>
          <w:tcPr>
            <w:tcW w:w="711" w:type="pct"/>
            <w:gridSpan w:val="2"/>
          </w:tcPr>
          <w:p w14:paraId="688256E8">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p>
        </w:tc>
        <w:tc>
          <w:tcPr>
            <w:tcW w:w="688" w:type="pct"/>
            <w:gridSpan w:val="4"/>
            <w:vAlign w:val="center"/>
          </w:tcPr>
          <w:p w14:paraId="6B4D0375">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采购项目名称</w:t>
            </w:r>
          </w:p>
        </w:tc>
        <w:tc>
          <w:tcPr>
            <w:tcW w:w="793" w:type="pct"/>
            <w:gridSpan w:val="5"/>
          </w:tcPr>
          <w:p w14:paraId="048A7F0B">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p>
        </w:tc>
        <w:tc>
          <w:tcPr>
            <w:tcW w:w="697" w:type="pct"/>
            <w:gridSpan w:val="3"/>
            <w:vAlign w:val="center"/>
          </w:tcPr>
          <w:p w14:paraId="50386CE3">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合同名称</w:t>
            </w:r>
          </w:p>
        </w:tc>
        <w:tc>
          <w:tcPr>
            <w:tcW w:w="1271" w:type="pct"/>
            <w:gridSpan w:val="2"/>
          </w:tcPr>
          <w:p w14:paraId="1FB61A88">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p>
        </w:tc>
      </w:tr>
      <w:tr w14:paraId="65F7D0F2">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18" w:hRule="atLeast"/>
        </w:trPr>
        <w:tc>
          <w:tcPr>
            <w:tcW w:w="837" w:type="pct"/>
            <w:gridSpan w:val="2"/>
            <w:tcBorders>
              <w:top w:val="single" w:color="808080" w:sz="4" w:space="0"/>
              <w:left w:val="single" w:color="808080" w:sz="4" w:space="0"/>
              <w:bottom w:val="single" w:color="808080" w:sz="4" w:space="0"/>
              <w:right w:val="single" w:color="808080" w:sz="4" w:space="0"/>
            </w:tcBorders>
            <w:vAlign w:val="center"/>
          </w:tcPr>
          <w:p w14:paraId="1E4007CA">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供应商</w:t>
            </w:r>
          </w:p>
        </w:tc>
        <w:tc>
          <w:tcPr>
            <w:tcW w:w="711" w:type="pct"/>
            <w:gridSpan w:val="2"/>
          </w:tcPr>
          <w:p w14:paraId="19779FBC">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p>
        </w:tc>
        <w:tc>
          <w:tcPr>
            <w:tcW w:w="688" w:type="pct"/>
            <w:gridSpan w:val="4"/>
            <w:vAlign w:val="center"/>
          </w:tcPr>
          <w:p w14:paraId="1D37B07D">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合同编号</w:t>
            </w:r>
          </w:p>
        </w:tc>
        <w:tc>
          <w:tcPr>
            <w:tcW w:w="793" w:type="pct"/>
            <w:gridSpan w:val="5"/>
          </w:tcPr>
          <w:p w14:paraId="7C7A5FEE">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p>
        </w:tc>
        <w:tc>
          <w:tcPr>
            <w:tcW w:w="697" w:type="pct"/>
            <w:gridSpan w:val="3"/>
            <w:vAlign w:val="center"/>
          </w:tcPr>
          <w:p w14:paraId="7DBF3A53">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合同金额</w:t>
            </w:r>
          </w:p>
        </w:tc>
        <w:tc>
          <w:tcPr>
            <w:tcW w:w="1271" w:type="pct"/>
            <w:gridSpan w:val="2"/>
          </w:tcPr>
          <w:p w14:paraId="2C2D6E93">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p>
        </w:tc>
      </w:tr>
      <w:tr w14:paraId="53A2058B">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627" w:hRule="atLeast"/>
        </w:trPr>
        <w:tc>
          <w:tcPr>
            <w:tcW w:w="837" w:type="pct"/>
            <w:gridSpan w:val="2"/>
            <w:tcBorders>
              <w:left w:val="single" w:color="808080" w:sz="4" w:space="0"/>
              <w:bottom w:val="single" w:color="808080" w:sz="4" w:space="0"/>
              <w:right w:val="single" w:color="808080" w:sz="4" w:space="0"/>
            </w:tcBorders>
            <w:vAlign w:val="center"/>
          </w:tcPr>
          <w:p w14:paraId="6F17C20E">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验收完成时间</w:t>
            </w:r>
          </w:p>
        </w:tc>
        <w:tc>
          <w:tcPr>
            <w:tcW w:w="711" w:type="pct"/>
            <w:gridSpan w:val="2"/>
          </w:tcPr>
          <w:p w14:paraId="7D7C93BC">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p>
        </w:tc>
        <w:tc>
          <w:tcPr>
            <w:tcW w:w="688" w:type="pct"/>
            <w:gridSpan w:val="4"/>
            <w:vAlign w:val="center"/>
          </w:tcPr>
          <w:p w14:paraId="2F3C8EDB">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验收地点/存放地点</w:t>
            </w:r>
          </w:p>
        </w:tc>
        <w:tc>
          <w:tcPr>
            <w:tcW w:w="793" w:type="pct"/>
            <w:gridSpan w:val="5"/>
          </w:tcPr>
          <w:p w14:paraId="41412F44">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p>
        </w:tc>
        <w:tc>
          <w:tcPr>
            <w:tcW w:w="697" w:type="pct"/>
            <w:gridSpan w:val="3"/>
            <w:vAlign w:val="center"/>
          </w:tcPr>
          <w:p w14:paraId="7CBF1705">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验收组织形式</w:t>
            </w:r>
          </w:p>
        </w:tc>
        <w:tc>
          <w:tcPr>
            <w:tcW w:w="1271" w:type="pct"/>
            <w:gridSpan w:val="2"/>
          </w:tcPr>
          <w:p w14:paraId="49E31A6B">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sym w:font="Wingdings 2" w:char="00A3"/>
            </w:r>
            <w:r>
              <w:rPr>
                <w:rFonts w:hint="eastAsia" w:ascii="仿宋_GB2312" w:hAnsi="仿宋_GB2312" w:eastAsia="仿宋_GB2312" w:cs="仿宋_GB2312"/>
                <w:snapToGrid w:val="0"/>
                <w:color w:val="000000"/>
                <w:spacing w:val="-1"/>
                <w:kern w:val="0"/>
                <w:sz w:val="22"/>
                <w:szCs w:val="22"/>
              </w:rPr>
              <w:t>自行组织</w:t>
            </w:r>
          </w:p>
          <w:p w14:paraId="28796199">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sym w:font="Wingdings 2" w:char="00A3"/>
            </w:r>
            <w:r>
              <w:rPr>
                <w:rFonts w:hint="eastAsia" w:ascii="仿宋_GB2312" w:hAnsi="仿宋_GB2312" w:eastAsia="仿宋_GB2312" w:cs="仿宋_GB2312"/>
                <w:snapToGrid w:val="0"/>
                <w:color w:val="000000"/>
                <w:spacing w:val="-1"/>
                <w:kern w:val="0"/>
                <w:sz w:val="22"/>
                <w:szCs w:val="22"/>
              </w:rPr>
              <w:t>委托第三方</w:t>
            </w:r>
          </w:p>
        </w:tc>
      </w:tr>
      <w:tr w14:paraId="724864C0">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18" w:hRule="atLeast"/>
        </w:trPr>
        <w:tc>
          <w:tcPr>
            <w:tcW w:w="837" w:type="pct"/>
            <w:gridSpan w:val="2"/>
            <w:tcBorders>
              <w:left w:val="single" w:color="808080" w:sz="4" w:space="0"/>
              <w:bottom w:val="single" w:color="808080" w:sz="4" w:space="0"/>
              <w:right w:val="single" w:color="808080" w:sz="4" w:space="0"/>
            </w:tcBorders>
          </w:tcPr>
          <w:p w14:paraId="09BB92F8">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验收依据</w:t>
            </w:r>
          </w:p>
        </w:tc>
        <w:tc>
          <w:tcPr>
            <w:tcW w:w="4162" w:type="pct"/>
            <w:gridSpan w:val="16"/>
            <w:vAlign w:val="center"/>
          </w:tcPr>
          <w:p w14:paraId="7C01F607">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1.采购文件、投标（响应）文件。     2.合同。</w:t>
            </w:r>
          </w:p>
        </w:tc>
      </w:tr>
      <w:tr w14:paraId="7AD9C2DE">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573" w:hRule="atLeast"/>
        </w:trPr>
        <w:tc>
          <w:tcPr>
            <w:tcW w:w="837" w:type="pct"/>
            <w:gridSpan w:val="2"/>
            <w:tcBorders>
              <w:top w:val="single" w:color="808080" w:sz="4" w:space="0"/>
              <w:left w:val="single" w:color="808080" w:sz="4" w:space="0"/>
              <w:bottom w:val="single" w:color="808080" w:sz="4" w:space="0"/>
              <w:right w:val="single" w:color="808080" w:sz="4" w:space="0"/>
            </w:tcBorders>
            <w:vAlign w:val="center"/>
          </w:tcPr>
          <w:p w14:paraId="5E4DFD7A">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验收金额（单位:元）</w:t>
            </w:r>
          </w:p>
        </w:tc>
        <w:tc>
          <w:tcPr>
            <w:tcW w:w="4162" w:type="pct"/>
            <w:gridSpan w:val="16"/>
            <w:tcBorders>
              <w:right w:val="single" w:color="808080" w:sz="4" w:space="0"/>
            </w:tcBorders>
            <w:vAlign w:val="center"/>
          </w:tcPr>
          <w:p w14:paraId="71022887">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p>
        </w:tc>
      </w:tr>
      <w:tr w14:paraId="09F66679">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18" w:hRule="atLeast"/>
        </w:trPr>
        <w:tc>
          <w:tcPr>
            <w:tcW w:w="837" w:type="pct"/>
            <w:gridSpan w:val="2"/>
            <w:tcBorders>
              <w:top w:val="single" w:color="808080" w:sz="4" w:space="0"/>
              <w:left w:val="single" w:color="808080" w:sz="4" w:space="0"/>
              <w:bottom w:val="single" w:color="808080" w:sz="4" w:space="0"/>
              <w:right w:val="single" w:color="808080" w:sz="4" w:space="0"/>
            </w:tcBorders>
            <w:vAlign w:val="center"/>
          </w:tcPr>
          <w:p w14:paraId="0F15BA5C">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验收方式</w:t>
            </w:r>
          </w:p>
        </w:tc>
        <w:tc>
          <w:tcPr>
            <w:tcW w:w="4162" w:type="pct"/>
            <w:gridSpan w:val="16"/>
            <w:tcBorders>
              <w:right w:val="single" w:color="808080" w:sz="4" w:space="0"/>
            </w:tcBorders>
            <w:vAlign w:val="center"/>
          </w:tcPr>
          <w:p w14:paraId="4F9B0AB3">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drawing>
                <wp:anchor distT="0" distB="0" distL="0" distR="0" simplePos="0" relativeHeight="251664384" behindDoc="1" locked="0" layoutInCell="1" allowOverlap="1">
                  <wp:simplePos x="0" y="0"/>
                  <wp:positionH relativeFrom="column">
                    <wp:posOffset>807720</wp:posOffset>
                  </wp:positionH>
                  <wp:positionV relativeFrom="paragraph">
                    <wp:posOffset>130175</wp:posOffset>
                  </wp:positionV>
                  <wp:extent cx="90805" cy="8255"/>
                  <wp:effectExtent l="0" t="0" r="0" b="0"/>
                  <wp:wrapNone/>
                  <wp:docPr id="26" name="IM 14"/>
                  <wp:cNvGraphicFramePr/>
                  <a:graphic xmlns:a="http://schemas.openxmlformats.org/drawingml/2006/main">
                    <a:graphicData uri="http://schemas.openxmlformats.org/drawingml/2006/picture">
                      <pic:pic xmlns:pic="http://schemas.openxmlformats.org/drawingml/2006/picture">
                        <pic:nvPicPr>
                          <pic:cNvPr id="26" name="IM 14"/>
                          <pic:cNvPicPr/>
                        </pic:nvPicPr>
                        <pic:blipFill>
                          <a:blip r:embed="rId9"/>
                          <a:stretch>
                            <a:fillRect/>
                          </a:stretch>
                        </pic:blipFill>
                        <pic:spPr>
                          <a:xfrm>
                            <a:off x="0" y="0"/>
                            <a:ext cx="90830" cy="8257"/>
                          </a:xfrm>
                          <a:prstGeom prst="rect">
                            <a:avLst/>
                          </a:prstGeom>
                        </pic:spPr>
                      </pic:pic>
                    </a:graphicData>
                  </a:graphic>
                </wp:anchor>
              </w:drawing>
            </w:r>
            <w:r>
              <w:rPr>
                <w:rFonts w:hint="eastAsia" w:ascii="仿宋_GB2312" w:hAnsi="仿宋_GB2312" w:eastAsia="仿宋_GB2312" w:cs="仿宋_GB2312"/>
                <w:snapToGrid w:val="0"/>
                <w:color w:val="000000"/>
                <w:spacing w:val="-1"/>
                <w:kern w:val="0"/>
                <w:sz w:val="22"/>
                <w:szCs w:val="22"/>
              </w:rPr>
              <w:drawing>
                <wp:anchor distT="0" distB="0" distL="0" distR="0" simplePos="0" relativeHeight="251663360" behindDoc="1" locked="0" layoutInCell="1" allowOverlap="1">
                  <wp:simplePos x="0" y="0"/>
                  <wp:positionH relativeFrom="column">
                    <wp:posOffset>815975</wp:posOffset>
                  </wp:positionH>
                  <wp:positionV relativeFrom="paragraph">
                    <wp:posOffset>121920</wp:posOffset>
                  </wp:positionV>
                  <wp:extent cx="74295" cy="8255"/>
                  <wp:effectExtent l="0" t="0" r="0" b="0"/>
                  <wp:wrapNone/>
                  <wp:docPr id="27" name="IM 16"/>
                  <wp:cNvGraphicFramePr/>
                  <a:graphic xmlns:a="http://schemas.openxmlformats.org/drawingml/2006/main">
                    <a:graphicData uri="http://schemas.openxmlformats.org/drawingml/2006/picture">
                      <pic:pic xmlns:pic="http://schemas.openxmlformats.org/drawingml/2006/picture">
                        <pic:nvPicPr>
                          <pic:cNvPr id="27" name="IM 16"/>
                          <pic:cNvPicPr/>
                        </pic:nvPicPr>
                        <pic:blipFill>
                          <a:blip r:embed="rId5"/>
                          <a:stretch>
                            <a:fillRect/>
                          </a:stretch>
                        </pic:blipFill>
                        <pic:spPr>
                          <a:xfrm>
                            <a:off x="0" y="0"/>
                            <a:ext cx="74315" cy="8256"/>
                          </a:xfrm>
                          <a:prstGeom prst="rect">
                            <a:avLst/>
                          </a:prstGeom>
                        </pic:spPr>
                      </pic:pic>
                    </a:graphicData>
                  </a:graphic>
                </wp:anchor>
              </w:drawing>
            </w:r>
            <w:r>
              <w:rPr>
                <w:rFonts w:hint="eastAsia" w:ascii="仿宋_GB2312" w:hAnsi="仿宋_GB2312" w:eastAsia="仿宋_GB2312" w:cs="仿宋_GB2312"/>
                <w:snapToGrid w:val="0"/>
                <w:color w:val="000000"/>
                <w:spacing w:val="-1"/>
                <w:kern w:val="0"/>
                <w:sz w:val="22"/>
                <w:szCs w:val="22"/>
              </w:rPr>
              <w:sym w:font="Wingdings 2" w:char="00A3"/>
            </w:r>
            <w:r>
              <w:rPr>
                <w:rFonts w:hint="eastAsia" w:ascii="仿宋_GB2312" w:hAnsi="仿宋_GB2312" w:eastAsia="仿宋_GB2312" w:cs="仿宋_GB2312"/>
                <w:snapToGrid w:val="0"/>
                <w:color w:val="000000"/>
                <w:spacing w:val="-1"/>
                <w:kern w:val="0"/>
                <w:sz w:val="22"/>
                <w:szCs w:val="22"/>
              </w:rPr>
              <w:t xml:space="preserve"> 一次性验收    </w:t>
            </w:r>
            <w:r>
              <w:rPr>
                <w:rFonts w:hint="eastAsia" w:ascii="仿宋_GB2312" w:hAnsi="仿宋_GB2312" w:eastAsia="仿宋_GB2312" w:cs="仿宋_GB2312"/>
                <w:snapToGrid w:val="0"/>
                <w:color w:val="000000"/>
                <w:spacing w:val="-1"/>
                <w:kern w:val="0"/>
                <w:sz w:val="22"/>
                <w:szCs w:val="22"/>
              </w:rPr>
              <w:sym w:font="Wingdings 2" w:char="F0A3"/>
            </w:r>
            <w:r>
              <w:rPr>
                <w:rFonts w:hint="eastAsia" w:ascii="仿宋_GB2312" w:hAnsi="仿宋_GB2312" w:eastAsia="仿宋_GB2312" w:cs="仿宋_GB2312"/>
                <w:snapToGrid w:val="0"/>
                <w:color w:val="000000"/>
                <w:spacing w:val="-1"/>
                <w:kern w:val="0"/>
                <w:sz w:val="22"/>
                <w:szCs w:val="22"/>
              </w:rPr>
              <w:t xml:space="preserve"> 分节点验收   </w:t>
            </w:r>
            <w:r>
              <w:rPr>
                <w:rFonts w:hint="eastAsia" w:ascii="仿宋_GB2312" w:hAnsi="仿宋_GB2312" w:eastAsia="仿宋_GB2312" w:cs="仿宋_GB2312"/>
                <w:snapToGrid w:val="0"/>
                <w:color w:val="000000"/>
                <w:spacing w:val="-1"/>
                <w:kern w:val="0"/>
                <w:sz w:val="22"/>
                <w:szCs w:val="22"/>
              </w:rPr>
              <w:sym w:font="Wingdings 2" w:char="F0A3"/>
            </w:r>
            <w:r>
              <w:rPr>
                <w:rFonts w:hint="eastAsia" w:ascii="仿宋_GB2312" w:hAnsi="仿宋_GB2312" w:eastAsia="仿宋_GB2312" w:cs="仿宋_GB2312"/>
                <w:snapToGrid w:val="0"/>
                <w:color w:val="000000"/>
                <w:spacing w:val="-1"/>
                <w:kern w:val="0"/>
                <w:sz w:val="22"/>
                <w:szCs w:val="22"/>
              </w:rPr>
              <w:t xml:space="preserve"> 分期验收（共分  期，此为第  期验收）</w:t>
            </w:r>
          </w:p>
        </w:tc>
      </w:tr>
      <w:tr w14:paraId="582822D5">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827" w:hRule="atLeast"/>
        </w:trPr>
        <w:tc>
          <w:tcPr>
            <w:tcW w:w="837" w:type="pct"/>
            <w:gridSpan w:val="2"/>
            <w:vMerge w:val="restart"/>
            <w:tcBorders>
              <w:top w:val="single" w:color="808080" w:sz="4" w:space="0"/>
              <w:left w:val="single" w:color="808080" w:sz="4" w:space="0"/>
              <w:bottom w:val="nil"/>
              <w:right w:val="single" w:color="808080" w:sz="4" w:space="0"/>
            </w:tcBorders>
            <w:vAlign w:val="center"/>
          </w:tcPr>
          <w:p w14:paraId="4CC5E395">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验收内容和标准</w:t>
            </w:r>
          </w:p>
        </w:tc>
        <w:tc>
          <w:tcPr>
            <w:tcW w:w="361" w:type="pct"/>
            <w:tcBorders>
              <w:right w:val="single" w:color="auto" w:sz="4" w:space="0"/>
            </w:tcBorders>
            <w:vAlign w:val="center"/>
          </w:tcPr>
          <w:p w14:paraId="5EB8AABC">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lang w:eastAsia="en-US"/>
              </w:rPr>
              <w:t>货物清单</w:t>
            </w:r>
          </w:p>
        </w:tc>
        <w:tc>
          <w:tcPr>
            <w:tcW w:w="421" w:type="pct"/>
            <w:gridSpan w:val="2"/>
            <w:tcBorders>
              <w:left w:val="single" w:color="auto" w:sz="4" w:space="0"/>
            </w:tcBorders>
            <w:vAlign w:val="center"/>
          </w:tcPr>
          <w:p w14:paraId="6D7AE5CE">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品牌、型号、规格、数量及外观质量等</w:t>
            </w:r>
          </w:p>
        </w:tc>
        <w:tc>
          <w:tcPr>
            <w:tcW w:w="420" w:type="pct"/>
            <w:gridSpan w:val="2"/>
            <w:tcBorders>
              <w:right w:val="single" w:color="auto" w:sz="4" w:space="0"/>
            </w:tcBorders>
            <w:vAlign w:val="center"/>
          </w:tcPr>
          <w:p w14:paraId="1ECF052D">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lang w:eastAsia="en-US"/>
              </w:rPr>
              <w:t>技术、性能指标等</w:t>
            </w:r>
          </w:p>
        </w:tc>
        <w:tc>
          <w:tcPr>
            <w:tcW w:w="420" w:type="pct"/>
            <w:gridSpan w:val="3"/>
            <w:tcBorders>
              <w:left w:val="single" w:color="auto" w:sz="4" w:space="0"/>
            </w:tcBorders>
            <w:vAlign w:val="center"/>
          </w:tcPr>
          <w:p w14:paraId="07065436">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运行状况及安装调试等</w:t>
            </w:r>
          </w:p>
        </w:tc>
        <w:tc>
          <w:tcPr>
            <w:tcW w:w="421" w:type="pct"/>
            <w:gridSpan w:val="2"/>
            <w:vAlign w:val="center"/>
          </w:tcPr>
          <w:p w14:paraId="18D94C53">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lang w:eastAsia="en-US"/>
              </w:rPr>
              <w:t>质量证明文件</w:t>
            </w:r>
          </w:p>
        </w:tc>
        <w:tc>
          <w:tcPr>
            <w:tcW w:w="421" w:type="pct"/>
            <w:gridSpan w:val="2"/>
            <w:tcBorders>
              <w:right w:val="single" w:color="auto" w:sz="4" w:space="0"/>
            </w:tcBorders>
            <w:vAlign w:val="center"/>
          </w:tcPr>
          <w:p w14:paraId="6351C22C">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售后服务承诺</w:t>
            </w:r>
          </w:p>
        </w:tc>
        <w:tc>
          <w:tcPr>
            <w:tcW w:w="423" w:type="pct"/>
            <w:gridSpan w:val="2"/>
            <w:tcBorders>
              <w:left w:val="single" w:color="auto" w:sz="4" w:space="0"/>
            </w:tcBorders>
            <w:vAlign w:val="center"/>
          </w:tcPr>
          <w:p w14:paraId="529310C3">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lang w:eastAsia="en-US"/>
              </w:rPr>
              <w:t>安全要求</w:t>
            </w:r>
          </w:p>
        </w:tc>
        <w:tc>
          <w:tcPr>
            <w:tcW w:w="420" w:type="pct"/>
            <w:tcBorders>
              <w:right w:val="single" w:color="auto" w:sz="4" w:space="0"/>
            </w:tcBorders>
            <w:vAlign w:val="center"/>
          </w:tcPr>
          <w:p w14:paraId="6EF6EF90">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合同履约时间、地点、方式等</w:t>
            </w:r>
          </w:p>
        </w:tc>
        <w:tc>
          <w:tcPr>
            <w:tcW w:w="850" w:type="pct"/>
            <w:tcBorders>
              <w:left w:val="single" w:color="auto" w:sz="4" w:space="0"/>
            </w:tcBorders>
            <w:vAlign w:val="center"/>
          </w:tcPr>
          <w:p w14:paraId="125168A4">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lang w:eastAsia="en-US"/>
              </w:rPr>
              <w:t>其他验收内容和标准</w:t>
            </w:r>
          </w:p>
        </w:tc>
      </w:tr>
      <w:tr w14:paraId="4C874F32">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627" w:hRule="atLeast"/>
        </w:trPr>
        <w:tc>
          <w:tcPr>
            <w:tcW w:w="837" w:type="pct"/>
            <w:gridSpan w:val="2"/>
            <w:vMerge w:val="continue"/>
            <w:tcBorders>
              <w:top w:val="nil"/>
              <w:left w:val="single" w:color="808080" w:sz="4" w:space="0"/>
              <w:bottom w:val="single" w:color="808080" w:sz="4" w:space="0"/>
              <w:right w:val="single" w:color="808080" w:sz="4" w:space="0"/>
            </w:tcBorders>
          </w:tcPr>
          <w:p w14:paraId="16CD3B9E">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p>
        </w:tc>
        <w:tc>
          <w:tcPr>
            <w:tcW w:w="361" w:type="pct"/>
            <w:tcBorders>
              <w:right w:val="single" w:color="auto" w:sz="4" w:space="0"/>
            </w:tcBorders>
            <w:vAlign w:val="center"/>
          </w:tcPr>
          <w:p w14:paraId="5A74E800">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lang w:eastAsia="en-US"/>
              </w:rPr>
              <w:t>合  格</w:t>
            </w:r>
            <w:r>
              <w:rPr>
                <w:rFonts w:hint="eastAsia" w:ascii="仿宋_GB2312" w:hAnsi="仿宋_GB2312" w:eastAsia="仿宋_GB2312" w:cs="仿宋_GB2312"/>
                <w:snapToGrid w:val="0"/>
                <w:color w:val="000000"/>
                <w:spacing w:val="-1"/>
                <w:kern w:val="0"/>
                <w:sz w:val="22"/>
                <w:szCs w:val="22"/>
                <w:lang w:eastAsia="en-US"/>
              </w:rPr>
              <w:sym w:font="Wingdings 2" w:char="F0A3"/>
            </w:r>
          </w:p>
          <w:p w14:paraId="51F52C67">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lang w:eastAsia="en-US"/>
              </w:rPr>
              <w:t>不合格</w:t>
            </w:r>
            <w:r>
              <w:rPr>
                <w:rFonts w:hint="eastAsia" w:ascii="仿宋_GB2312" w:hAnsi="仿宋_GB2312" w:eastAsia="仿宋_GB2312" w:cs="仿宋_GB2312"/>
                <w:snapToGrid w:val="0"/>
                <w:color w:val="000000"/>
                <w:spacing w:val="-1"/>
                <w:kern w:val="0"/>
                <w:sz w:val="22"/>
                <w:szCs w:val="22"/>
                <w:lang w:eastAsia="en-US"/>
              </w:rPr>
              <w:sym w:font="Wingdings 2" w:char="00A3"/>
            </w:r>
          </w:p>
        </w:tc>
        <w:tc>
          <w:tcPr>
            <w:tcW w:w="421" w:type="pct"/>
            <w:gridSpan w:val="2"/>
            <w:tcBorders>
              <w:left w:val="single" w:color="auto" w:sz="4" w:space="0"/>
            </w:tcBorders>
            <w:vAlign w:val="center"/>
          </w:tcPr>
          <w:p w14:paraId="45B5548B">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lang w:eastAsia="en-US"/>
              </w:rPr>
            </w:pPr>
            <w:r>
              <w:rPr>
                <w:rFonts w:hint="eastAsia" w:ascii="仿宋_GB2312" w:hAnsi="仿宋_GB2312" w:eastAsia="仿宋_GB2312" w:cs="仿宋_GB2312"/>
                <w:snapToGrid w:val="0"/>
                <w:color w:val="000000"/>
                <w:spacing w:val="-1"/>
                <w:kern w:val="0"/>
                <w:sz w:val="22"/>
                <w:szCs w:val="22"/>
                <w:lang w:eastAsia="en-US"/>
              </w:rPr>
              <w:t>合  格</w:t>
            </w:r>
            <w:r>
              <w:rPr>
                <w:rFonts w:hint="eastAsia" w:ascii="仿宋_GB2312" w:hAnsi="仿宋_GB2312" w:eastAsia="仿宋_GB2312" w:cs="仿宋_GB2312"/>
                <w:snapToGrid w:val="0"/>
                <w:color w:val="000000"/>
                <w:spacing w:val="-1"/>
                <w:kern w:val="0"/>
                <w:sz w:val="22"/>
                <w:szCs w:val="22"/>
                <w:lang w:eastAsia="en-US"/>
              </w:rPr>
              <w:sym w:font="Wingdings 2" w:char="F0A3"/>
            </w:r>
          </w:p>
          <w:p w14:paraId="58792C44">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lang w:eastAsia="en-US"/>
              </w:rPr>
              <w:t>不合格</w:t>
            </w:r>
            <w:r>
              <w:rPr>
                <w:rFonts w:hint="eastAsia" w:ascii="仿宋_GB2312" w:hAnsi="仿宋_GB2312" w:eastAsia="仿宋_GB2312" w:cs="仿宋_GB2312"/>
                <w:snapToGrid w:val="0"/>
                <w:color w:val="000000"/>
                <w:spacing w:val="-1"/>
                <w:kern w:val="0"/>
                <w:sz w:val="22"/>
                <w:szCs w:val="22"/>
                <w:lang w:eastAsia="en-US"/>
              </w:rPr>
              <w:sym w:font="Wingdings 2" w:char="F0A3"/>
            </w:r>
          </w:p>
        </w:tc>
        <w:tc>
          <w:tcPr>
            <w:tcW w:w="420" w:type="pct"/>
            <w:gridSpan w:val="2"/>
            <w:tcBorders>
              <w:right w:val="single" w:color="auto" w:sz="4" w:space="0"/>
            </w:tcBorders>
            <w:vAlign w:val="center"/>
          </w:tcPr>
          <w:p w14:paraId="3BA40964">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lang w:eastAsia="en-US"/>
              </w:rPr>
              <w:t>合  格</w:t>
            </w:r>
            <w:r>
              <w:rPr>
                <w:rFonts w:hint="eastAsia" w:ascii="仿宋_GB2312" w:hAnsi="仿宋_GB2312" w:eastAsia="仿宋_GB2312" w:cs="仿宋_GB2312"/>
                <w:snapToGrid w:val="0"/>
                <w:color w:val="000000"/>
                <w:spacing w:val="-1"/>
                <w:kern w:val="0"/>
                <w:sz w:val="22"/>
                <w:szCs w:val="22"/>
                <w:lang w:eastAsia="en-US"/>
              </w:rPr>
              <w:sym w:font="Wingdings 2" w:char="00A3"/>
            </w:r>
          </w:p>
          <w:p w14:paraId="1F090F42">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lang w:eastAsia="en-US"/>
              </w:rPr>
              <w:t>不合格</w:t>
            </w:r>
            <w:r>
              <w:rPr>
                <w:rFonts w:hint="eastAsia" w:ascii="仿宋_GB2312" w:hAnsi="仿宋_GB2312" w:eastAsia="仿宋_GB2312" w:cs="仿宋_GB2312"/>
                <w:snapToGrid w:val="0"/>
                <w:color w:val="000000"/>
                <w:spacing w:val="-1"/>
                <w:kern w:val="0"/>
                <w:sz w:val="22"/>
                <w:szCs w:val="22"/>
                <w:lang w:eastAsia="en-US"/>
              </w:rPr>
              <w:sym w:font="Wingdings 2" w:char="F0A3"/>
            </w:r>
          </w:p>
        </w:tc>
        <w:tc>
          <w:tcPr>
            <w:tcW w:w="420" w:type="pct"/>
            <w:gridSpan w:val="3"/>
            <w:tcBorders>
              <w:left w:val="single" w:color="auto" w:sz="4" w:space="0"/>
            </w:tcBorders>
            <w:vAlign w:val="center"/>
          </w:tcPr>
          <w:p w14:paraId="399B06DB">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lang w:eastAsia="en-US"/>
              </w:rPr>
            </w:pPr>
            <w:r>
              <w:rPr>
                <w:rFonts w:hint="eastAsia" w:ascii="仿宋_GB2312" w:hAnsi="仿宋_GB2312" w:eastAsia="仿宋_GB2312" w:cs="仿宋_GB2312"/>
                <w:snapToGrid w:val="0"/>
                <w:color w:val="000000"/>
                <w:spacing w:val="-1"/>
                <w:kern w:val="0"/>
                <w:sz w:val="22"/>
                <w:szCs w:val="22"/>
                <w:lang w:eastAsia="en-US"/>
              </w:rPr>
              <w:t>合  格</w:t>
            </w:r>
            <w:r>
              <w:rPr>
                <w:rFonts w:hint="eastAsia" w:ascii="仿宋_GB2312" w:hAnsi="仿宋_GB2312" w:eastAsia="仿宋_GB2312" w:cs="仿宋_GB2312"/>
                <w:snapToGrid w:val="0"/>
                <w:color w:val="000000"/>
                <w:spacing w:val="-1"/>
                <w:kern w:val="0"/>
                <w:sz w:val="22"/>
                <w:szCs w:val="22"/>
                <w:lang w:eastAsia="en-US"/>
              </w:rPr>
              <w:sym w:font="Wingdings 2" w:char="F0A3"/>
            </w:r>
          </w:p>
          <w:p w14:paraId="0B62DC06">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lang w:eastAsia="en-US"/>
              </w:rPr>
              <w:t>不合格</w:t>
            </w:r>
            <w:r>
              <w:rPr>
                <w:rFonts w:hint="eastAsia" w:ascii="仿宋_GB2312" w:hAnsi="仿宋_GB2312" w:eastAsia="仿宋_GB2312" w:cs="仿宋_GB2312"/>
                <w:snapToGrid w:val="0"/>
                <w:color w:val="000000"/>
                <w:spacing w:val="-1"/>
                <w:kern w:val="0"/>
                <w:sz w:val="22"/>
                <w:szCs w:val="22"/>
                <w:lang w:eastAsia="en-US"/>
              </w:rPr>
              <w:sym w:font="Wingdings 2" w:char="F0A3"/>
            </w:r>
          </w:p>
        </w:tc>
        <w:tc>
          <w:tcPr>
            <w:tcW w:w="421" w:type="pct"/>
            <w:gridSpan w:val="2"/>
            <w:vAlign w:val="center"/>
          </w:tcPr>
          <w:p w14:paraId="6A9F8B33">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lang w:eastAsia="en-US"/>
              </w:rPr>
            </w:pPr>
            <w:r>
              <w:rPr>
                <w:rFonts w:hint="eastAsia" w:ascii="仿宋_GB2312" w:hAnsi="仿宋_GB2312" w:eastAsia="仿宋_GB2312" w:cs="仿宋_GB2312"/>
                <w:snapToGrid w:val="0"/>
                <w:color w:val="000000"/>
                <w:spacing w:val="-1"/>
                <w:kern w:val="0"/>
                <w:sz w:val="22"/>
                <w:szCs w:val="22"/>
                <w:lang w:eastAsia="en-US"/>
              </w:rPr>
              <w:t>合</w:t>
            </w:r>
            <w:r>
              <w:rPr>
                <w:rFonts w:hint="eastAsia" w:ascii="仿宋_GB2312" w:hAnsi="仿宋_GB2312" w:eastAsia="仿宋_GB2312" w:cs="仿宋_GB2312"/>
                <w:snapToGrid w:val="0"/>
                <w:color w:val="000000"/>
                <w:spacing w:val="-1"/>
                <w:kern w:val="0"/>
                <w:sz w:val="22"/>
                <w:szCs w:val="22"/>
              </w:rPr>
              <w:t xml:space="preserve">  </w:t>
            </w:r>
            <w:r>
              <w:rPr>
                <w:rFonts w:hint="eastAsia" w:ascii="仿宋_GB2312" w:hAnsi="仿宋_GB2312" w:eastAsia="仿宋_GB2312" w:cs="仿宋_GB2312"/>
                <w:snapToGrid w:val="0"/>
                <w:color w:val="000000"/>
                <w:spacing w:val="-1"/>
                <w:kern w:val="0"/>
                <w:sz w:val="22"/>
                <w:szCs w:val="22"/>
                <w:lang w:eastAsia="en-US"/>
              </w:rPr>
              <w:t>格</w:t>
            </w:r>
            <w:r>
              <w:rPr>
                <w:rFonts w:hint="eastAsia" w:ascii="仿宋_GB2312" w:hAnsi="仿宋_GB2312" w:eastAsia="仿宋_GB2312" w:cs="仿宋_GB2312"/>
                <w:snapToGrid w:val="0"/>
                <w:color w:val="000000"/>
                <w:spacing w:val="-1"/>
                <w:kern w:val="0"/>
                <w:sz w:val="22"/>
                <w:szCs w:val="22"/>
                <w:lang w:eastAsia="en-US"/>
              </w:rPr>
              <w:sym w:font="Wingdings 2" w:char="F0A3"/>
            </w:r>
          </w:p>
          <w:p w14:paraId="05AC0623">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lang w:eastAsia="en-US"/>
              </w:rPr>
              <w:t>不合格</w:t>
            </w:r>
            <w:r>
              <w:rPr>
                <w:rFonts w:hint="eastAsia" w:ascii="仿宋_GB2312" w:hAnsi="仿宋_GB2312" w:eastAsia="仿宋_GB2312" w:cs="仿宋_GB2312"/>
                <w:snapToGrid w:val="0"/>
                <w:color w:val="000000"/>
                <w:spacing w:val="-1"/>
                <w:kern w:val="0"/>
                <w:sz w:val="22"/>
                <w:szCs w:val="22"/>
                <w:lang w:eastAsia="en-US"/>
              </w:rPr>
              <w:sym w:font="Wingdings 2" w:char="F0A3"/>
            </w:r>
          </w:p>
        </w:tc>
        <w:tc>
          <w:tcPr>
            <w:tcW w:w="421" w:type="pct"/>
            <w:gridSpan w:val="2"/>
            <w:tcBorders>
              <w:right w:val="single" w:color="auto" w:sz="4" w:space="0"/>
            </w:tcBorders>
            <w:vAlign w:val="center"/>
          </w:tcPr>
          <w:p w14:paraId="337421B1">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lang w:eastAsia="en-US"/>
              </w:rPr>
            </w:pPr>
            <w:r>
              <w:rPr>
                <w:rFonts w:hint="eastAsia" w:ascii="仿宋_GB2312" w:hAnsi="仿宋_GB2312" w:eastAsia="仿宋_GB2312" w:cs="仿宋_GB2312"/>
                <w:snapToGrid w:val="0"/>
                <w:color w:val="000000"/>
                <w:spacing w:val="-1"/>
                <w:kern w:val="0"/>
                <w:sz w:val="22"/>
                <w:szCs w:val="22"/>
                <w:lang w:eastAsia="en-US"/>
              </w:rPr>
              <w:t>合  格</w:t>
            </w:r>
            <w:r>
              <w:rPr>
                <w:rFonts w:hint="eastAsia" w:ascii="仿宋_GB2312" w:hAnsi="仿宋_GB2312" w:eastAsia="仿宋_GB2312" w:cs="仿宋_GB2312"/>
                <w:snapToGrid w:val="0"/>
                <w:color w:val="000000"/>
                <w:spacing w:val="-1"/>
                <w:kern w:val="0"/>
                <w:sz w:val="22"/>
                <w:szCs w:val="22"/>
                <w:lang w:eastAsia="en-US"/>
              </w:rPr>
              <w:sym w:font="Wingdings 2" w:char="F0A3"/>
            </w:r>
          </w:p>
          <w:p w14:paraId="093D46E4">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lang w:eastAsia="en-US"/>
              </w:rPr>
              <w:t>不合格</w:t>
            </w:r>
            <w:r>
              <w:rPr>
                <w:rFonts w:hint="eastAsia" w:ascii="仿宋_GB2312" w:hAnsi="仿宋_GB2312" w:eastAsia="仿宋_GB2312" w:cs="仿宋_GB2312"/>
                <w:snapToGrid w:val="0"/>
                <w:color w:val="000000"/>
                <w:spacing w:val="-1"/>
                <w:kern w:val="0"/>
                <w:sz w:val="22"/>
                <w:szCs w:val="22"/>
                <w:lang w:eastAsia="en-US"/>
              </w:rPr>
              <w:sym w:font="Wingdings 2" w:char="F0A3"/>
            </w:r>
          </w:p>
        </w:tc>
        <w:tc>
          <w:tcPr>
            <w:tcW w:w="423" w:type="pct"/>
            <w:gridSpan w:val="2"/>
            <w:tcBorders>
              <w:left w:val="single" w:color="auto" w:sz="4" w:space="0"/>
            </w:tcBorders>
            <w:vAlign w:val="center"/>
          </w:tcPr>
          <w:p w14:paraId="0ED5462A">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lang w:eastAsia="en-US"/>
              </w:rPr>
            </w:pPr>
            <w:r>
              <w:rPr>
                <w:rFonts w:hint="eastAsia" w:ascii="仿宋_GB2312" w:hAnsi="仿宋_GB2312" w:eastAsia="仿宋_GB2312" w:cs="仿宋_GB2312"/>
                <w:snapToGrid w:val="0"/>
                <w:color w:val="000000"/>
                <w:spacing w:val="-1"/>
                <w:kern w:val="0"/>
                <w:sz w:val="22"/>
                <w:szCs w:val="22"/>
                <w:lang w:eastAsia="en-US"/>
              </w:rPr>
              <w:t>合  格</w:t>
            </w:r>
            <w:r>
              <w:rPr>
                <w:rFonts w:hint="eastAsia" w:ascii="仿宋_GB2312" w:hAnsi="仿宋_GB2312" w:eastAsia="仿宋_GB2312" w:cs="仿宋_GB2312"/>
                <w:snapToGrid w:val="0"/>
                <w:color w:val="000000"/>
                <w:spacing w:val="-1"/>
                <w:kern w:val="0"/>
                <w:sz w:val="22"/>
                <w:szCs w:val="22"/>
                <w:lang w:eastAsia="en-US"/>
              </w:rPr>
              <w:sym w:font="Wingdings 2" w:char="F0A3"/>
            </w:r>
          </w:p>
          <w:p w14:paraId="26F1689D">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lang w:eastAsia="en-US"/>
              </w:rPr>
              <w:t>不合格</w:t>
            </w:r>
            <w:r>
              <w:rPr>
                <w:rFonts w:hint="eastAsia" w:ascii="仿宋_GB2312" w:hAnsi="仿宋_GB2312" w:eastAsia="仿宋_GB2312" w:cs="仿宋_GB2312"/>
                <w:snapToGrid w:val="0"/>
                <w:color w:val="000000"/>
                <w:spacing w:val="-1"/>
                <w:kern w:val="0"/>
                <w:sz w:val="22"/>
                <w:szCs w:val="22"/>
                <w:lang w:eastAsia="en-US"/>
              </w:rPr>
              <w:sym w:font="Wingdings 2" w:char="F0A3"/>
            </w:r>
          </w:p>
        </w:tc>
        <w:tc>
          <w:tcPr>
            <w:tcW w:w="420" w:type="pct"/>
            <w:tcBorders>
              <w:right w:val="single" w:color="auto" w:sz="4" w:space="0"/>
            </w:tcBorders>
            <w:vAlign w:val="center"/>
          </w:tcPr>
          <w:p w14:paraId="16472116">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lang w:eastAsia="en-US"/>
              </w:rPr>
            </w:pPr>
            <w:r>
              <w:rPr>
                <w:rFonts w:hint="eastAsia" w:ascii="仿宋_GB2312" w:hAnsi="仿宋_GB2312" w:eastAsia="仿宋_GB2312" w:cs="仿宋_GB2312"/>
                <w:snapToGrid w:val="0"/>
                <w:color w:val="000000"/>
                <w:spacing w:val="-1"/>
                <w:kern w:val="0"/>
                <w:sz w:val="22"/>
                <w:szCs w:val="22"/>
                <w:lang w:eastAsia="en-US"/>
              </w:rPr>
              <w:t>合  格</w:t>
            </w:r>
            <w:r>
              <w:rPr>
                <w:rFonts w:hint="eastAsia" w:ascii="仿宋_GB2312" w:hAnsi="仿宋_GB2312" w:eastAsia="仿宋_GB2312" w:cs="仿宋_GB2312"/>
                <w:snapToGrid w:val="0"/>
                <w:color w:val="000000"/>
                <w:spacing w:val="-1"/>
                <w:kern w:val="0"/>
                <w:sz w:val="22"/>
                <w:szCs w:val="22"/>
                <w:lang w:eastAsia="en-US"/>
              </w:rPr>
              <w:sym w:font="Wingdings 2" w:char="F0A3"/>
            </w:r>
          </w:p>
          <w:p w14:paraId="41CCF87F">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lang w:eastAsia="en-US"/>
              </w:rPr>
              <w:t>不合格</w:t>
            </w:r>
            <w:r>
              <w:rPr>
                <w:rFonts w:hint="eastAsia" w:ascii="仿宋_GB2312" w:hAnsi="仿宋_GB2312" w:eastAsia="仿宋_GB2312" w:cs="仿宋_GB2312"/>
                <w:snapToGrid w:val="0"/>
                <w:color w:val="000000"/>
                <w:spacing w:val="-1"/>
                <w:kern w:val="0"/>
                <w:sz w:val="22"/>
                <w:szCs w:val="22"/>
                <w:lang w:eastAsia="en-US"/>
              </w:rPr>
              <w:sym w:font="Wingdings 2" w:char="F0A3"/>
            </w:r>
          </w:p>
        </w:tc>
        <w:tc>
          <w:tcPr>
            <w:tcW w:w="850" w:type="pct"/>
            <w:tcBorders>
              <w:left w:val="single" w:color="auto" w:sz="4" w:space="0"/>
            </w:tcBorders>
          </w:tcPr>
          <w:p w14:paraId="6F66001E">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lang w:eastAsia="en-US"/>
              </w:rPr>
            </w:pPr>
            <w:r>
              <w:rPr>
                <w:rFonts w:hint="eastAsia" w:ascii="仿宋_GB2312" w:hAnsi="仿宋_GB2312" w:eastAsia="仿宋_GB2312" w:cs="仿宋_GB2312"/>
                <w:snapToGrid w:val="0"/>
                <w:color w:val="000000"/>
                <w:spacing w:val="-1"/>
                <w:kern w:val="0"/>
                <w:sz w:val="22"/>
                <w:szCs w:val="22"/>
                <w:lang w:eastAsia="en-US"/>
              </w:rPr>
              <w:t>合  格</w:t>
            </w:r>
            <w:r>
              <w:rPr>
                <w:rFonts w:hint="eastAsia" w:ascii="仿宋_GB2312" w:hAnsi="仿宋_GB2312" w:eastAsia="仿宋_GB2312" w:cs="仿宋_GB2312"/>
                <w:snapToGrid w:val="0"/>
                <w:color w:val="000000"/>
                <w:spacing w:val="-1"/>
                <w:kern w:val="0"/>
                <w:sz w:val="22"/>
                <w:szCs w:val="22"/>
                <w:lang w:eastAsia="en-US"/>
              </w:rPr>
              <w:sym w:font="Wingdings 2" w:char="F0A3"/>
            </w:r>
          </w:p>
          <w:p w14:paraId="371F72E3">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lang w:eastAsia="en-US"/>
              </w:rPr>
              <w:t>不合格</w:t>
            </w:r>
            <w:r>
              <w:rPr>
                <w:rFonts w:hint="eastAsia" w:ascii="仿宋_GB2312" w:hAnsi="仿宋_GB2312" w:eastAsia="仿宋_GB2312" w:cs="仿宋_GB2312"/>
                <w:snapToGrid w:val="0"/>
                <w:color w:val="000000"/>
                <w:spacing w:val="-1"/>
                <w:kern w:val="0"/>
                <w:sz w:val="22"/>
                <w:szCs w:val="22"/>
                <w:lang w:eastAsia="en-US"/>
              </w:rPr>
              <w:sym w:font="Wingdings 2" w:char="F0A3"/>
            </w:r>
          </w:p>
        </w:tc>
      </w:tr>
      <w:tr w14:paraId="750567DA">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696" w:hRule="atLeast"/>
        </w:trPr>
        <w:tc>
          <w:tcPr>
            <w:tcW w:w="837" w:type="pct"/>
            <w:gridSpan w:val="2"/>
            <w:tcBorders>
              <w:top w:val="single" w:color="808080" w:sz="4" w:space="0"/>
              <w:left w:val="single" w:color="808080" w:sz="4" w:space="0"/>
              <w:bottom w:val="single" w:color="808080" w:sz="4" w:space="0"/>
              <w:right w:val="single" w:color="808080" w:sz="4" w:space="0"/>
            </w:tcBorders>
            <w:vAlign w:val="center"/>
          </w:tcPr>
          <w:p w14:paraId="7DF61E1B">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专业质量检测机构情况说明（如有）</w:t>
            </w:r>
          </w:p>
        </w:tc>
        <w:tc>
          <w:tcPr>
            <w:tcW w:w="4162" w:type="pct"/>
            <w:gridSpan w:val="16"/>
          </w:tcPr>
          <w:p w14:paraId="65EDF60E">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p>
        </w:tc>
      </w:tr>
      <w:tr w14:paraId="070FD65B">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448" w:hRule="atLeast"/>
        </w:trPr>
        <w:tc>
          <w:tcPr>
            <w:tcW w:w="837" w:type="pct"/>
            <w:gridSpan w:val="2"/>
            <w:tcBorders>
              <w:top w:val="single" w:color="808080" w:sz="4" w:space="0"/>
              <w:left w:val="single" w:color="808080" w:sz="4" w:space="0"/>
              <w:bottom w:val="single" w:color="808080" w:sz="4" w:space="0"/>
              <w:right w:val="single" w:color="808080" w:sz="4" w:space="0"/>
            </w:tcBorders>
            <w:vAlign w:val="center"/>
          </w:tcPr>
          <w:p w14:paraId="6B6DFE32">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验收情况说明</w:t>
            </w:r>
          </w:p>
        </w:tc>
        <w:tc>
          <w:tcPr>
            <w:tcW w:w="4162" w:type="pct"/>
            <w:gridSpan w:val="16"/>
          </w:tcPr>
          <w:p w14:paraId="75BDA27F">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p>
        </w:tc>
      </w:tr>
      <w:tr w14:paraId="6299E8BF">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573" w:hRule="atLeast"/>
        </w:trPr>
        <w:tc>
          <w:tcPr>
            <w:tcW w:w="837" w:type="pct"/>
            <w:gridSpan w:val="2"/>
            <w:tcBorders>
              <w:left w:val="single" w:color="808080" w:sz="4" w:space="0"/>
              <w:bottom w:val="single" w:color="808080" w:sz="4" w:space="0"/>
              <w:right w:val="single" w:color="808080" w:sz="4" w:space="0"/>
            </w:tcBorders>
            <w:vAlign w:val="center"/>
          </w:tcPr>
          <w:p w14:paraId="059F0A0C">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存在问题和改进意见（如有）</w:t>
            </w:r>
          </w:p>
        </w:tc>
        <w:tc>
          <w:tcPr>
            <w:tcW w:w="4162" w:type="pct"/>
            <w:gridSpan w:val="16"/>
          </w:tcPr>
          <w:p w14:paraId="41512F8C">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p>
        </w:tc>
      </w:tr>
      <w:tr w14:paraId="0AE7FCF0">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68" w:hRule="atLeast"/>
        </w:trPr>
        <w:tc>
          <w:tcPr>
            <w:tcW w:w="837" w:type="pct"/>
            <w:gridSpan w:val="2"/>
            <w:tcBorders>
              <w:top w:val="single" w:color="808080" w:sz="4" w:space="0"/>
              <w:left w:val="single" w:color="808080" w:sz="4" w:space="0"/>
              <w:bottom w:val="nil"/>
              <w:right w:val="single" w:color="808080" w:sz="4" w:space="0"/>
            </w:tcBorders>
            <w:vAlign w:val="center"/>
          </w:tcPr>
          <w:p w14:paraId="4582CDE3">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验收结论</w:t>
            </w:r>
          </w:p>
        </w:tc>
        <w:tc>
          <w:tcPr>
            <w:tcW w:w="4162" w:type="pct"/>
            <w:gridSpan w:val="16"/>
            <w:tcBorders>
              <w:right w:val="single" w:color="808080" w:sz="4" w:space="0"/>
            </w:tcBorders>
            <w:vAlign w:val="center"/>
          </w:tcPr>
          <w:p w14:paraId="462169E3">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合  格</w:t>
            </w:r>
            <w:r>
              <w:rPr>
                <w:rFonts w:hint="eastAsia" w:ascii="仿宋_GB2312" w:hAnsi="仿宋_GB2312" w:eastAsia="仿宋_GB2312" w:cs="仿宋_GB2312"/>
                <w:snapToGrid w:val="0"/>
                <w:color w:val="000000"/>
                <w:spacing w:val="-1"/>
                <w:kern w:val="0"/>
                <w:sz w:val="22"/>
                <w:szCs w:val="22"/>
              </w:rPr>
              <w:sym w:font="Wingdings 2" w:char="00A3"/>
            </w:r>
            <w:r>
              <w:rPr>
                <w:rFonts w:hint="eastAsia" w:ascii="仿宋_GB2312" w:hAnsi="仿宋_GB2312" w:eastAsia="仿宋_GB2312" w:cs="仿宋_GB2312"/>
                <w:snapToGrid w:val="0"/>
                <w:color w:val="000000"/>
                <w:spacing w:val="-1"/>
                <w:kern w:val="0"/>
                <w:sz w:val="22"/>
                <w:szCs w:val="22"/>
              </w:rPr>
              <w:t xml:space="preserve">        不合格</w:t>
            </w:r>
            <w:r>
              <w:rPr>
                <w:rFonts w:hint="eastAsia" w:ascii="仿宋_GB2312" w:hAnsi="仿宋_GB2312" w:eastAsia="仿宋_GB2312" w:cs="仿宋_GB2312"/>
                <w:snapToGrid w:val="0"/>
                <w:color w:val="000000"/>
                <w:spacing w:val="-1"/>
                <w:kern w:val="0"/>
                <w:sz w:val="22"/>
                <w:szCs w:val="22"/>
              </w:rPr>
              <w:sym w:font="Wingdings 2" w:char="F0A3"/>
            </w:r>
            <w:r>
              <w:rPr>
                <w:rFonts w:hint="eastAsia" w:ascii="仿宋_GB2312" w:hAnsi="仿宋_GB2312" w:eastAsia="仿宋_GB2312" w:cs="仿宋_GB2312"/>
                <w:snapToGrid w:val="0"/>
                <w:color w:val="000000"/>
                <w:spacing w:val="-1"/>
                <w:kern w:val="0"/>
                <w:sz w:val="22"/>
                <w:szCs w:val="22"/>
              </w:rPr>
              <w:t xml:space="preserve">       </w:t>
            </w:r>
          </w:p>
        </w:tc>
      </w:tr>
      <w:tr w14:paraId="1040926A">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583" w:hRule="atLeast"/>
        </w:trPr>
        <w:tc>
          <w:tcPr>
            <w:tcW w:w="5000" w:type="pct"/>
            <w:gridSpan w:val="18"/>
            <w:tcBorders>
              <w:top w:val="single" w:color="808080" w:sz="4" w:space="0"/>
              <w:left w:val="single" w:color="808080" w:sz="4" w:space="0"/>
              <w:bottom w:val="single" w:color="808080" w:sz="4" w:space="0"/>
            </w:tcBorders>
            <w:vAlign w:val="center"/>
          </w:tcPr>
          <w:p w14:paraId="00DF4401">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验收小组成员签字</w:t>
            </w:r>
          </w:p>
        </w:tc>
      </w:tr>
      <w:tr w14:paraId="07740EDF">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1082" w:hRule="atLeast"/>
        </w:trPr>
        <w:tc>
          <w:tcPr>
            <w:tcW w:w="551" w:type="pct"/>
            <w:tcBorders>
              <w:top w:val="single" w:color="808080" w:sz="4" w:space="0"/>
              <w:left w:val="single" w:color="808080" w:sz="4" w:space="0"/>
              <w:bottom w:val="single" w:color="808080" w:sz="4" w:space="0"/>
            </w:tcBorders>
            <w:vAlign w:val="center"/>
          </w:tcPr>
          <w:p w14:paraId="183D9AE4">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姓名</w:t>
            </w:r>
          </w:p>
        </w:tc>
        <w:tc>
          <w:tcPr>
            <w:tcW w:w="1288" w:type="pct"/>
            <w:gridSpan w:val="5"/>
            <w:tcBorders>
              <w:top w:val="single" w:color="808080" w:sz="4" w:space="0"/>
              <w:left w:val="single" w:color="808080" w:sz="4" w:space="0"/>
              <w:bottom w:val="single" w:color="808080" w:sz="4" w:space="0"/>
            </w:tcBorders>
            <w:vAlign w:val="center"/>
          </w:tcPr>
          <w:p w14:paraId="0E6BEC85">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工作单位</w:t>
            </w:r>
          </w:p>
        </w:tc>
        <w:tc>
          <w:tcPr>
            <w:tcW w:w="919" w:type="pct"/>
            <w:gridSpan w:val="5"/>
            <w:tcBorders>
              <w:top w:val="single" w:color="808080" w:sz="4" w:space="0"/>
              <w:left w:val="single" w:color="808080" w:sz="4" w:space="0"/>
              <w:bottom w:val="single" w:color="808080" w:sz="4" w:space="0"/>
            </w:tcBorders>
            <w:vAlign w:val="center"/>
          </w:tcPr>
          <w:p w14:paraId="5D5D5151">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职务/职称</w:t>
            </w:r>
          </w:p>
        </w:tc>
        <w:tc>
          <w:tcPr>
            <w:tcW w:w="922" w:type="pct"/>
            <w:gridSpan w:val="4"/>
            <w:tcBorders>
              <w:top w:val="single" w:color="808080" w:sz="4" w:space="0"/>
              <w:left w:val="single" w:color="808080" w:sz="4" w:space="0"/>
              <w:bottom w:val="single" w:color="808080" w:sz="4" w:space="0"/>
            </w:tcBorders>
            <w:vAlign w:val="center"/>
          </w:tcPr>
          <w:p w14:paraId="60056BF3">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联系方式</w:t>
            </w:r>
          </w:p>
        </w:tc>
        <w:tc>
          <w:tcPr>
            <w:tcW w:w="1318" w:type="pct"/>
            <w:gridSpan w:val="3"/>
            <w:tcBorders>
              <w:top w:val="single" w:color="808080" w:sz="4" w:space="0"/>
              <w:left w:val="single" w:color="808080" w:sz="4" w:space="0"/>
              <w:bottom w:val="single" w:color="808080" w:sz="4" w:space="0"/>
            </w:tcBorders>
            <w:vAlign w:val="center"/>
          </w:tcPr>
          <w:p w14:paraId="4B0B316D">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备注（熟悉采购需求和技术要求的人员/实际使用人员/专业技术人员等）</w:t>
            </w:r>
          </w:p>
        </w:tc>
      </w:tr>
      <w:tr w14:paraId="4F62552E">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225" w:hRule="atLeast"/>
        </w:trPr>
        <w:tc>
          <w:tcPr>
            <w:tcW w:w="551" w:type="pct"/>
            <w:tcBorders>
              <w:top w:val="single" w:color="808080" w:sz="4" w:space="0"/>
              <w:left w:val="single" w:color="808080" w:sz="4" w:space="0"/>
              <w:bottom w:val="single" w:color="808080" w:sz="4" w:space="0"/>
            </w:tcBorders>
            <w:vAlign w:val="center"/>
          </w:tcPr>
          <w:p w14:paraId="0A6B468C">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16"/>
                <w:szCs w:val="16"/>
              </w:rPr>
            </w:pPr>
          </w:p>
        </w:tc>
        <w:tc>
          <w:tcPr>
            <w:tcW w:w="1288" w:type="pct"/>
            <w:gridSpan w:val="5"/>
            <w:tcBorders>
              <w:top w:val="single" w:color="808080" w:sz="4" w:space="0"/>
              <w:left w:val="single" w:color="808080" w:sz="4" w:space="0"/>
              <w:bottom w:val="single" w:color="808080" w:sz="4" w:space="0"/>
            </w:tcBorders>
            <w:vAlign w:val="center"/>
          </w:tcPr>
          <w:p w14:paraId="507E31EA">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16"/>
                <w:szCs w:val="16"/>
              </w:rPr>
            </w:pPr>
          </w:p>
        </w:tc>
        <w:tc>
          <w:tcPr>
            <w:tcW w:w="919" w:type="pct"/>
            <w:gridSpan w:val="5"/>
            <w:tcBorders>
              <w:top w:val="single" w:color="808080" w:sz="4" w:space="0"/>
              <w:left w:val="single" w:color="808080" w:sz="4" w:space="0"/>
              <w:bottom w:val="single" w:color="808080" w:sz="4" w:space="0"/>
            </w:tcBorders>
            <w:vAlign w:val="center"/>
          </w:tcPr>
          <w:p w14:paraId="144DBBAC">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16"/>
                <w:szCs w:val="16"/>
              </w:rPr>
            </w:pPr>
          </w:p>
        </w:tc>
        <w:tc>
          <w:tcPr>
            <w:tcW w:w="922" w:type="pct"/>
            <w:gridSpan w:val="4"/>
            <w:tcBorders>
              <w:top w:val="single" w:color="808080" w:sz="4" w:space="0"/>
              <w:left w:val="single" w:color="808080" w:sz="4" w:space="0"/>
              <w:bottom w:val="single" w:color="808080" w:sz="4" w:space="0"/>
            </w:tcBorders>
            <w:vAlign w:val="center"/>
          </w:tcPr>
          <w:p w14:paraId="05256AEA">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16"/>
                <w:szCs w:val="16"/>
              </w:rPr>
            </w:pPr>
          </w:p>
        </w:tc>
        <w:tc>
          <w:tcPr>
            <w:tcW w:w="1318" w:type="pct"/>
            <w:gridSpan w:val="3"/>
            <w:tcBorders>
              <w:top w:val="single" w:color="808080" w:sz="4" w:space="0"/>
              <w:left w:val="single" w:color="808080" w:sz="4" w:space="0"/>
              <w:bottom w:val="single" w:color="808080" w:sz="4" w:space="0"/>
            </w:tcBorders>
            <w:vAlign w:val="center"/>
          </w:tcPr>
          <w:p w14:paraId="078333AE">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16"/>
                <w:szCs w:val="16"/>
              </w:rPr>
            </w:pPr>
          </w:p>
        </w:tc>
      </w:tr>
      <w:tr w14:paraId="7C16ADE0">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204" w:hRule="atLeast"/>
        </w:trPr>
        <w:tc>
          <w:tcPr>
            <w:tcW w:w="551" w:type="pct"/>
            <w:tcBorders>
              <w:top w:val="single" w:color="808080" w:sz="4" w:space="0"/>
              <w:left w:val="single" w:color="808080" w:sz="4" w:space="0"/>
              <w:bottom w:val="single" w:color="808080" w:sz="4" w:space="0"/>
            </w:tcBorders>
            <w:vAlign w:val="center"/>
          </w:tcPr>
          <w:p w14:paraId="0A6A9DAE">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16"/>
                <w:szCs w:val="16"/>
              </w:rPr>
            </w:pPr>
          </w:p>
        </w:tc>
        <w:tc>
          <w:tcPr>
            <w:tcW w:w="1288" w:type="pct"/>
            <w:gridSpan w:val="5"/>
            <w:tcBorders>
              <w:top w:val="single" w:color="808080" w:sz="4" w:space="0"/>
              <w:left w:val="single" w:color="808080" w:sz="4" w:space="0"/>
              <w:bottom w:val="single" w:color="808080" w:sz="4" w:space="0"/>
            </w:tcBorders>
            <w:vAlign w:val="center"/>
          </w:tcPr>
          <w:p w14:paraId="372FD921">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16"/>
                <w:szCs w:val="16"/>
              </w:rPr>
            </w:pPr>
          </w:p>
        </w:tc>
        <w:tc>
          <w:tcPr>
            <w:tcW w:w="919" w:type="pct"/>
            <w:gridSpan w:val="5"/>
            <w:tcBorders>
              <w:top w:val="single" w:color="808080" w:sz="4" w:space="0"/>
              <w:left w:val="single" w:color="808080" w:sz="4" w:space="0"/>
              <w:bottom w:val="single" w:color="808080" w:sz="4" w:space="0"/>
            </w:tcBorders>
            <w:vAlign w:val="center"/>
          </w:tcPr>
          <w:p w14:paraId="41A99451">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16"/>
                <w:szCs w:val="16"/>
              </w:rPr>
            </w:pPr>
          </w:p>
        </w:tc>
        <w:tc>
          <w:tcPr>
            <w:tcW w:w="922" w:type="pct"/>
            <w:gridSpan w:val="4"/>
            <w:tcBorders>
              <w:top w:val="single" w:color="808080" w:sz="4" w:space="0"/>
              <w:left w:val="single" w:color="808080" w:sz="4" w:space="0"/>
              <w:bottom w:val="single" w:color="808080" w:sz="4" w:space="0"/>
            </w:tcBorders>
            <w:vAlign w:val="center"/>
          </w:tcPr>
          <w:p w14:paraId="21ABAC49">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16"/>
                <w:szCs w:val="16"/>
              </w:rPr>
            </w:pPr>
          </w:p>
        </w:tc>
        <w:tc>
          <w:tcPr>
            <w:tcW w:w="1318" w:type="pct"/>
            <w:gridSpan w:val="3"/>
            <w:tcBorders>
              <w:top w:val="single" w:color="808080" w:sz="4" w:space="0"/>
              <w:left w:val="single" w:color="808080" w:sz="4" w:space="0"/>
              <w:bottom w:val="single" w:color="808080" w:sz="4" w:space="0"/>
            </w:tcBorders>
            <w:vAlign w:val="center"/>
          </w:tcPr>
          <w:p w14:paraId="51FD4396">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16"/>
                <w:szCs w:val="16"/>
              </w:rPr>
            </w:pPr>
          </w:p>
        </w:tc>
      </w:tr>
      <w:tr w14:paraId="4D2958CC">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204" w:hRule="atLeast"/>
        </w:trPr>
        <w:tc>
          <w:tcPr>
            <w:tcW w:w="551" w:type="pct"/>
            <w:tcBorders>
              <w:top w:val="single" w:color="808080" w:sz="4" w:space="0"/>
              <w:left w:val="single" w:color="808080" w:sz="4" w:space="0"/>
              <w:bottom w:val="single" w:color="808080" w:sz="4" w:space="0"/>
            </w:tcBorders>
            <w:vAlign w:val="center"/>
          </w:tcPr>
          <w:p w14:paraId="0D196928">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16"/>
                <w:szCs w:val="16"/>
              </w:rPr>
            </w:pPr>
          </w:p>
        </w:tc>
        <w:tc>
          <w:tcPr>
            <w:tcW w:w="1288" w:type="pct"/>
            <w:gridSpan w:val="5"/>
            <w:tcBorders>
              <w:top w:val="single" w:color="808080" w:sz="4" w:space="0"/>
              <w:left w:val="single" w:color="808080" w:sz="4" w:space="0"/>
              <w:bottom w:val="single" w:color="808080" w:sz="4" w:space="0"/>
            </w:tcBorders>
            <w:vAlign w:val="center"/>
          </w:tcPr>
          <w:p w14:paraId="22E3E3E6">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16"/>
                <w:szCs w:val="16"/>
              </w:rPr>
            </w:pPr>
          </w:p>
        </w:tc>
        <w:tc>
          <w:tcPr>
            <w:tcW w:w="919" w:type="pct"/>
            <w:gridSpan w:val="5"/>
            <w:tcBorders>
              <w:top w:val="single" w:color="808080" w:sz="4" w:space="0"/>
              <w:left w:val="single" w:color="808080" w:sz="4" w:space="0"/>
              <w:bottom w:val="single" w:color="808080" w:sz="4" w:space="0"/>
            </w:tcBorders>
            <w:vAlign w:val="center"/>
          </w:tcPr>
          <w:p w14:paraId="1BAAA328">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16"/>
                <w:szCs w:val="16"/>
              </w:rPr>
            </w:pPr>
          </w:p>
        </w:tc>
        <w:tc>
          <w:tcPr>
            <w:tcW w:w="922" w:type="pct"/>
            <w:gridSpan w:val="4"/>
            <w:tcBorders>
              <w:top w:val="single" w:color="808080" w:sz="4" w:space="0"/>
              <w:left w:val="single" w:color="808080" w:sz="4" w:space="0"/>
              <w:bottom w:val="single" w:color="808080" w:sz="4" w:space="0"/>
            </w:tcBorders>
            <w:vAlign w:val="center"/>
          </w:tcPr>
          <w:p w14:paraId="7C41FCA3">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16"/>
                <w:szCs w:val="16"/>
              </w:rPr>
            </w:pPr>
          </w:p>
        </w:tc>
        <w:tc>
          <w:tcPr>
            <w:tcW w:w="1318" w:type="pct"/>
            <w:gridSpan w:val="3"/>
            <w:tcBorders>
              <w:top w:val="single" w:color="808080" w:sz="4" w:space="0"/>
              <w:left w:val="single" w:color="808080" w:sz="4" w:space="0"/>
              <w:bottom w:val="single" w:color="808080" w:sz="4" w:space="0"/>
            </w:tcBorders>
            <w:vAlign w:val="center"/>
          </w:tcPr>
          <w:p w14:paraId="0A85E185">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16"/>
                <w:szCs w:val="16"/>
              </w:rPr>
            </w:pPr>
          </w:p>
        </w:tc>
      </w:tr>
      <w:tr w14:paraId="47829D58">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627" w:hRule="atLeast"/>
        </w:trPr>
        <w:tc>
          <w:tcPr>
            <w:tcW w:w="5000" w:type="pct"/>
            <w:gridSpan w:val="18"/>
            <w:tcBorders>
              <w:top w:val="single" w:color="808080" w:sz="4" w:space="0"/>
              <w:left w:val="single" w:color="808080" w:sz="4" w:space="0"/>
              <w:bottom w:val="single" w:color="808080" w:sz="4" w:space="0"/>
              <w:right w:val="single" w:color="808080" w:sz="4" w:space="0"/>
            </w:tcBorders>
          </w:tcPr>
          <w:p w14:paraId="46406DC4">
            <w:pPr>
              <w:pStyle w:val="18"/>
              <w:widowControl/>
              <w:kinsoku w:val="0"/>
              <w:autoSpaceDE w:val="0"/>
              <w:autoSpaceDN w:val="0"/>
              <w:adjustRightInd w:val="0"/>
              <w:snapToGrid w:val="0"/>
              <w:spacing w:before="61" w:line="221" w:lineRule="auto"/>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供应商确认（同意验收结论/不同意验收结论）</w:t>
            </w:r>
          </w:p>
          <w:p w14:paraId="30BFC202">
            <w:pPr>
              <w:pStyle w:val="18"/>
              <w:widowControl/>
              <w:kinsoku w:val="0"/>
              <w:autoSpaceDE w:val="0"/>
              <w:autoSpaceDN w:val="0"/>
              <w:adjustRightInd w:val="0"/>
              <w:snapToGrid w:val="0"/>
              <w:spacing w:before="61" w:line="221" w:lineRule="auto"/>
              <w:jc w:val="right"/>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（单位公章或授权代表签字）</w:t>
            </w:r>
          </w:p>
        </w:tc>
      </w:tr>
      <w:tr w14:paraId="5EDD2DDD">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18" w:hRule="atLeast"/>
        </w:trPr>
        <w:tc>
          <w:tcPr>
            <w:tcW w:w="2317" w:type="pct"/>
            <w:gridSpan w:val="9"/>
            <w:tcBorders>
              <w:top w:val="single" w:color="808080" w:sz="4" w:space="0"/>
              <w:left w:val="single" w:color="808080" w:sz="4" w:space="0"/>
              <w:bottom w:val="single" w:color="808080" w:sz="4" w:space="0"/>
              <w:right w:val="single" w:color="808080" w:sz="4" w:space="0"/>
            </w:tcBorders>
          </w:tcPr>
          <w:p w14:paraId="78DB11E8">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第三方机构签章（如有）</w:t>
            </w:r>
          </w:p>
        </w:tc>
        <w:tc>
          <w:tcPr>
            <w:tcW w:w="2682" w:type="pct"/>
            <w:gridSpan w:val="9"/>
          </w:tcPr>
          <w:p w14:paraId="074AE26D">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采购单位确认意见</w:t>
            </w:r>
          </w:p>
        </w:tc>
      </w:tr>
      <w:tr w14:paraId="1B7BE02C">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40" w:hRule="atLeast"/>
        </w:trPr>
        <w:tc>
          <w:tcPr>
            <w:tcW w:w="2317" w:type="pct"/>
            <w:gridSpan w:val="9"/>
          </w:tcPr>
          <w:p w14:paraId="66354EF3">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经办人：        负责人：  （第三方机构公章）</w:t>
            </w:r>
          </w:p>
        </w:tc>
        <w:tc>
          <w:tcPr>
            <w:tcW w:w="2682" w:type="pct"/>
            <w:gridSpan w:val="9"/>
          </w:tcPr>
          <w:p w14:paraId="2622AE0D">
            <w:pPr>
              <w:pStyle w:val="18"/>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color w:val="000000"/>
                <w:spacing w:val="-1"/>
                <w:kern w:val="0"/>
                <w:sz w:val="22"/>
                <w:szCs w:val="22"/>
              </w:rPr>
            </w:pPr>
            <w:r>
              <w:rPr>
                <w:rFonts w:hint="eastAsia" w:ascii="仿宋_GB2312" w:hAnsi="仿宋_GB2312" w:eastAsia="仿宋_GB2312" w:cs="仿宋_GB2312"/>
                <w:snapToGrid w:val="0"/>
                <w:color w:val="000000"/>
                <w:spacing w:val="-1"/>
                <w:kern w:val="0"/>
                <w:sz w:val="22"/>
                <w:szCs w:val="22"/>
              </w:rPr>
              <w:t>经办人：        负责人：     （采购人公章）</w:t>
            </w:r>
          </w:p>
        </w:tc>
      </w:tr>
    </w:tbl>
    <w:p w14:paraId="5AA17A5F"/>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73D0F">
    <w:pPr>
      <w:pStyle w:val="10"/>
      <w:jc w:val="center"/>
      <w:rPr>
        <w:rFonts w:hint="eastAsia"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B952C3">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B952C3">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2351B1"/>
    <w:multiLevelType w:val="singleLevel"/>
    <w:tmpl w:val="CA2351B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03FE25FB"/>
    <w:rsid w:val="03C77E99"/>
    <w:rsid w:val="03FE25FB"/>
    <w:rsid w:val="0561174D"/>
    <w:rsid w:val="07943BF3"/>
    <w:rsid w:val="08ED6E6B"/>
    <w:rsid w:val="09931095"/>
    <w:rsid w:val="10CB23BD"/>
    <w:rsid w:val="15035321"/>
    <w:rsid w:val="183B3024"/>
    <w:rsid w:val="1BDB3C3A"/>
    <w:rsid w:val="1D2366AB"/>
    <w:rsid w:val="1FA15E62"/>
    <w:rsid w:val="21C02D6D"/>
    <w:rsid w:val="232C0F8B"/>
    <w:rsid w:val="248C5333"/>
    <w:rsid w:val="2755784B"/>
    <w:rsid w:val="28520495"/>
    <w:rsid w:val="28D467D0"/>
    <w:rsid w:val="29B7714B"/>
    <w:rsid w:val="2A09202A"/>
    <w:rsid w:val="2AB4234D"/>
    <w:rsid w:val="2B57116C"/>
    <w:rsid w:val="2CBA67B5"/>
    <w:rsid w:val="2D012D2F"/>
    <w:rsid w:val="2DC047AC"/>
    <w:rsid w:val="330A528B"/>
    <w:rsid w:val="340205FF"/>
    <w:rsid w:val="369A2F9E"/>
    <w:rsid w:val="38116670"/>
    <w:rsid w:val="39D37D75"/>
    <w:rsid w:val="3C356755"/>
    <w:rsid w:val="3CED2111"/>
    <w:rsid w:val="3FA639A6"/>
    <w:rsid w:val="432B57DF"/>
    <w:rsid w:val="44025290"/>
    <w:rsid w:val="469B0D50"/>
    <w:rsid w:val="4C334E7A"/>
    <w:rsid w:val="52854FEC"/>
    <w:rsid w:val="54550CDF"/>
    <w:rsid w:val="54E16725"/>
    <w:rsid w:val="578318F4"/>
    <w:rsid w:val="5A4B3A12"/>
    <w:rsid w:val="5B6C23C2"/>
    <w:rsid w:val="5FB66D94"/>
    <w:rsid w:val="624168C9"/>
    <w:rsid w:val="62F04E50"/>
    <w:rsid w:val="688E376F"/>
    <w:rsid w:val="6D2055BE"/>
    <w:rsid w:val="6FA403B2"/>
    <w:rsid w:val="71461992"/>
    <w:rsid w:val="72440D8F"/>
    <w:rsid w:val="7B165BB8"/>
    <w:rsid w:val="7BB1183B"/>
    <w:rsid w:val="7C134B67"/>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5"/>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1"/>
    <w:link w:val="13"/>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6"/>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2">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qFormat/>
    <w:uiPriority w:val="0"/>
    <w:rPr>
      <w:color w:val="993300"/>
      <w:sz w:val="24"/>
    </w:rPr>
  </w:style>
  <w:style w:type="paragraph" w:styleId="8">
    <w:name w:val="Plain Text"/>
    <w:basedOn w:val="1"/>
    <w:qFormat/>
    <w:uiPriority w:val="99"/>
    <w:rPr>
      <w:rFonts w:ascii="宋体" w:hAnsi="Courier New"/>
      <w:szCs w:val="21"/>
    </w:rPr>
  </w:style>
  <w:style w:type="paragraph" w:styleId="9">
    <w:name w:val="Body Text Indent 2"/>
    <w:basedOn w:val="1"/>
    <w:qFormat/>
    <w:uiPriority w:val="0"/>
    <w:pPr>
      <w:ind w:left="555"/>
    </w:pPr>
    <w:rPr>
      <w:sz w:val="28"/>
      <w:szCs w:val="20"/>
    </w:rPr>
  </w:style>
  <w:style w:type="paragraph" w:styleId="10">
    <w:name w:val="footer"/>
    <w:basedOn w:val="1"/>
    <w:qFormat/>
    <w:uiPriority w:val="99"/>
    <w:pPr>
      <w:tabs>
        <w:tab w:val="center" w:pos="4153"/>
        <w:tab w:val="right" w:pos="8306"/>
      </w:tabs>
      <w:snapToGrid w:val="0"/>
      <w:jc w:val="left"/>
    </w:pPr>
    <w:rPr>
      <w:rFonts w:eastAsia="宋体"/>
      <w:sz w:val="18"/>
      <w:szCs w:val="18"/>
    </w:rPr>
  </w:style>
  <w:style w:type="character" w:customStyle="1" w:styleId="13">
    <w:name w:val="标题 2 Char"/>
    <w:link w:val="4"/>
    <w:qFormat/>
    <w:uiPriority w:val="9"/>
    <w:rPr>
      <w:rFonts w:ascii="Cambria" w:hAnsi="Cambria" w:eastAsia="宋体" w:cs="Times New Roman"/>
      <w:b/>
      <w:bCs/>
      <w:kern w:val="0"/>
      <w:sz w:val="28"/>
      <w:szCs w:val="32"/>
    </w:rPr>
  </w:style>
  <w:style w:type="paragraph" w:customStyle="1" w:styleId="14">
    <w:name w:val="正文2"/>
    <w:basedOn w:val="1"/>
    <w:qFormat/>
    <w:uiPriority w:val="0"/>
    <w:pPr>
      <w:ind w:firstLine="562" w:firstLineChars="200"/>
      <w:jc w:val="left"/>
    </w:pPr>
    <w:rPr>
      <w:rFonts w:hint="eastAsia"/>
    </w:rPr>
  </w:style>
  <w:style w:type="character" w:customStyle="1" w:styleId="15">
    <w:name w:val="标题 1 Char"/>
    <w:link w:val="3"/>
    <w:qFormat/>
    <w:uiPriority w:val="0"/>
    <w:rPr>
      <w:rFonts w:ascii="Times New Roman" w:hAnsi="Times New Roman" w:eastAsia="宋体" w:cs="Times New Roman"/>
      <w:b/>
      <w:kern w:val="44"/>
      <w:sz w:val="32"/>
      <w:szCs w:val="21"/>
    </w:rPr>
  </w:style>
  <w:style w:type="character" w:customStyle="1" w:styleId="16">
    <w:name w:val="标题 3 字符"/>
    <w:link w:val="5"/>
    <w:qFormat/>
    <w:uiPriority w:val="0"/>
    <w:rPr>
      <w:rFonts w:ascii="Times New Roman" w:hAnsi="Times New Roman" w:eastAsia="宋体" w:cs="Times New Roman"/>
      <w:b/>
      <w:bCs/>
      <w:sz w:val="32"/>
      <w:szCs w:val="32"/>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Table Text"/>
    <w:basedOn w:val="1"/>
    <w:semiHidden/>
    <w:qFormat/>
    <w:uiPriority w:val="0"/>
    <w:rPr>
      <w:rFonts w:ascii="宋体" w:hAnsi="宋体" w:cs="宋体"/>
      <w:sz w:val="19"/>
      <w:szCs w:val="19"/>
    </w:rPr>
  </w:style>
  <w:style w:type="table" w:customStyle="1" w:styleId="1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6239</Words>
  <Characters>6695</Characters>
  <Lines>0</Lines>
  <Paragraphs>0</Paragraphs>
  <TotalTime>1</TotalTime>
  <ScaleCrop>false</ScaleCrop>
  <LinksUpToDate>false</LinksUpToDate>
  <CharactersWithSpaces>6844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2024-11-11T06:31:00Z</dcterms:created>
  <dc:creator>罗永山</dc:creator>
  <cp:lastModifiedBy>H</cp:lastModifiedBy>
  <dcterms:modified xsi:type="dcterms:W3CDTF">2026-04-29T07:47:17Z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BEA9378E6FE44CBB8C2E199A7D2BCFDF_11</vt:lpwstr>
  </property>
  <property fmtid="{D5CDD505-2E9C-101B-9397-08002B2CF9AE}" pid="4" name="KSOTemplateDocerSaveRecord">
    <vt:lpwstr>eyJoZGlkIjoiNzg4NjQzNGZmYzgxOTYwOWJjZTNmNzQ0OTk2MTliNzUiLCJ1c2VySWQiOiI1MjUwOTc0MjQifQ==</vt:lpwstr>
  </property>
</Properties>
</file>