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9E705B">
      <w:pPr>
        <w:pStyle w:val="4"/>
        <w:wordWrap/>
        <w:bidi w:val="0"/>
        <w:spacing w:line="300" w:lineRule="auto"/>
        <w:textAlignment w:val="auto"/>
        <w:rPr>
          <w:rFonts w:hint="eastAsia" w:ascii="仿宋" w:hAnsi="仿宋" w:eastAsia="仿宋" w:cs="仿宋"/>
          <w:highlight w:val="none"/>
        </w:rPr>
      </w:pPr>
      <w:bookmarkStart w:id="0" w:name="_GoBack"/>
      <w:r>
        <w:rPr>
          <w:rFonts w:hint="eastAsia" w:ascii="仿宋" w:hAnsi="仿宋" w:eastAsia="仿宋" w:cs="仿宋"/>
          <w:highlight w:val="none"/>
        </w:rPr>
        <w:t>商务条款响应偏差表</w:t>
      </w:r>
    </w:p>
    <w:bookmarkEnd w:id="0"/>
    <w:p w14:paraId="1A71C7B5">
      <w:pPr>
        <w:tabs>
          <w:tab w:val="left" w:pos="1260"/>
        </w:tabs>
        <w:wordWrap/>
        <w:bidi w:val="0"/>
        <w:adjustRightInd w:val="0"/>
        <w:snapToGrid w:val="0"/>
        <w:spacing w:line="300" w:lineRule="auto"/>
        <w:ind w:right="64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项目编号：</w:t>
      </w:r>
      <w:r>
        <w:rPr>
          <w:rFonts w:hint="eastAsia" w:ascii="仿宋" w:hAnsi="仿宋" w:eastAsia="仿宋" w:cs="仿宋"/>
          <w:sz w:val="24"/>
          <w:highlight w:val="none"/>
          <w:lang w:val="zh-CN"/>
        </w:rPr>
        <w:t xml:space="preserve">                            </w:t>
      </w:r>
      <w:r>
        <w:rPr>
          <w:rFonts w:hint="eastAsia" w:ascii="仿宋" w:hAnsi="仿宋" w:eastAsia="仿宋" w:cs="仿宋"/>
          <w:sz w:val="24"/>
          <w:highlight w:val="none"/>
        </w:rPr>
        <w:t xml:space="preserve">              </w:t>
      </w:r>
    </w:p>
    <w:tbl>
      <w:tblPr>
        <w:tblStyle w:val="7"/>
        <w:tblW w:w="9249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2"/>
        <w:gridCol w:w="1380"/>
        <w:gridCol w:w="2341"/>
        <w:gridCol w:w="2113"/>
        <w:gridCol w:w="1125"/>
        <w:gridCol w:w="1538"/>
      </w:tblGrid>
      <w:tr w14:paraId="13AA185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2" w:hRule="atLeast"/>
          <w:jc w:val="center"/>
        </w:trPr>
        <w:tc>
          <w:tcPr>
            <w:tcW w:w="752" w:type="dxa"/>
            <w:vAlign w:val="center"/>
          </w:tcPr>
          <w:p w14:paraId="660804BE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序号</w:t>
            </w:r>
          </w:p>
        </w:tc>
        <w:tc>
          <w:tcPr>
            <w:tcW w:w="1380" w:type="dxa"/>
            <w:vAlign w:val="center"/>
          </w:tcPr>
          <w:p w14:paraId="35F48CBE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文件</w:t>
            </w:r>
          </w:p>
          <w:p w14:paraId="6178956E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条目号</w:t>
            </w:r>
          </w:p>
        </w:tc>
        <w:tc>
          <w:tcPr>
            <w:tcW w:w="2341" w:type="dxa"/>
            <w:vAlign w:val="center"/>
          </w:tcPr>
          <w:p w14:paraId="07971689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磋商文件</w:t>
            </w:r>
          </w:p>
          <w:p w14:paraId="3CCB5FAC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商务条款要求</w:t>
            </w:r>
          </w:p>
        </w:tc>
        <w:tc>
          <w:tcPr>
            <w:tcW w:w="2113" w:type="dxa"/>
            <w:vAlign w:val="center"/>
          </w:tcPr>
          <w:p w14:paraId="126DD3BE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响应文件</w:t>
            </w:r>
          </w:p>
          <w:p w14:paraId="7E0399E9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商务条款响应</w:t>
            </w:r>
          </w:p>
        </w:tc>
        <w:tc>
          <w:tcPr>
            <w:tcW w:w="1125" w:type="dxa"/>
            <w:vAlign w:val="center"/>
          </w:tcPr>
          <w:p w14:paraId="6CA16325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偏离</w:t>
            </w:r>
          </w:p>
        </w:tc>
        <w:tc>
          <w:tcPr>
            <w:tcW w:w="1538" w:type="dxa"/>
            <w:vAlign w:val="center"/>
          </w:tcPr>
          <w:p w14:paraId="0313B4AD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偏离</w:t>
            </w:r>
          </w:p>
          <w:p w14:paraId="5B788C1B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及其影响</w:t>
            </w:r>
          </w:p>
        </w:tc>
      </w:tr>
      <w:tr w14:paraId="25ACC45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52" w:type="dxa"/>
          </w:tcPr>
          <w:p w14:paraId="23A6FB8E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380" w:type="dxa"/>
          </w:tcPr>
          <w:p w14:paraId="2AC2F0D5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341" w:type="dxa"/>
          </w:tcPr>
          <w:p w14:paraId="1B6707EF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113" w:type="dxa"/>
          </w:tcPr>
          <w:p w14:paraId="5C36EC49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125" w:type="dxa"/>
          </w:tcPr>
          <w:p w14:paraId="2564B43F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538" w:type="dxa"/>
          </w:tcPr>
          <w:p w14:paraId="23CE837A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</w:tr>
      <w:tr w14:paraId="0C1C2FF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52" w:type="dxa"/>
          </w:tcPr>
          <w:p w14:paraId="7723ADC3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380" w:type="dxa"/>
          </w:tcPr>
          <w:p w14:paraId="0A173A90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341" w:type="dxa"/>
          </w:tcPr>
          <w:p w14:paraId="242D94C7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113" w:type="dxa"/>
          </w:tcPr>
          <w:p w14:paraId="280C2682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125" w:type="dxa"/>
          </w:tcPr>
          <w:p w14:paraId="675396C6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538" w:type="dxa"/>
          </w:tcPr>
          <w:p w14:paraId="565066F4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</w:tr>
      <w:tr w14:paraId="1DC067A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52" w:type="dxa"/>
          </w:tcPr>
          <w:p w14:paraId="2A87579F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380" w:type="dxa"/>
          </w:tcPr>
          <w:p w14:paraId="15B0FBBB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341" w:type="dxa"/>
          </w:tcPr>
          <w:p w14:paraId="1E1BF514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113" w:type="dxa"/>
          </w:tcPr>
          <w:p w14:paraId="4FD8B4A0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125" w:type="dxa"/>
          </w:tcPr>
          <w:p w14:paraId="79AD1E4D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538" w:type="dxa"/>
          </w:tcPr>
          <w:p w14:paraId="549841CE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</w:tr>
      <w:tr w14:paraId="45E3BB2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52" w:type="dxa"/>
          </w:tcPr>
          <w:p w14:paraId="318F6CD8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380" w:type="dxa"/>
          </w:tcPr>
          <w:p w14:paraId="4BA8BDD1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341" w:type="dxa"/>
          </w:tcPr>
          <w:p w14:paraId="1AD69705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113" w:type="dxa"/>
          </w:tcPr>
          <w:p w14:paraId="0318E052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125" w:type="dxa"/>
          </w:tcPr>
          <w:p w14:paraId="6A7C2386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538" w:type="dxa"/>
          </w:tcPr>
          <w:p w14:paraId="76CFE67B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</w:tr>
      <w:tr w14:paraId="1A4B319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52" w:type="dxa"/>
          </w:tcPr>
          <w:p w14:paraId="3CAB381C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380" w:type="dxa"/>
          </w:tcPr>
          <w:p w14:paraId="03B423BA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341" w:type="dxa"/>
          </w:tcPr>
          <w:p w14:paraId="782D0C3E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113" w:type="dxa"/>
          </w:tcPr>
          <w:p w14:paraId="1A6160F5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125" w:type="dxa"/>
          </w:tcPr>
          <w:p w14:paraId="415F4020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538" w:type="dxa"/>
          </w:tcPr>
          <w:p w14:paraId="5FC4B27F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</w:tr>
    </w:tbl>
    <w:p w14:paraId="7D9BA779">
      <w:pPr>
        <w:tabs>
          <w:tab w:val="left" w:pos="1260"/>
        </w:tabs>
        <w:wordWrap/>
        <w:bidi w:val="0"/>
        <w:spacing w:line="300" w:lineRule="auto"/>
        <w:ind w:right="-197" w:rightChars="-94" w:firstLine="480" w:firstLineChars="2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注：</w:t>
      </w:r>
    </w:p>
    <w:p w14:paraId="4341EC90">
      <w:pPr>
        <w:tabs>
          <w:tab w:val="left" w:pos="1260"/>
        </w:tabs>
        <w:wordWrap/>
        <w:bidi w:val="0"/>
        <w:spacing w:line="30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1、本表只填写磋商响应文件中与磋商文件有偏离（包括负偏离和正偏离）的内容，在磋商响应文件中须一一列出，无偏离可直接提供空白表。</w:t>
      </w:r>
    </w:p>
    <w:p w14:paraId="27F19B8F">
      <w:pPr>
        <w:tabs>
          <w:tab w:val="left" w:pos="1260"/>
        </w:tabs>
        <w:wordWrap/>
        <w:bidi w:val="0"/>
        <w:spacing w:line="300" w:lineRule="auto"/>
        <w:ind w:firstLine="470" w:firstLineChars="196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2、供应商必须据实填写，不得虚假响应，否则将取消其磋商或成交资格，并按有关规定进处罚。</w:t>
      </w:r>
    </w:p>
    <w:p w14:paraId="584403DF">
      <w:pPr>
        <w:tabs>
          <w:tab w:val="left" w:pos="1260"/>
        </w:tabs>
        <w:wordWrap/>
        <w:bidi w:val="0"/>
        <w:spacing w:line="300" w:lineRule="auto"/>
        <w:ind w:firstLine="470" w:firstLineChars="196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0BBF8EDE">
      <w:pPr>
        <w:tabs>
          <w:tab w:val="left" w:pos="1260"/>
        </w:tabs>
        <w:wordWrap/>
        <w:bidi w:val="0"/>
        <w:spacing w:line="300" w:lineRule="auto"/>
        <w:ind w:firstLine="3360" w:firstLineChars="14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供应商（公章）：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 </w:t>
      </w:r>
    </w:p>
    <w:p w14:paraId="4B33D3B7">
      <w:pPr>
        <w:tabs>
          <w:tab w:val="left" w:pos="1260"/>
        </w:tabs>
        <w:wordWrap/>
        <w:bidi w:val="0"/>
        <w:spacing w:line="300" w:lineRule="auto"/>
        <w:ind w:firstLine="3360" w:firstLineChars="1400"/>
        <w:textAlignment w:val="auto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</w:t>
      </w:r>
    </w:p>
    <w:p w14:paraId="53DCA305">
      <w:pPr>
        <w:bidi w:val="0"/>
        <w:spacing w:line="300" w:lineRule="auto"/>
        <w:ind w:firstLine="3360" w:firstLineChars="1400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     </w:t>
      </w:r>
    </w:p>
    <w:p w14:paraId="39592CDA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AC4259"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AE9348F">
                          <w:pPr>
                            <w:pStyle w:val="6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AE9348F">
                    <w:pPr>
                      <w:pStyle w:val="6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4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44C79E7"/>
    <w:rsid w:val="392F1CE1"/>
    <w:rsid w:val="710E2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unhideWhenUsed/>
    <w:qFormat/>
    <w:uiPriority w:val="0"/>
    <w:pPr>
      <w:adjustRightInd w:val="0"/>
      <w:snapToGrid w:val="0"/>
      <w:spacing w:line="300" w:lineRule="auto"/>
      <w:jc w:val="center"/>
      <w:outlineLvl w:val="1"/>
    </w:pPr>
    <w:rPr>
      <w:rFonts w:ascii="仿宋" w:hAnsi="仿宋" w:eastAsia="仿宋" w:cs="仿宋"/>
      <w:b/>
      <w:bCs/>
      <w:color w:val="auto"/>
      <w:sz w:val="24"/>
      <w:highlight w:val="none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widowControl w:val="0"/>
      <w:kinsoku/>
      <w:autoSpaceDE/>
      <w:autoSpaceDN/>
      <w:adjustRightInd/>
      <w:snapToGrid/>
      <w:spacing w:line="360" w:lineRule="auto"/>
      <w:ind w:firstLine="0" w:firstLineChars="0"/>
      <w:jc w:val="center"/>
      <w:textAlignment w:val="auto"/>
      <w:outlineLvl w:val="2"/>
    </w:pPr>
    <w:rPr>
      <w:rFonts w:ascii="Times New Roman" w:hAnsi="Times New Roman" w:eastAsia="宋体" w:cs="Times New Roman"/>
      <w:b/>
      <w:bCs/>
      <w:snapToGrid/>
      <w:kern w:val="2"/>
      <w:sz w:val="30"/>
      <w:szCs w:val="32"/>
      <w:lang w:val="zh-CN" w:eastAsia="zh-CN"/>
    </w:rPr>
  </w:style>
  <w:style w:type="paragraph" w:styleId="2">
    <w:name w:val="heading 4"/>
    <w:basedOn w:val="1"/>
    <w:next w:val="1"/>
    <w:semiHidden/>
    <w:unhideWhenUsed/>
    <w:qFormat/>
    <w:uiPriority w:val="0"/>
    <w:pPr>
      <w:widowControl w:val="0"/>
      <w:kinsoku/>
      <w:autoSpaceDE/>
      <w:autoSpaceDN/>
      <w:adjustRightInd/>
      <w:snapToGrid/>
      <w:spacing w:line="360" w:lineRule="auto"/>
      <w:jc w:val="both"/>
      <w:textAlignment w:val="auto"/>
      <w:outlineLvl w:val="3"/>
    </w:pPr>
    <w:rPr>
      <w:rFonts w:ascii="仿宋" w:hAnsi="仿宋" w:cs="Arial" w:eastAsiaTheme="minorEastAsia"/>
      <w:b/>
      <w:snapToGrid w:val="0"/>
      <w:color w:val="000000"/>
      <w:kern w:val="2"/>
      <w:szCs w:val="21"/>
      <w:lang w:eastAsia="zh-CN"/>
    </w:rPr>
  </w:style>
  <w:style w:type="character" w:default="1" w:styleId="9">
    <w:name w:val="Default Paragraph Font"/>
    <w:semiHidden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paragraph" w:styleId="6">
    <w:name w:val="footer"/>
    <w:basedOn w:val="1"/>
    <w:qFormat/>
    <w:uiPriority w:val="0"/>
    <w:pPr>
      <w:widowControl w:val="0"/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left"/>
      <w:textAlignment w:val="auto"/>
    </w:pPr>
    <w:rPr>
      <w:rFonts w:eastAsia="仿宋" w:asciiTheme="minorAscii" w:hAnsiTheme="minorAscii" w:cstheme="minorBidi"/>
      <w:snapToGrid/>
      <w:kern w:val="2"/>
      <w:sz w:val="18"/>
      <w:szCs w:val="24"/>
      <w:lang w:eastAsia="zh-CN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2026-05-15T02:08:27Z</dcterms:created>
  <dc:creator>Administrator</dc:creator>
  <cp:lastModifiedBy>陕西笃信招标有限公司</cp:lastModifiedBy>
  <dcterms:modified xsi:type="dcterms:W3CDTF">2026-05-15T02:46:09Z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eyJoZGlkIjoiMTIzYjBkMDE0MDUwZWU1MDYzY2M0YTJiMmIyMWQyNDYiLCJ1c2VySWQiOiI5MTQ3Njg1NjkifQ==</vt:lpwstr>
  </property>
  <property fmtid="{D5CDD505-2E9C-101B-9397-08002B2CF9AE}" pid="4" name="ICV">
    <vt:lpwstr>192249A4C1744D8BAC9C1BC08BE362CB_13</vt:lpwstr>
  </property>
</Properties>
</file>