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版本号：SZT2026-SN-SC-ZC-HW-017820260508001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气氛保护导热测试系统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SZT2026-SN-SC-ZC-HW-0178</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气氛保护导热测试系统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SZT2026-SN-SC-ZC-HW-0178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气氛保护导热测试系统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本设备主要用于陶瓷、玻璃、金属或合金、矿物、复合材料、高分子、橡胶等样品的热扩散系数、比热及导热系数测量。</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进口产品授权要求：本项目已进行进口产品论证，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李毓菲、陈先德、杨艳、马帅、赵倩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采购包1：1,512,000.00元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开户名称：陕西中技招标有限公司（已缴纳保证金的务必在系统上上传保证金凭证）</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180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向采购代理机构交纳招标代理服务费。招标代理服务费的收取参见国家计委颁布的《招标代理服务收费管理暂行办法》（计价格[2002]1980号）和（发改办价格[2003]857号）货物类收费标准按照中标金额的0.69%进行收取，在领取中标通知书时向采购代理机构一次性交纳。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按照招标文件以及合同要求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本设备主要用于陶瓷、玻璃、金属或合金、矿物、复合材料、高分子、橡胶等样品的热扩散系数、比热及导热系数测量。</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1,512,000.00</w:t>
      </w:r>
    </w:p>
    <w:p>
      <w:pPr>
        <w:pStyle w:val="null3"/>
      </w:pPr>
      <w:r>
        <w:rPr>
          <w:rFonts w:ascii="仿宋_GB2312" w:hAnsi="仿宋_GB2312" w:cs="仿宋_GB2312" w:eastAsia="仿宋_GB2312"/>
        </w:rPr>
        <w:t>采购包最高限价（元）: 1,512,000.00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气氛保护导热测试系统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1,512,000.00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标的名称：气氛保护导热测试系统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一、主要用途</w:t>
            </w:r>
            <w:r>
              <w:rPr>
                <w:rFonts w:ascii="仿宋_GB2312" w:hAnsi="仿宋_GB2312" w:cs="仿宋_GB2312" w:eastAsia="仿宋_GB2312"/>
                <w:sz w:val="18"/>
              </w:rPr>
              <w:t>:</w:t>
            </w:r>
          </w:p>
          <w:p>
            <w:pPr>
              <w:pStyle w:val="null3"/>
              <w:ind w:firstLine="360"/>
            </w:pPr>
            <w:r>
              <w:rPr>
                <w:rFonts w:ascii="仿宋_GB2312" w:hAnsi="仿宋_GB2312" w:cs="仿宋_GB2312" w:eastAsia="仿宋_GB2312"/>
                <w:sz w:val="18"/>
              </w:rPr>
              <w:t>可用于陶瓷、玻璃、金属或合金、矿物、复合材料、高分子、橡胶等样品的</w:t>
            </w:r>
            <w:r>
              <w:rPr>
                <w:rFonts w:ascii="仿宋_GB2312" w:hAnsi="仿宋_GB2312" w:cs="仿宋_GB2312" w:eastAsia="仿宋_GB2312"/>
                <w:sz w:val="18"/>
              </w:rPr>
              <w:t>热扩散系数、比热</w:t>
            </w:r>
            <w:r>
              <w:rPr>
                <w:rFonts w:ascii="仿宋_GB2312" w:hAnsi="仿宋_GB2312" w:cs="仿宋_GB2312" w:eastAsia="仿宋_GB2312"/>
                <w:sz w:val="18"/>
              </w:rPr>
              <w:t>及导热系数测量。</w:t>
            </w:r>
          </w:p>
          <w:p>
            <w:pPr>
              <w:pStyle w:val="null3"/>
            </w:pPr>
            <w:r>
              <w:rPr>
                <w:rFonts w:ascii="仿宋_GB2312" w:hAnsi="仿宋_GB2312" w:cs="仿宋_GB2312" w:eastAsia="仿宋_GB2312"/>
                <w:sz w:val="18"/>
              </w:rPr>
              <w:t>二、主要技术参数：</w:t>
            </w:r>
          </w:p>
          <w:p>
            <w:pPr>
              <w:pStyle w:val="null3"/>
            </w:pPr>
            <w:r>
              <w:rPr>
                <w:rFonts w:ascii="仿宋_GB2312" w:hAnsi="仿宋_GB2312" w:cs="仿宋_GB2312" w:eastAsia="仿宋_GB2312"/>
                <w:sz w:val="18"/>
              </w:rPr>
              <w:t>1、温度范围：RT</w:t>
            </w:r>
            <w:r>
              <w:rPr>
                <w:rFonts w:ascii="仿宋_GB2312" w:hAnsi="仿宋_GB2312" w:cs="仿宋_GB2312" w:eastAsia="仿宋_GB2312"/>
                <w:sz w:val="24"/>
              </w:rPr>
              <w:t>~</w:t>
            </w:r>
            <w:r>
              <w:rPr>
                <w:rFonts w:ascii="仿宋_GB2312" w:hAnsi="仿宋_GB2312" w:cs="仿宋_GB2312" w:eastAsia="仿宋_GB2312"/>
                <w:sz w:val="18"/>
              </w:rPr>
              <w:t>1250℃</w:t>
            </w:r>
          </w:p>
          <w:p>
            <w:pPr>
              <w:pStyle w:val="null3"/>
            </w:pPr>
            <w:r>
              <w:rPr>
                <w:rFonts w:ascii="仿宋_GB2312" w:hAnsi="仿宋_GB2312" w:cs="仿宋_GB2312" w:eastAsia="仿宋_GB2312"/>
                <w:sz w:val="18"/>
              </w:rPr>
              <w:t>2、最大升温速率：≥50℃/min，速度可调</w:t>
            </w:r>
          </w:p>
          <w:p>
            <w:pPr>
              <w:pStyle w:val="null3"/>
            </w:pPr>
            <w:r>
              <w:rPr>
                <w:rFonts w:ascii="仿宋_GB2312" w:hAnsi="仿宋_GB2312" w:cs="仿宋_GB2312" w:eastAsia="仿宋_GB2312"/>
                <w:sz w:val="18"/>
              </w:rPr>
              <w:t>3、热扩散系数：至少覆盖0.01mm</w:t>
            </w:r>
            <w:r>
              <w:rPr>
                <w:rFonts w:ascii="仿宋_GB2312" w:hAnsi="仿宋_GB2312" w:cs="仿宋_GB2312" w:eastAsia="仿宋_GB2312"/>
                <w:sz w:val="18"/>
                <w:vertAlign w:val="superscript"/>
              </w:rPr>
              <w:t>2</w:t>
            </w:r>
            <w:r>
              <w:rPr>
                <w:rFonts w:ascii="仿宋_GB2312" w:hAnsi="仿宋_GB2312" w:cs="仿宋_GB2312" w:eastAsia="仿宋_GB2312"/>
                <w:sz w:val="18"/>
              </w:rPr>
              <w:t>/s</w:t>
            </w:r>
            <w:r>
              <w:rPr>
                <w:rFonts w:ascii="仿宋_GB2312" w:hAnsi="仿宋_GB2312" w:cs="仿宋_GB2312" w:eastAsia="仿宋_GB2312"/>
                <w:sz w:val="24"/>
              </w:rPr>
              <w:t>~</w:t>
            </w:r>
            <w:r>
              <w:rPr>
                <w:rFonts w:ascii="仿宋_GB2312" w:hAnsi="仿宋_GB2312" w:cs="仿宋_GB2312" w:eastAsia="仿宋_GB2312"/>
                <w:sz w:val="18"/>
              </w:rPr>
              <w:t>2000mm</w:t>
            </w:r>
            <w:r>
              <w:rPr>
                <w:rFonts w:ascii="仿宋_GB2312" w:hAnsi="仿宋_GB2312" w:cs="仿宋_GB2312" w:eastAsia="仿宋_GB2312"/>
                <w:sz w:val="18"/>
                <w:vertAlign w:val="superscript"/>
              </w:rPr>
              <w:t>2</w:t>
            </w:r>
            <w:r>
              <w:rPr>
                <w:rFonts w:ascii="仿宋_GB2312" w:hAnsi="仿宋_GB2312" w:cs="仿宋_GB2312" w:eastAsia="仿宋_GB2312"/>
                <w:sz w:val="18"/>
              </w:rPr>
              <w:t>/s</w:t>
            </w:r>
          </w:p>
          <w:p>
            <w:pPr>
              <w:pStyle w:val="null3"/>
            </w:pPr>
            <w:r>
              <w:rPr>
                <w:rFonts w:ascii="仿宋_GB2312" w:hAnsi="仿宋_GB2312" w:cs="仿宋_GB2312" w:eastAsia="仿宋_GB2312"/>
                <w:sz w:val="18"/>
              </w:rPr>
              <w:t>4、热扩散系数重复性：≤±2%;</w:t>
            </w:r>
          </w:p>
          <w:p>
            <w:pPr>
              <w:pStyle w:val="null3"/>
            </w:pPr>
            <w:r>
              <w:rPr>
                <w:rFonts w:ascii="仿宋_GB2312" w:hAnsi="仿宋_GB2312" w:cs="仿宋_GB2312" w:eastAsia="仿宋_GB2312"/>
                <w:sz w:val="18"/>
              </w:rPr>
              <w:t>▲5、热扩散系数准确度：≤±3%;</w:t>
            </w:r>
          </w:p>
          <w:p>
            <w:pPr>
              <w:pStyle w:val="null3"/>
            </w:pPr>
            <w:r>
              <w:rPr>
                <w:rFonts w:ascii="仿宋_GB2312" w:hAnsi="仿宋_GB2312" w:cs="仿宋_GB2312" w:eastAsia="仿宋_GB2312"/>
                <w:sz w:val="18"/>
              </w:rPr>
              <w:t>6、热导率：</w:t>
            </w:r>
            <w:r>
              <w:rPr>
                <w:rFonts w:ascii="仿宋_GB2312" w:hAnsi="仿宋_GB2312" w:cs="仿宋_GB2312" w:eastAsia="仿宋_GB2312"/>
                <w:sz w:val="18"/>
              </w:rPr>
              <w:t>至少覆盖</w:t>
            </w:r>
            <w:r>
              <w:rPr>
                <w:rFonts w:ascii="仿宋_GB2312" w:hAnsi="仿宋_GB2312" w:cs="仿宋_GB2312" w:eastAsia="仿宋_GB2312"/>
                <w:sz w:val="18"/>
              </w:rPr>
              <w:t>0.1W/(m·℃)</w:t>
            </w:r>
            <w:r>
              <w:rPr>
                <w:rFonts w:ascii="仿宋_GB2312" w:hAnsi="仿宋_GB2312" w:cs="仿宋_GB2312" w:eastAsia="仿宋_GB2312"/>
                <w:sz w:val="24"/>
              </w:rPr>
              <w:t>~</w:t>
            </w:r>
            <w:r>
              <w:rPr>
                <w:rFonts w:ascii="仿宋_GB2312" w:hAnsi="仿宋_GB2312" w:cs="仿宋_GB2312" w:eastAsia="仿宋_GB2312"/>
                <w:sz w:val="18"/>
              </w:rPr>
              <w:t>4000W/(m·℃)</w:t>
            </w:r>
          </w:p>
          <w:p>
            <w:pPr>
              <w:pStyle w:val="null3"/>
            </w:pPr>
            <w:r>
              <w:rPr>
                <w:rFonts w:ascii="仿宋_GB2312" w:hAnsi="仿宋_GB2312" w:cs="仿宋_GB2312" w:eastAsia="仿宋_GB2312"/>
                <w:sz w:val="18"/>
              </w:rPr>
              <w:t>7、比热重复性：≤±3%</w:t>
            </w:r>
          </w:p>
          <w:p>
            <w:pPr>
              <w:pStyle w:val="null3"/>
            </w:pPr>
            <w:r>
              <w:rPr>
                <w:rFonts w:ascii="仿宋_GB2312" w:hAnsi="仿宋_GB2312" w:cs="仿宋_GB2312" w:eastAsia="仿宋_GB2312"/>
                <w:sz w:val="18"/>
              </w:rPr>
              <w:t>▲8、比热准确度：≤±5%</w:t>
            </w:r>
          </w:p>
          <w:p>
            <w:pPr>
              <w:pStyle w:val="null3"/>
            </w:pPr>
            <w:r>
              <w:rPr>
                <w:rFonts w:ascii="仿宋_GB2312" w:hAnsi="仿宋_GB2312" w:cs="仿宋_GB2312" w:eastAsia="仿宋_GB2312"/>
                <w:sz w:val="18"/>
              </w:rPr>
              <w:t>9、脉冲能量:≥10J/pulse</w:t>
            </w:r>
          </w:p>
          <w:p>
            <w:pPr>
              <w:pStyle w:val="null3"/>
            </w:pPr>
            <w:r>
              <w:rPr>
                <w:rFonts w:ascii="仿宋_GB2312" w:hAnsi="仿宋_GB2312" w:cs="仿宋_GB2312" w:eastAsia="仿宋_GB2312"/>
                <w:sz w:val="18"/>
              </w:rPr>
              <w:t>▲10、脉冲宽度：10μs</w:t>
            </w:r>
            <w:r>
              <w:rPr>
                <w:rFonts w:ascii="仿宋_GB2312" w:hAnsi="仿宋_GB2312" w:cs="仿宋_GB2312" w:eastAsia="仿宋_GB2312"/>
                <w:sz w:val="24"/>
              </w:rPr>
              <w:t>~</w:t>
            </w:r>
            <w:r>
              <w:rPr>
                <w:rFonts w:ascii="仿宋_GB2312" w:hAnsi="仿宋_GB2312" w:cs="仿宋_GB2312" w:eastAsia="仿宋_GB2312"/>
                <w:sz w:val="18"/>
              </w:rPr>
              <w:t>1500μs，软件控制可调，最小步距≤1μs</w:t>
            </w:r>
          </w:p>
          <w:p>
            <w:pPr>
              <w:pStyle w:val="null3"/>
            </w:pPr>
            <w:r>
              <w:rPr>
                <w:rFonts w:ascii="仿宋_GB2312" w:hAnsi="仿宋_GB2312" w:cs="仿宋_GB2312" w:eastAsia="仿宋_GB2312"/>
                <w:sz w:val="18"/>
              </w:rPr>
              <w:t>11、</w:t>
            </w:r>
            <w:r>
              <w:rPr>
                <w:rFonts w:ascii="仿宋_GB2312" w:hAnsi="仿宋_GB2312" w:cs="仿宋_GB2312" w:eastAsia="仿宋_GB2312"/>
                <w:sz w:val="18"/>
              </w:rPr>
              <w:t>采样时长：</w:t>
            </w:r>
            <w:r>
              <w:rPr>
                <w:rFonts w:ascii="仿宋_GB2312" w:hAnsi="仿宋_GB2312" w:cs="仿宋_GB2312" w:eastAsia="仿宋_GB2312"/>
                <w:sz w:val="18"/>
              </w:rPr>
              <w:t>1ms</w:t>
            </w:r>
            <w:r>
              <w:rPr>
                <w:rFonts w:ascii="仿宋_GB2312" w:hAnsi="仿宋_GB2312" w:cs="仿宋_GB2312" w:eastAsia="仿宋_GB2312"/>
                <w:sz w:val="24"/>
              </w:rPr>
              <w:t>~</w:t>
            </w:r>
            <w:r>
              <w:rPr>
                <w:rFonts w:ascii="仿宋_GB2312" w:hAnsi="仿宋_GB2312" w:cs="仿宋_GB2312" w:eastAsia="仿宋_GB2312"/>
                <w:sz w:val="18"/>
              </w:rPr>
              <w:t>120s，软件控制可调</w:t>
            </w:r>
            <w:r>
              <w:rPr>
                <w:rFonts w:ascii="仿宋_GB2312" w:hAnsi="仿宋_GB2312" w:cs="仿宋_GB2312" w:eastAsia="仿宋_GB2312"/>
                <w:sz w:val="18"/>
              </w:rPr>
              <w:t>，最小步距</w:t>
            </w:r>
            <w:r>
              <w:rPr>
                <w:rFonts w:ascii="仿宋_GB2312" w:hAnsi="仿宋_GB2312" w:cs="仿宋_GB2312" w:eastAsia="仿宋_GB2312"/>
                <w:sz w:val="18"/>
              </w:rPr>
              <w:t>≤1ms</w:t>
            </w:r>
          </w:p>
          <w:p>
            <w:pPr>
              <w:pStyle w:val="null3"/>
            </w:pPr>
            <w:r>
              <w:rPr>
                <w:rFonts w:ascii="仿宋_GB2312" w:hAnsi="仿宋_GB2312" w:cs="仿宋_GB2312" w:eastAsia="仿宋_GB2312"/>
                <w:sz w:val="18"/>
              </w:rPr>
              <w:t>▲12、具备激光能量实时校正功能</w:t>
            </w:r>
          </w:p>
          <w:p>
            <w:pPr>
              <w:pStyle w:val="null3"/>
            </w:pPr>
            <w:r>
              <w:rPr>
                <w:rFonts w:ascii="仿宋_GB2312" w:hAnsi="仿宋_GB2312" w:cs="仿宋_GB2312" w:eastAsia="仿宋_GB2312"/>
                <w:sz w:val="18"/>
              </w:rPr>
              <w:t>13、红外检测器：InSb检测器，具备机械控制升降功能，确保最优的检测视野</w:t>
            </w:r>
          </w:p>
          <w:p>
            <w:pPr>
              <w:pStyle w:val="null3"/>
            </w:pPr>
            <w:r>
              <w:rPr>
                <w:rFonts w:ascii="仿宋_GB2312" w:hAnsi="仿宋_GB2312" w:cs="仿宋_GB2312" w:eastAsia="仿宋_GB2312"/>
                <w:sz w:val="18"/>
              </w:rPr>
              <w:t>14、气氛：惰性，氧化</w:t>
            </w:r>
          </w:p>
          <w:p>
            <w:pPr>
              <w:pStyle w:val="null3"/>
            </w:pPr>
            <w:r>
              <w:rPr>
                <w:rFonts w:ascii="仿宋_GB2312" w:hAnsi="仿宋_GB2312" w:cs="仿宋_GB2312" w:eastAsia="仿宋_GB2312"/>
                <w:sz w:val="18"/>
              </w:rPr>
              <w:t>15、数据采集频率：≥2MHz</w:t>
            </w:r>
          </w:p>
          <w:p>
            <w:pPr>
              <w:pStyle w:val="null3"/>
            </w:pPr>
            <w:r>
              <w:rPr>
                <w:rFonts w:ascii="仿宋_GB2312" w:hAnsi="仿宋_GB2312" w:cs="仿宋_GB2312" w:eastAsia="仿宋_GB2312"/>
                <w:sz w:val="18"/>
              </w:rPr>
              <w:t>▲16、样品位：≥4位，每个样品位独立控制</w:t>
            </w:r>
          </w:p>
          <w:p>
            <w:pPr>
              <w:pStyle w:val="null3"/>
            </w:pPr>
            <w:r>
              <w:rPr>
                <w:rFonts w:ascii="仿宋_GB2312" w:hAnsi="仿宋_GB2312" w:cs="仿宋_GB2312" w:eastAsia="仿宋_GB2312"/>
                <w:sz w:val="18"/>
              </w:rPr>
              <w:t>17、样品尺寸：圆形，直径12.7mmm和10mm</w:t>
            </w:r>
          </w:p>
          <w:p>
            <w:pPr>
              <w:pStyle w:val="null3"/>
            </w:pPr>
            <w:r>
              <w:rPr>
                <w:rFonts w:ascii="仿宋_GB2312" w:hAnsi="仿宋_GB2312" w:cs="仿宋_GB2312" w:eastAsia="仿宋_GB2312"/>
                <w:sz w:val="18"/>
              </w:rPr>
              <w:t>▲18、最小样品厚度：≤0.01mm</w:t>
            </w:r>
          </w:p>
          <w:p>
            <w:pPr>
              <w:pStyle w:val="null3"/>
            </w:pPr>
            <w:r>
              <w:rPr>
                <w:rFonts w:ascii="仿宋_GB2312" w:hAnsi="仿宋_GB2312" w:cs="仿宋_GB2312" w:eastAsia="仿宋_GB2312"/>
                <w:sz w:val="18"/>
              </w:rPr>
              <w:t>19、最大样品厚度：≥6mm</w:t>
            </w:r>
          </w:p>
          <w:p>
            <w:pPr>
              <w:pStyle w:val="null3"/>
            </w:pPr>
            <w:r>
              <w:rPr>
                <w:rFonts w:ascii="仿宋_GB2312" w:hAnsi="仿宋_GB2312" w:cs="仿宋_GB2312" w:eastAsia="仿宋_GB2312"/>
                <w:sz w:val="18"/>
              </w:rPr>
              <w:t>20、软件：提供全功能导热操作与分析软件，可多国语言切换。</w:t>
            </w:r>
          </w:p>
          <w:p>
            <w:pPr>
              <w:pStyle w:val="null3"/>
            </w:pPr>
            <w:r>
              <w:rPr>
                <w:rFonts w:ascii="仿宋_GB2312" w:hAnsi="仿宋_GB2312" w:cs="仿宋_GB2312" w:eastAsia="仿宋_GB2312"/>
                <w:sz w:val="18"/>
              </w:rPr>
              <w:t>21、软件模型：内含标准、透明、渗射、绝热、正面、背面、侧边、正面侧边、背面侧边、正面背面、Cowan模型与水平、垂直、偏移数学校准模型的组合，可校正所有热损耗，包括激光脉冲宽度校正、表面热散失校正、径向热损耗校正、热辐射损耗校正等。保证测量数据的可靠性。标配模型选择向导，向导具备使用所有可用的计算模型选择最佳模型拟合能力。</w:t>
            </w:r>
          </w:p>
          <w:p>
            <w:pPr>
              <w:pStyle w:val="null3"/>
            </w:pPr>
            <w:r>
              <w:rPr>
                <w:rFonts w:ascii="仿宋_GB2312" w:hAnsi="仿宋_GB2312" w:cs="仿宋_GB2312" w:eastAsia="仿宋_GB2312"/>
                <w:sz w:val="18"/>
              </w:rPr>
              <w:t>22、循环水浴：加热功率≥2KW，制冷功率≥800W</w:t>
            </w:r>
          </w:p>
          <w:p>
            <w:pPr>
              <w:pStyle w:val="null3"/>
            </w:pPr>
            <w:r>
              <w:rPr>
                <w:rFonts w:ascii="仿宋_GB2312" w:hAnsi="仿宋_GB2312" w:cs="仿宋_GB2312" w:eastAsia="仿宋_GB2312"/>
                <w:sz w:val="18"/>
              </w:rPr>
              <w:t>23、石墨喷罐：≥200ml/罐</w:t>
            </w:r>
          </w:p>
          <w:p>
            <w:pPr>
              <w:pStyle w:val="null3"/>
            </w:pPr>
            <w:r>
              <w:rPr>
                <w:rFonts w:ascii="仿宋_GB2312" w:hAnsi="仿宋_GB2312" w:cs="仿宋_GB2312" w:eastAsia="仿宋_GB2312"/>
                <w:sz w:val="18"/>
              </w:rPr>
              <w:t>24、导热测试系统需安置于手套箱内，手套箱主要技术要求：</w:t>
            </w:r>
          </w:p>
          <w:p>
            <w:pPr>
              <w:pStyle w:val="null3"/>
            </w:pPr>
            <w:r>
              <w:rPr>
                <w:rFonts w:ascii="仿宋_GB2312" w:hAnsi="仿宋_GB2312" w:cs="仿宋_GB2312" w:eastAsia="仿宋_GB2312"/>
                <w:sz w:val="18"/>
              </w:rPr>
              <w:t>24.1箱体材料：304 不锈钢，厚度≥3mm</w:t>
            </w:r>
          </w:p>
          <w:p>
            <w:pPr>
              <w:pStyle w:val="null3"/>
            </w:pPr>
            <w:r>
              <w:rPr>
                <w:rFonts w:ascii="仿宋_GB2312" w:hAnsi="仿宋_GB2312" w:cs="仿宋_GB2312" w:eastAsia="仿宋_GB2312"/>
                <w:sz w:val="18"/>
              </w:rPr>
              <w:t>24.2气体纯度：水≤1ppm，氧≤1ppm</w:t>
            </w:r>
          </w:p>
          <w:p>
            <w:pPr>
              <w:pStyle w:val="null3"/>
            </w:pPr>
            <w:r>
              <w:rPr>
                <w:rFonts w:ascii="仿宋_GB2312" w:hAnsi="仿宋_GB2312" w:cs="仿宋_GB2312" w:eastAsia="仿宋_GB2312"/>
                <w:sz w:val="18"/>
              </w:rPr>
              <w:t>24.3真空泵规格：≥8 m3/h，旋片泵，带油雾过滤器 ，气振控制</w:t>
            </w:r>
          </w:p>
          <w:p>
            <w:pPr>
              <w:pStyle w:val="null3"/>
            </w:pPr>
            <w:r>
              <w:rPr>
                <w:rFonts w:ascii="仿宋_GB2312" w:hAnsi="仿宋_GB2312" w:cs="仿宋_GB2312" w:eastAsia="仿宋_GB2312"/>
                <w:sz w:val="18"/>
              </w:rPr>
              <w:t>25、数据处理终端：配置：CPU：主频≥2.0GHz，≥4核4线程；内存≥16G；硬盘≥1T纯固态；显示器≥23寸；带正版64位windows 操作系统</w:t>
            </w:r>
          </w:p>
          <w:p>
            <w:pPr>
              <w:pStyle w:val="null3"/>
            </w:pPr>
            <w:r>
              <w:rPr>
                <w:rFonts w:ascii="仿宋_GB2312" w:hAnsi="仿宋_GB2312" w:cs="仿宋_GB2312" w:eastAsia="仿宋_GB2312"/>
                <w:sz w:val="18"/>
              </w:rPr>
              <w:t>三、主要配置要求</w:t>
            </w:r>
            <w:r>
              <w:rPr>
                <w:rFonts w:ascii="仿宋_GB2312" w:hAnsi="仿宋_GB2312" w:cs="仿宋_GB2312" w:eastAsia="仿宋_GB2312"/>
                <w:sz w:val="18"/>
              </w:rPr>
              <w:t>:</w:t>
            </w:r>
          </w:p>
          <w:p>
            <w:pPr>
              <w:pStyle w:val="null3"/>
            </w:pPr>
            <w:r>
              <w:rPr>
                <w:rFonts w:ascii="仿宋_GB2312" w:hAnsi="仿宋_GB2312" w:cs="仿宋_GB2312" w:eastAsia="仿宋_GB2312"/>
                <w:sz w:val="18"/>
              </w:rPr>
              <w:t>1、导热仪主机(含测量与分析软件)：1套</w:t>
            </w:r>
          </w:p>
          <w:p>
            <w:pPr>
              <w:pStyle w:val="null3"/>
            </w:pPr>
            <w:r>
              <w:rPr>
                <w:rFonts w:ascii="仿宋_GB2312" w:hAnsi="仿宋_GB2312" w:cs="仿宋_GB2312" w:eastAsia="仿宋_GB2312"/>
                <w:sz w:val="18"/>
              </w:rPr>
              <w:t>2、InSb红外检测器及红外镜头调节系统：1套</w:t>
            </w:r>
          </w:p>
          <w:p>
            <w:pPr>
              <w:pStyle w:val="null3"/>
            </w:pPr>
            <w:r>
              <w:rPr>
                <w:rFonts w:ascii="仿宋_GB2312" w:hAnsi="仿宋_GB2312" w:cs="仿宋_GB2312" w:eastAsia="仿宋_GB2312"/>
                <w:sz w:val="18"/>
              </w:rPr>
              <w:t>3、标样套件（包含陶瓷, 石墨,不锈钢,铜标样各1个）：1套</w:t>
            </w:r>
          </w:p>
          <w:p>
            <w:pPr>
              <w:pStyle w:val="null3"/>
            </w:pPr>
            <w:r>
              <w:rPr>
                <w:rFonts w:ascii="仿宋_GB2312" w:hAnsi="仿宋_GB2312" w:cs="仿宋_GB2312" w:eastAsia="仿宋_GB2312"/>
                <w:sz w:val="18"/>
              </w:rPr>
              <w:t>4、直径12.7mm样品支架：4个</w:t>
            </w:r>
          </w:p>
          <w:p>
            <w:pPr>
              <w:pStyle w:val="null3"/>
            </w:pPr>
            <w:r>
              <w:rPr>
                <w:rFonts w:ascii="仿宋_GB2312" w:hAnsi="仿宋_GB2312" w:cs="仿宋_GB2312" w:eastAsia="仿宋_GB2312"/>
                <w:sz w:val="18"/>
              </w:rPr>
              <w:t>5、直径10mm样品支架：2个</w:t>
            </w:r>
          </w:p>
          <w:p>
            <w:pPr>
              <w:pStyle w:val="null3"/>
            </w:pPr>
            <w:r>
              <w:rPr>
                <w:rFonts w:ascii="仿宋_GB2312" w:hAnsi="仿宋_GB2312" w:cs="仿宋_GB2312" w:eastAsia="仿宋_GB2312"/>
                <w:sz w:val="18"/>
              </w:rPr>
              <w:t>6、循环水浴：1台</w:t>
            </w:r>
          </w:p>
          <w:p>
            <w:pPr>
              <w:pStyle w:val="null3"/>
            </w:pPr>
            <w:r>
              <w:rPr>
                <w:rFonts w:ascii="仿宋_GB2312" w:hAnsi="仿宋_GB2312" w:cs="仿宋_GB2312" w:eastAsia="仿宋_GB2312"/>
                <w:sz w:val="18"/>
              </w:rPr>
              <w:t>7、石墨喷罐：4个</w:t>
            </w:r>
          </w:p>
          <w:p>
            <w:pPr>
              <w:pStyle w:val="null3"/>
            </w:pPr>
            <w:r>
              <w:rPr>
                <w:rFonts w:ascii="仿宋_GB2312" w:hAnsi="仿宋_GB2312" w:cs="仿宋_GB2312" w:eastAsia="仿宋_GB2312"/>
                <w:sz w:val="18"/>
              </w:rPr>
              <w:t>8、配套手套箱：1台</w:t>
            </w:r>
          </w:p>
          <w:p>
            <w:pPr>
              <w:pStyle w:val="null3"/>
            </w:pPr>
            <w:r>
              <w:rPr>
                <w:rFonts w:ascii="仿宋_GB2312" w:hAnsi="仿宋_GB2312" w:cs="仿宋_GB2312" w:eastAsia="仿宋_GB2312"/>
                <w:sz w:val="18"/>
              </w:rPr>
              <w:t>9、数据处理终端：1台</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进口设备：采购人通过委托的外贸公司向中标供应商指定的境外厂商开具100%不可撤销即期跟单信用证。信用证90%的合同货款凭外贸合同约定单据及西安工业大学出具的开箱点货报告原件解付；剩余10%合同尾款凭西安工业大学出具的设备终验验收报告原件解付；国产设备：货到西安工业大学指定地点经验收合格后，采购人14日内支付成交金额的100%</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交付检验：所供货物到货后，甲方和乙方指定人员共同参加开箱检验，乙方负责开箱，甲乙双方及时对货物名称、厂家、数量、品种、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工作日。由乙方向甲方（用户）提供详细的试运行报告，报告中至少应详细记录各种实测、运行数据。项目试运行且通过乙方自测后提交甲方（用户）进行初验，验收内容按试运行报告，现场查看货物运行情况。初验合格后，乙方填写初验验收报告并经甲方使用单位确认。 3、整体验收即终验：该项目初验合格后，甲方根据初验验收报告，组织甲方相关人员或甲方专家组成验收小组对设备进行最终验收。验收依据为本合同文本、招投标文件和国内相应的标准、规范。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（1）投标货物生产商必须在境内设有售后服务中心； (2) 投标方必须提供原厂明确的售后承诺和售后服务方案； (3) 质保期：进口仪器设备生产厂家原厂售后不得少于1年，国产设备不得少于5年，质保期自买方验收合格签字之日起计算；质保期内的零部件、配件(不含耗材)和人工等均为免费；质保期内，乙方免费提供人员培训及上门维修服务，负责修理或更换因生产工艺或材质质量原因而出现故障的零部件，一切材料及人工费用全免。如乙方原因不能履行质保义务，甲方有权委托第三方处理，由此产生的费用和风险由乙方承担，造成甲方损失的应予以赔偿； (4) 设备质保期满前1个月，卖方免费提供一次全面的检查、维护； (5) 维保服务：质保期结束以后，乙方继续承担仪器的终身维护，对甲方提供支持，如回答甲方提出的问题、排除甲方的软、硬件故障等，责任工程师每年定期回访客户不少于3次，及时为设备进行检查和问诊； (6) 以上所有售后服务承诺均需由原厂提供，并由当地的授权维修负责人签字，原厂盖章。</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6、若乙方逾期完成安装调试的，每逾期一日应向甲方支付违约金1万元，违约金不足以弥补损失的，应继续赔偿甲方损失。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一、报价异常低价处理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三、项目说明：1、本项目允许采购进口产品。 如果因信息不对称等原因，仍有满足需求的国内产品要求参与采购竞争的，采购人及其委托的采购代理机构不对其加以限制，按照公平竞争原则实施采购。 2、“进口产品”是指通过中国海关报关验放进入中国境内且产自关境外的产品。 四、投标有效期：本项目投标有效期为从开标之日起180日历天。中标供应商的投标文件有效期自动延长合同履行完毕。 五、报价说明： 1、因采购人具有教科文进口环节减免税资格，进口设备可以报免税报价，不在教科文减免范围的设备应按含税开展报价。免税报价包含外贸代理服务费。 2、免税报价免除仅为进口环节的教科文减免税（进口环节增值税） 3、供应商报价未明确免税报价的视为含税报价。 4、供应商报价应满足正常使用的一切费用，并包含设备验收时涉及的工艺验证等费用。5、供应商应当按招标文件规定的供货及服务要求、责任范围和合同条件，以人民币进行报价。 报价包含全套货物抵达用户现场，安装验收直至投入使用期间，所需费用。报价包含但不限于人工费、辅材费、税费、安装调试费、培训费等（上述费用包含在总报价中但不得在分项价格表中单独列出）全部内容。 六、其他备注说明（因本项目使用电子招投标系统，格式无法调整，招标文件中其他部分与本部分不一致时以本部分要求为准） 1、在合同履行过程中，如发生合同纠纷，合同双方应按照中华人民共和国法律解释，按照《中华人民共和国民法典》规定及合同条款约定进行处理。 2、本项目已通过进口产品论证，投标文件中接受外文资料，但主要部分仍应尽量对应翻译成中文并附在相关外文资料后面。 3、本项目不强制要求文件第2.4.4知识产权第二条要求。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2、具有良好的商业信誉和健全的财务会计制度（提供2024或2025年度财务审计报告或开标前近12个月内的银行资信证明或财政部门认可的政府采购专业担保机构出具的担保函）； 3、具有履行合同所必需的设备和专业技术能力（格式详见附件）； 4、具有依法缴纳税收和社会保障资金的良好记录（同时提供投标截止时间前12个月内缴存的任意时段的社保及税收缴纳证明；依法不需要缴纳的应提供相关证明文件)；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进口产品授权要求</w:t>
            </w:r>
          </w:p>
        </w:tc>
        <w:tc>
          <w:tcPr>
            <w:tcW w:type="dxa" w:w="3322"/>
          </w:tcPr>
          <w:p>
            <w:pPr>
              <w:pStyle w:val="null3"/>
            </w:pPr>
            <w:r>
              <w:rPr>
                <w:rFonts w:ascii="仿宋_GB2312" w:hAnsi="仿宋_GB2312" w:cs="仿宋_GB2312" w:eastAsia="仿宋_GB2312"/>
              </w:rPr>
              <w:t>本项目已进行进口产品论证，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格式文本.docx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投标有效期响应招标文件的要求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投标有效期响应招标文件的要求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交货安装期按招标文件要求的各项节点响应</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质保期按照招标文件的相关要求响应</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付款方式响应招标文件的要求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投标保证金按要求缴纳</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投标内容未出现漏项或数量与要求不符、技术参数严重负偏离影响采购人使用</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核心产品品牌应满足3个品牌，不满足视为有效投标人不足3家</w:t>
            </w:r>
          </w:p>
        </w:tc>
        <w:tc>
          <w:tcPr>
            <w:tcW w:type="dxa" w:w="1661"/>
          </w:tcPr>
          <w:p>
            <w:pPr>
              <w:pStyle w:val="null3"/>
            </w:pPr>
            <w:r>
              <w:rPr>
                <w:rFonts w:ascii="仿宋_GB2312" w:hAnsi="仿宋_GB2312" w:cs="仿宋_GB2312" w:eastAsia="仿宋_GB2312"/>
              </w:rPr>
              <w:t>格式文本.docx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方案中各项设备及软件功能的技术参数响应清晰明确，符合使用要求，技术指标和性能完全响应招标文件要求，满足使用需求，计33分。结合规格、技术参数偏离表的响应证明材料，按招标文件内配置最低要求，带“▲”号指标项每出现1个负偏离扣2分，非“▲”号指标项每出现1个负偏离，扣1分，供应商须按招标文件要求提供带“▲”号指标项的证明材料（包括产品彩页或检测报告或带网址链接的官网功能截图或加盖厂商公章的技术参数说明），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评审内容包含:①产品性能②使用寿命及效果③质量保证措施。 每一项内容全面详细、阐述条理清晰得2分，满分6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评审内容包含:①整体进度计划、安装调试、验收方案；②运行环境实施方案；③人员保障方案。 每一项内容全面详细、阐述条理清晰得2分，满分6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评审内容包含:①投标人提供的人员培训时间、培训内容、预期达到的效果；②提供培训的机会和次数；③培训讲师。 每一项内容全面详细、阐述条理清晰得2分，满分6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评审内容包含:①售后服务人员配备②售后服务响应时间及方式③售后应急措施，备件供应准备及质量④质保期后的维修方案。 每一项内容全面详细、阐述条理清晰得2分，满分8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提供所投产品业绩，提供合同复印件（扫描件）加盖供应商公章，每份有效业绩计2分，合计最高10分。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30分。其他供应商的价格分统一按照下列公式计算：投标报价得分=（评标基准价/投标报价）×30。政府采购活动中既有本国产品又有非本国产品参与竞争的,依法对本国产品给予价格评审优惠，对本国产品的报价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详见附件：进口设备采购协议（模板）20260508.docx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