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版本号：ZJZBSX-260725-017620260805001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农林实训基地数智化改造提升建设项目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ZJZBSX-260725-0176</w:t>
      </w:r>
      <w:r>
        <w:br/>
      </w:r>
      <w:r>
        <w:br/>
      </w:r>
      <w:r>
        <w:br/>
      </w:r>
    </w:p>
    <w:p>
      <w:pPr>
        <w:pStyle w:val="null3"/>
        <w:jc w:val="center"/>
        <w:outlineLvl w:val="2"/>
      </w:pPr>
      <w:r>
        <w:rPr>
          <w:rFonts w:ascii="仿宋_GB2312" w:hAnsi="仿宋_GB2312" w:cs="仿宋_GB2312" w:eastAsia="仿宋_GB2312"/>
          <w:sz w:val="28"/>
          <w:b/>
        </w:rPr>
        <w:t>陕西农林职业技术大学</w:t>
      </w:r>
    </w:p>
    <w:p>
      <w:pPr>
        <w:pStyle w:val="null3"/>
        <w:jc w:val="center"/>
        <w:outlineLvl w:val="2"/>
      </w:pPr>
      <w:r>
        <w:rPr>
          <w:rFonts w:ascii="仿宋_GB2312" w:hAnsi="仿宋_GB2312" w:cs="仿宋_GB2312" w:eastAsia="仿宋_GB2312"/>
          <w:sz w:val="28"/>
          <w:b/>
        </w:rPr>
        <w:t>陕西中经招标有限公司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陕西中经招标有限公司</w:t>
      </w:r>
      <w:r>
        <w:rPr>
          <w:rFonts w:ascii="仿宋_GB2312" w:hAnsi="仿宋_GB2312" w:cs="仿宋_GB2312" w:eastAsia="仿宋_GB2312"/>
        </w:rPr>
        <w:t>（以下简称“代理机构”）受</w:t>
      </w:r>
      <w:r>
        <w:rPr>
          <w:rFonts w:ascii="仿宋_GB2312" w:hAnsi="仿宋_GB2312" w:cs="仿宋_GB2312" w:eastAsia="仿宋_GB2312"/>
        </w:rPr>
        <w:t>陕西农林职业技术大学</w:t>
      </w:r>
      <w:r>
        <w:rPr>
          <w:rFonts w:ascii="仿宋_GB2312" w:hAnsi="仿宋_GB2312" w:cs="仿宋_GB2312" w:eastAsia="仿宋_GB2312"/>
        </w:rPr>
        <w:t>委托，拟对</w:t>
      </w:r>
      <w:r>
        <w:rPr>
          <w:rFonts w:ascii="仿宋_GB2312" w:hAnsi="仿宋_GB2312" w:cs="仿宋_GB2312" w:eastAsia="仿宋_GB2312"/>
        </w:rPr>
        <w:t>农林实训基地数智化改造提升建设项目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ZJZBSX-260725-0176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农林实训基地数智化改造提升建设项目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农林实训基地数智化改造提升建设项目采购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采购包1（农林实训基地数智化改造提升建设项目）：属于专门面向中小企业采购。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投标人为响应招标并参加投标的合法注册的企业法人、事业法人或其他组织。企业法人应提供合法有效的标识有统一社会信用代码的营业执照；事业法人应提供事业单位法人证书；其他组织应提供合法登记证明文件；供应商需在项目电子化交易系统中按要求上传相应证明文件并进行电子签章。</w:t>
      </w:r>
    </w:p>
    <w:p>
      <w:pPr>
        <w:pStyle w:val="null3"/>
      </w:pPr>
      <w:r>
        <w:rPr>
          <w:rFonts w:ascii="仿宋_GB2312" w:hAnsi="仿宋_GB2312" w:cs="仿宋_GB2312" w:eastAsia="仿宋_GB2312"/>
        </w:rPr>
        <w:t>2、授权委托书：投标人应授权合法的人员参加投标全过程，其中法定代表人/负责人直接投标，须提交法定代表人/负责人身份证明书原件。法定代表人/负责人授权代表参加投标的，须出具法定代表人/负责人授权书原件；供应商需在项目电子化交易系统中按要求上传相应证明文件并进行电子签章。</w:t>
      </w:r>
    </w:p>
    <w:p>
      <w:pPr>
        <w:pStyle w:val="null3"/>
      </w:pPr>
      <w:r>
        <w:rPr>
          <w:rFonts w:ascii="仿宋_GB2312" w:hAnsi="仿宋_GB2312" w:cs="仿宋_GB2312" w:eastAsia="仿宋_GB2312"/>
        </w:rPr>
        <w:t>3、财务状况情况：投标人提供2025年度经审计的完整财务审计报告（审计报告应当包含报告正文、资产负 债表、利润表、现金流量表、附注和会计师事务所营业执照，报告正文应当有会计师事务所公章，2个注册会计师的证书、签字和盖章）或开标前三个月内银行出具的资信证明，或财政部门认可的政府采购专业担保机构出具的投标担保函（以上三种形式的资料提供任何一种即可）；供应商需在项目电子化交易系统中按要求上传相应证明文件并进行电子签章。</w:t>
      </w:r>
    </w:p>
    <w:p>
      <w:pPr>
        <w:pStyle w:val="null3"/>
      </w:pPr>
      <w:r>
        <w:rPr>
          <w:rFonts w:ascii="仿宋_GB2312" w:hAnsi="仿宋_GB2312" w:cs="仿宋_GB2312" w:eastAsia="仿宋_GB2312"/>
        </w:rPr>
        <w:t>4、社会保障资金缴纳证明：提供2025年08月01日至投标文件递交截止日已缴存的任意一个月的社会保障资金缴存单据或社保机构开具的社会保险参保缴费情况证明，依法不需要缴纳社会保障资金的投标人应提供相关文件证明；供应商需在项目电子化交易系统中按要求上传相应证明文件并进行电子签章。</w:t>
      </w:r>
    </w:p>
    <w:p>
      <w:pPr>
        <w:pStyle w:val="null3"/>
      </w:pPr>
      <w:r>
        <w:rPr>
          <w:rFonts w:ascii="仿宋_GB2312" w:hAnsi="仿宋_GB2312" w:cs="仿宋_GB2312" w:eastAsia="仿宋_GB2312"/>
        </w:rPr>
        <w:t>5、税收缴纳证明：提供2025年08月01日至投标文件递交截止日已缴存的任意一个月的纳税证明或完税证明，纳税证明或完税证明上应有代收机构或税务机关的公章，依法免税的投标人应提供相关文件证明；供应商需在项目电子化交易系统中按要求上传相应证明文件并进行电子签章。</w:t>
      </w:r>
    </w:p>
    <w:p>
      <w:pPr>
        <w:pStyle w:val="null3"/>
      </w:pPr>
      <w:r>
        <w:rPr>
          <w:rFonts w:ascii="仿宋_GB2312" w:hAnsi="仿宋_GB2312" w:cs="仿宋_GB2312" w:eastAsia="仿宋_GB2312"/>
        </w:rPr>
        <w:t>6、书面声明（信用记录）：参加本次政府采购活动前3年内在经营活动中没有重大违纪，以及未被列入失信被执行人、重大税收违法案件当事人名单、政府采购严重违法失信行为记录名单的书面声明；供应商需在项目电子化交易系统中按要求上传相应证明文件并进行电子签章。</w:t>
      </w:r>
    </w:p>
    <w:p>
      <w:pPr>
        <w:pStyle w:val="null3"/>
      </w:pPr>
      <w:r>
        <w:rPr>
          <w:rFonts w:ascii="仿宋_GB2312" w:hAnsi="仿宋_GB2312" w:cs="仿宋_GB2312" w:eastAsia="仿宋_GB2312"/>
        </w:rPr>
        <w:t>7、承诺书：提供具有履行合同所必需的设备和专业技术能力的承诺；供应商需在项目电子化交易系统中按要求上传相应证明文件并进行电子签章。</w:t>
      </w:r>
    </w:p>
    <w:p>
      <w:pPr>
        <w:pStyle w:val="null3"/>
      </w:pPr>
      <w:r>
        <w:rPr>
          <w:rFonts w:ascii="仿宋_GB2312" w:hAnsi="仿宋_GB2312" w:cs="仿宋_GB2312" w:eastAsia="仿宋_GB2312"/>
        </w:rPr>
        <w:t>8、中小企业声明函：本项目为专门面向中小企业采购，投标产品的制造商应为中型企业或小型、微型企业或监狱企业或残疾人福利性单位。投标产品的制造商为中型、小型、微型企业的，投标人提供《中小企业声明函》，且中小企业的划分标准所属行业为工业；投标产品的制造商为监狱企业的，投标人应提供投标产品制造商为监狱企业的证明文件（监狱企业视同小型、微型企业）；投标产品的制造商为残疾人福利性单位的，投标人应提供投标产品制造商为残疾人福利性单位的《残疾人福利性单位声明函》（残疾人福利性单位视同小型、微型企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主体资格：投标人为响应招标并参加投标的合法注册的企业法人、事业法人或其他组织。企业法人应提供合法有效的标识有统一社会信用代码的营业执照；事业法人应提供事业单位法人证书；其他组织应提供合法登记证明文件；供应商需在项目电子化交易系统中按要求上传相应证明文件并进行电子签章。</w:t>
      </w:r>
    </w:p>
    <w:p>
      <w:pPr>
        <w:pStyle w:val="null3"/>
      </w:pPr>
      <w:r>
        <w:rPr>
          <w:rFonts w:ascii="仿宋_GB2312" w:hAnsi="仿宋_GB2312" w:cs="仿宋_GB2312" w:eastAsia="仿宋_GB2312"/>
        </w:rPr>
        <w:t>2、授权委托书：投标人应授权合法的人员参加投标全过程，其中法定代表人/负责人直接投标，须提交法定代表人/负责人身份证明书原件。法定代表人/负责人授权代表参加投标的，须出具法定代表人/负责人授权书原件；供应商需在项目电子化交易系统中按要求上传相应证明文件并进行电子签章。</w:t>
      </w:r>
    </w:p>
    <w:p>
      <w:pPr>
        <w:pStyle w:val="null3"/>
      </w:pPr>
      <w:r>
        <w:rPr>
          <w:rFonts w:ascii="仿宋_GB2312" w:hAnsi="仿宋_GB2312" w:cs="仿宋_GB2312" w:eastAsia="仿宋_GB2312"/>
        </w:rPr>
        <w:t>3、财务状况报告：投标人提供2025年度经审计的完整财务审计报告（审计报告应当包含报告正文、资产负 债表、利润表、现金流量表、附注和会计师事务所营业执照，报告正文应当有会计师事务所公章，2个注册会计师的证书、签字和盖章）或开标前三个月内银行出具的资信证明，或财政部门认可的政府采购专业担保机构出具的投标担保函（以上三种形式的资料提供任何一种即可）；供应商需在项目电子化交易系统中按要求上传相应证明文件并进行电子签章。</w:t>
      </w:r>
    </w:p>
    <w:p>
      <w:pPr>
        <w:pStyle w:val="null3"/>
      </w:pPr>
      <w:r>
        <w:rPr>
          <w:rFonts w:ascii="仿宋_GB2312" w:hAnsi="仿宋_GB2312" w:cs="仿宋_GB2312" w:eastAsia="仿宋_GB2312"/>
        </w:rPr>
        <w:t>4、社会保障资金缴纳证明：提供2025年08月01日至投标文件递交截止日已缴存的任意一个月的社会保障资金缴存单据或社保机构开具的社会保险参保缴费情况证明，依法不需要缴纳社会保障资金的投标人应提供相关文件证明；供应商需在项目电子化交易系统中按要求上传相应证明文件并进行电子签章。</w:t>
      </w:r>
    </w:p>
    <w:p>
      <w:pPr>
        <w:pStyle w:val="null3"/>
      </w:pPr>
      <w:r>
        <w:rPr>
          <w:rFonts w:ascii="仿宋_GB2312" w:hAnsi="仿宋_GB2312" w:cs="仿宋_GB2312" w:eastAsia="仿宋_GB2312"/>
        </w:rPr>
        <w:t>5、税收缴纳证明：提供2025年08月01日至投标文件递交截止日已缴存的任意一个月的纳税证明或完税证明，纳税证明或完税证明上应有代收机构或税务机关的公章，依法免税的投标人应提供相关文件证明；供应商需在项目电子化交易系统中按要求上传相应证明文件并进行电子签章。</w:t>
      </w:r>
    </w:p>
    <w:p>
      <w:pPr>
        <w:pStyle w:val="null3"/>
      </w:pPr>
      <w:r>
        <w:rPr>
          <w:rFonts w:ascii="仿宋_GB2312" w:hAnsi="仿宋_GB2312" w:cs="仿宋_GB2312" w:eastAsia="仿宋_GB2312"/>
        </w:rPr>
        <w:t>6、书面声明（信用记录）：参加本次政府采购活动前3年内在经营活动中没有重大违纪，以及未被列入失信被执行人、重大税收违法案件当事人名单、政府采购严重违法失信行为记录名单的书面声明；供应商需在项目电子化交易系统中按要求上传相应证明文件并进行电子签章。</w:t>
      </w:r>
    </w:p>
    <w:p>
      <w:pPr>
        <w:pStyle w:val="null3"/>
      </w:pPr>
      <w:r>
        <w:rPr>
          <w:rFonts w:ascii="仿宋_GB2312" w:hAnsi="仿宋_GB2312" w:cs="仿宋_GB2312" w:eastAsia="仿宋_GB2312"/>
        </w:rPr>
        <w:t>7、承诺书：提供具有履行合同所必需的设备和专业技术能力的承诺；供应商需在项目电子化交易系统中按要求上传相应证明文件并进行电子签章。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陕西农林职业技术大学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杨凌示范区渭惠路24号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陕西农林职业技术大学经办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029-87085980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陕西中经招标有限公司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西安市碑林区长安北路8B陕西高速大厦16层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祝清江、王佼、张丹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029-87888601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采购包1：827,000.00元</w:t>
            </w:r>
          </w:p>
          <w:p>
            <w:pPr>
              <w:pStyle w:val="null3"/>
            </w:pPr>
            <w:r>
              <w:rPr>
                <w:rFonts w:ascii="仿宋_GB2312" w:hAnsi="仿宋_GB2312" w:cs="仿宋_GB2312" w:eastAsia="仿宋_GB2312"/>
              </w:rPr>
              <w:t>采购包2：561,500.00元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采购包2保证金金额：10,000.00元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开户名称：陕西中经招标有限公司</w:t>
            </w:r>
          </w:p>
          <w:p>
            <w:pPr>
              <w:pStyle w:val="null3"/>
            </w:pPr>
            <w:r>
              <w:rPr>
                <w:rFonts w:ascii="仿宋_GB2312" w:hAnsi="仿宋_GB2312" w:cs="仿宋_GB2312" w:eastAsia="仿宋_GB2312"/>
              </w:rPr>
              <w:t>开户银行：中国工商银行股份有限公司大雁塔支行</w:t>
            </w:r>
          </w:p>
          <w:p>
            <w:pPr>
              <w:pStyle w:val="null3"/>
            </w:pPr>
            <w:r>
              <w:rPr>
                <w:rFonts w:ascii="仿宋_GB2312" w:hAnsi="仿宋_GB2312" w:cs="仿宋_GB2312" w:eastAsia="仿宋_GB2312"/>
              </w:rPr>
              <w:t>银行账号：3700022319200103385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说明：投标人成交后凭成交通知书向采购人缴纳成交金额的5%作为履约保证金，验收合格支付货款后，5%履约保证金一次性无息退还。</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说明：投标人成交后凭成交通知书向采购人缴纳成交金额的5%作为履约保证金，验收合格支付货款后，5%履约保证金一次性无息退还。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120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国家计委关于印发《招标代理服务收费管理暂行办法的通知》(计价格[2002]1980号)、《国家发展和改革委员会办公厅关于招标代理服务收费有关问题的通知》(发改办价格[2003]857号)、“国家发展改革委《关于降低部分建设项目收费标准规范收费行为等有关问题的通知》(发改价格[2011]534号)文件规定执行,按规定标准的80%计算收取(代理服务费低于5000元按照5000元整收取代理服务费)，具体收费额以招标代理机构出具的发票为准。</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陕西农林职业技术大学</w:t>
      </w:r>
      <w:r>
        <w:rPr>
          <w:rFonts w:ascii="仿宋_GB2312" w:hAnsi="仿宋_GB2312" w:cs="仿宋_GB2312" w:eastAsia="仿宋_GB2312"/>
        </w:rPr>
        <w:t>和</w:t>
      </w:r>
      <w:r>
        <w:rPr>
          <w:rFonts w:ascii="仿宋_GB2312" w:hAnsi="仿宋_GB2312" w:cs="仿宋_GB2312" w:eastAsia="仿宋_GB2312"/>
        </w:rPr>
        <w:t>陕西中经招标有限公司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陕西农林职业技术大学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陕西中经招标有限公司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陕西农林职业技术大学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陕西中经招标有限公司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 三、如采用投标人所不拥有的知识产权，则在投标报价中必须包括合法使用该知识产权的相关费用。</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按照招标文件、投标文件及合同约定执行。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陕西中经招标有限公司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陕西中经招标有限公司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陕西中经招标有限公司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联系人：祝清江</w:t>
      </w:r>
    </w:p>
    <w:p>
      <w:pPr>
        <w:pStyle w:val="null3"/>
      </w:pPr>
      <w:r>
        <w:rPr>
          <w:rFonts w:ascii="仿宋_GB2312" w:hAnsi="仿宋_GB2312" w:cs="仿宋_GB2312" w:eastAsia="仿宋_GB2312"/>
        </w:rPr>
        <w:t>联系电话：029-87888601转8002</w:t>
      </w:r>
    </w:p>
    <w:p>
      <w:pPr>
        <w:pStyle w:val="null3"/>
      </w:pPr>
      <w:r>
        <w:rPr>
          <w:rFonts w:ascii="仿宋_GB2312" w:hAnsi="仿宋_GB2312" w:cs="仿宋_GB2312" w:eastAsia="仿宋_GB2312"/>
        </w:rPr>
        <w:t>地址：西安市碑林区长安北路8B陕西高速大厦16层</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项目内容对基地现有8个日光温室、2个避雨大棚、2个连栋温室进行全方位智慧化升级。依托现有物联网系统，新增果园环境监测、病虫害监测模块及智能化农业配套设备。通过对农林实训基地智慧农业综合管理平台建设，实现种植经验数字化、农事操作标准化、病虫测报自动化、设备操控智能化、生产过程可视化、园区管理信息化。</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827,000.00</w:t>
      </w:r>
    </w:p>
    <w:p>
      <w:pPr>
        <w:pStyle w:val="null3"/>
      </w:pPr>
      <w:r>
        <w:rPr>
          <w:rFonts w:ascii="仿宋_GB2312" w:hAnsi="仿宋_GB2312" w:cs="仿宋_GB2312" w:eastAsia="仿宋_GB2312"/>
        </w:rPr>
        <w:t>采购包最高限价（元）: 827,000.00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智能化农机设备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827,000.00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561,500.00</w:t>
      </w:r>
    </w:p>
    <w:p>
      <w:pPr>
        <w:pStyle w:val="null3"/>
      </w:pPr>
      <w:r>
        <w:rPr>
          <w:rFonts w:ascii="仿宋_GB2312" w:hAnsi="仿宋_GB2312" w:cs="仿宋_GB2312" w:eastAsia="仿宋_GB2312"/>
        </w:rPr>
        <w:t>采购包最高限价（元）: 561,500.00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智能化改造</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561,500.00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标的名称：智能化农机设备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rPr>
              <w:t xml:space="preserve">    </w:t>
            </w:r>
          </w:p>
          <w:p>
            <w:pPr>
              <w:pStyle w:val="null3"/>
              <w:jc w:val="both"/>
            </w:pPr>
            <w:r>
              <w:rPr>
                <w:rFonts w:ascii="仿宋_GB2312" w:hAnsi="仿宋_GB2312" w:cs="仿宋_GB2312" w:eastAsia="仿宋_GB2312"/>
                <w:sz w:val="24"/>
              </w:rPr>
              <w:t>一．</w:t>
            </w:r>
            <w:r>
              <w:rPr>
                <w:rFonts w:ascii="仿宋_GB2312" w:hAnsi="仿宋_GB2312" w:cs="仿宋_GB2312" w:eastAsia="仿宋_GB2312"/>
                <w:sz w:val="24"/>
              </w:rPr>
              <w:t>采购清单</w:t>
            </w:r>
          </w:p>
          <w:tbl>
            <w:tblPr>
              <w:tblBorders>
                <w:top w:val="none" w:color="000000" w:sz="4"/>
                <w:left w:val="none" w:color="000000" w:sz="4"/>
                <w:bottom w:val="none" w:color="000000" w:sz="4"/>
                <w:right w:val="none" w:color="000000" w:sz="4"/>
                <w:insideH w:val="none"/>
                <w:insideV w:val="none"/>
              </w:tblBorders>
            </w:tblPr>
            <w:tblGrid>
              <w:gridCol w:w="299"/>
              <w:gridCol w:w="1337"/>
              <w:gridCol w:w="411"/>
              <w:gridCol w:w="462"/>
              <w:gridCol w:w="673"/>
            </w:tblGrid>
            <w:tr>
              <w:tc>
                <w:tcPr>
                  <w:tcW w:type="dxa" w:w="2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13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采购清单</w:t>
                  </w:r>
                </w:p>
              </w:tc>
              <w:tc>
                <w:tcPr>
                  <w:tcW w:type="dxa" w:w="4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c>
                <w:tcPr>
                  <w:tcW w:type="dxa" w:w="4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单位</w:t>
                  </w:r>
                </w:p>
              </w:tc>
              <w:tc>
                <w:tcPr>
                  <w:tcW w:type="dxa" w:w="6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是否核心产品</w:t>
                  </w:r>
                </w:p>
              </w:tc>
            </w:tr>
            <w:tr>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无人运输跟随机器人</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果园多功能植保机器人</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w:t>
                  </w:r>
                </w:p>
              </w:tc>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套</w:t>
                  </w:r>
                </w:p>
              </w:tc>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核心产品</w:t>
                  </w:r>
                </w:p>
              </w:tc>
            </w:tr>
            <w:tr>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智能履带式旋耕机</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履带式电动遥控除草机器人</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rFonts w:ascii="仿宋_GB2312" w:hAnsi="仿宋_GB2312" w:cs="仿宋_GB2312" w:eastAsia="仿宋_GB2312"/>
                <w:sz w:val="24"/>
              </w:rPr>
              <w:t>二、</w:t>
            </w:r>
            <w:r>
              <w:rPr>
                <w:rFonts w:ascii="仿宋_GB2312" w:hAnsi="仿宋_GB2312" w:cs="仿宋_GB2312" w:eastAsia="仿宋_GB2312"/>
                <w:sz w:val="24"/>
              </w:rPr>
              <w:t>技术服务要求</w:t>
            </w:r>
          </w:p>
          <w:tbl>
            <w:tblPr>
              <w:tblBorders>
                <w:top w:val="none" w:color="000000" w:sz="4"/>
                <w:left w:val="none" w:color="000000" w:sz="4"/>
                <w:bottom w:val="none" w:color="000000" w:sz="4"/>
                <w:right w:val="none" w:color="000000" w:sz="4"/>
                <w:insideH w:val="none"/>
                <w:insideV w:val="none"/>
              </w:tblBorders>
            </w:tblPr>
            <w:tblGrid>
              <w:gridCol w:w="203"/>
              <w:gridCol w:w="316"/>
              <w:gridCol w:w="2034"/>
            </w:tblGrid>
            <w:tr>
              <w:tc>
                <w:tcPr>
                  <w:tcW w:type="dxa" w:w="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序号</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货物名称</w:t>
                  </w:r>
                </w:p>
              </w:tc>
              <w:tc>
                <w:tcPr>
                  <w:tcW w:type="dxa" w:w="20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技术要求</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无人运输跟随机器人</w:t>
                  </w:r>
                </w:p>
              </w:tc>
              <w:tc>
                <w:tcPr>
                  <w:tcW w:type="dxa" w:w="2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（一）</w:t>
                  </w:r>
                  <w:r>
                    <w:rPr>
                      <w:rFonts w:ascii="仿宋_GB2312" w:hAnsi="仿宋_GB2312" w:cs="仿宋_GB2312" w:eastAsia="仿宋_GB2312"/>
                      <w:sz w:val="24"/>
                    </w:rPr>
                    <w:t>功能要求</w:t>
                  </w:r>
                </w:p>
                <w:p>
                  <w:pPr>
                    <w:pStyle w:val="null3"/>
                    <w:ind w:left="420"/>
                    <w:jc w:val="both"/>
                  </w:pPr>
                  <w:r>
                    <w:rPr>
                      <w:rFonts w:ascii="仿宋_GB2312" w:hAnsi="仿宋_GB2312" w:cs="仿宋_GB2312" w:eastAsia="仿宋_GB2312"/>
                      <w:sz w:val="24"/>
                    </w:rPr>
                    <w:t>1.</w:t>
                  </w:r>
                  <w:r>
                    <w:rPr>
                      <w:rFonts w:ascii="仿宋_GB2312" w:hAnsi="仿宋_GB2312" w:cs="仿宋_GB2312" w:eastAsia="仿宋_GB2312"/>
                      <w:sz w:val="24"/>
                    </w:rPr>
                    <w:t>▲双线路径预存：</w:t>
                  </w:r>
                  <w:r>
                    <w:rPr>
                      <w:rFonts w:ascii="仿宋_GB2312" w:hAnsi="仿宋_GB2312" w:cs="仿宋_GB2312" w:eastAsia="仿宋_GB2312"/>
                      <w:sz w:val="24"/>
                    </w:rPr>
                    <w:t>搭载</w:t>
                  </w:r>
                  <w:r>
                    <w:rPr>
                      <w:rFonts w:ascii="仿宋_GB2312" w:hAnsi="仿宋_GB2312" w:cs="仿宋_GB2312" w:eastAsia="仿宋_GB2312"/>
                      <w:sz w:val="24"/>
                    </w:rPr>
                    <w:t>≥</w:t>
                  </w:r>
                  <w:r>
                    <w:rPr>
                      <w:rFonts w:ascii="仿宋_GB2312" w:hAnsi="仿宋_GB2312" w:cs="仿宋_GB2312" w:eastAsia="仿宋_GB2312"/>
                      <w:sz w:val="24"/>
                    </w:rPr>
                    <w:t>12KW柴油发动机＋5×45安时大容量电池</w:t>
                  </w:r>
                  <w:r>
                    <w:rPr>
                      <w:rFonts w:ascii="仿宋_GB2312" w:hAnsi="仿宋_GB2312" w:cs="仿宋_GB2312" w:eastAsia="仿宋_GB2312"/>
                      <w:sz w:val="24"/>
                    </w:rPr>
                    <w:t>，</w:t>
                  </w:r>
                  <w:r>
                    <w:rPr>
                      <w:rFonts w:ascii="仿宋_GB2312" w:hAnsi="仿宋_GB2312" w:cs="仿宋_GB2312" w:eastAsia="仿宋_GB2312"/>
                      <w:sz w:val="24"/>
                    </w:rPr>
                    <w:t>适合果园、大棚等场景大载重运输，采用可提前布设地块标准导航路线地头直达卸货区两种运输路线，搭配的北斗</w:t>
                  </w:r>
                  <w:r>
                    <w:rPr>
                      <w:rFonts w:ascii="仿宋_GB2312" w:hAnsi="仿宋_GB2312" w:cs="仿宋_GB2312" w:eastAsia="仿宋_GB2312"/>
                      <w:sz w:val="24"/>
                    </w:rPr>
                    <w:t>RTK精准定位系统，自动驾驶精度小于5厘米,具备超限停车，有超声波雷达可智能停障。有APP支持运输轨迹实时监测、支持历史运输轨迹可查看；</w:t>
                  </w:r>
                </w:p>
                <w:p>
                  <w:pPr>
                    <w:pStyle w:val="null3"/>
                    <w:ind w:left="420"/>
                    <w:jc w:val="both"/>
                  </w:pPr>
                  <w:r>
                    <w:rPr>
                      <w:rFonts w:ascii="仿宋_GB2312" w:hAnsi="仿宋_GB2312" w:cs="仿宋_GB2312" w:eastAsia="仿宋_GB2312"/>
                      <w:sz w:val="24"/>
                    </w:rPr>
                    <w:t>2.</w:t>
                  </w:r>
                  <w:r>
                    <w:rPr>
                      <w:rFonts w:ascii="仿宋_GB2312" w:hAnsi="仿宋_GB2312" w:cs="仿宋_GB2312" w:eastAsia="仿宋_GB2312"/>
                      <w:sz w:val="24"/>
                    </w:rPr>
                    <w:t>▲视觉智能跟随：搭配视觉摄像头和边缘计算控制能够在机器上直接处理数据快速反响，当机器识别到运输人员主动跟随，机器周身自保持安全距离，机器视觉持续跟随操作人员。</w:t>
                  </w:r>
                </w:p>
                <w:p>
                  <w:pPr>
                    <w:pStyle w:val="null3"/>
                    <w:ind w:left="420"/>
                    <w:jc w:val="both"/>
                  </w:pPr>
                  <w:r>
                    <w:rPr>
                      <w:rFonts w:ascii="仿宋_GB2312" w:hAnsi="仿宋_GB2312" w:cs="仿宋_GB2312" w:eastAsia="仿宋_GB2312"/>
                      <w:sz w:val="24"/>
                    </w:rPr>
                    <w:t>3.</w:t>
                  </w:r>
                  <w:r>
                    <w:rPr>
                      <w:rFonts w:ascii="仿宋_GB2312" w:hAnsi="仿宋_GB2312" w:cs="仿宋_GB2312" w:eastAsia="仿宋_GB2312"/>
                      <w:sz w:val="24"/>
                    </w:rPr>
                    <w:t>满载一键往返赴卸货点。</w:t>
                  </w:r>
                </w:p>
                <w:p>
                  <w:pPr>
                    <w:pStyle w:val="null3"/>
                    <w:jc w:val="both"/>
                  </w:pPr>
                  <w:r>
                    <w:rPr>
                      <w:rFonts w:ascii="仿宋_GB2312" w:hAnsi="仿宋_GB2312" w:cs="仿宋_GB2312" w:eastAsia="仿宋_GB2312"/>
                      <w:sz w:val="24"/>
                    </w:rPr>
                    <w:t>（二）技术参数</w:t>
                  </w:r>
                </w:p>
                <w:p>
                  <w:pPr>
                    <w:pStyle w:val="null3"/>
                    <w:ind w:left="420"/>
                    <w:jc w:val="both"/>
                  </w:pPr>
                  <w:r>
                    <w:rPr>
                      <w:rFonts w:ascii="仿宋_GB2312" w:hAnsi="仿宋_GB2312" w:cs="仿宋_GB2312" w:eastAsia="仿宋_GB2312"/>
                      <w:sz w:val="24"/>
                    </w:rPr>
                    <w:t>4.</w:t>
                  </w:r>
                  <w:r>
                    <w:rPr>
                      <w:rFonts w:ascii="仿宋_GB2312" w:hAnsi="仿宋_GB2312" w:cs="仿宋_GB2312" w:eastAsia="仿宋_GB2312"/>
                      <w:sz w:val="24"/>
                    </w:rPr>
                    <w:t>动力类型：油电混动</w:t>
                  </w:r>
                </w:p>
                <w:p>
                  <w:pPr>
                    <w:pStyle w:val="null3"/>
                    <w:ind w:left="420"/>
                    <w:jc w:val="both"/>
                  </w:pPr>
                  <w:r>
                    <w:rPr>
                      <w:rFonts w:ascii="仿宋_GB2312" w:hAnsi="仿宋_GB2312" w:cs="仿宋_GB2312" w:eastAsia="仿宋_GB2312"/>
                      <w:sz w:val="24"/>
                    </w:rPr>
                    <w:t>5.</w:t>
                  </w:r>
                  <w:r>
                    <w:rPr>
                      <w:rFonts w:ascii="仿宋_GB2312" w:hAnsi="仿宋_GB2312" w:cs="仿宋_GB2312" w:eastAsia="仿宋_GB2312"/>
                      <w:sz w:val="24"/>
                    </w:rPr>
                    <w:t>整机尺寸：</w:t>
                  </w:r>
                  <w:r>
                    <w:rPr>
                      <w:rFonts w:ascii="仿宋_GB2312" w:hAnsi="仿宋_GB2312" w:cs="仿宋_GB2312" w:eastAsia="仿宋_GB2312"/>
                      <w:sz w:val="24"/>
                    </w:rPr>
                    <w:t>≤</w:t>
                  </w:r>
                  <w:r>
                    <w:rPr>
                      <w:rFonts w:ascii="仿宋_GB2312" w:hAnsi="仿宋_GB2312" w:cs="仿宋_GB2312" w:eastAsia="仿宋_GB2312"/>
                      <w:sz w:val="24"/>
                    </w:rPr>
                    <w:t>2.1m(长)*1.2m(宽)*1.2m(高)</w:t>
                  </w:r>
                </w:p>
                <w:p>
                  <w:pPr>
                    <w:pStyle w:val="null3"/>
                    <w:ind w:left="420"/>
                    <w:jc w:val="both"/>
                  </w:pPr>
                  <w:r>
                    <w:rPr>
                      <w:rFonts w:ascii="仿宋_GB2312" w:hAnsi="仿宋_GB2312" w:cs="仿宋_GB2312" w:eastAsia="仿宋_GB2312"/>
                      <w:sz w:val="24"/>
                    </w:rPr>
                    <w:t>6.</w:t>
                  </w:r>
                  <w:r>
                    <w:rPr>
                      <w:rFonts w:ascii="仿宋_GB2312" w:hAnsi="仿宋_GB2312" w:cs="仿宋_GB2312" w:eastAsia="仿宋_GB2312"/>
                      <w:sz w:val="24"/>
                    </w:rPr>
                    <w:t>最大行驶速度：</w:t>
                  </w:r>
                  <w:r>
                    <w:rPr>
                      <w:rFonts w:ascii="仿宋_GB2312" w:hAnsi="仿宋_GB2312" w:cs="仿宋_GB2312" w:eastAsia="仿宋_GB2312"/>
                      <w:sz w:val="24"/>
                    </w:rPr>
                    <w:t>≤3km/h</w:t>
                  </w:r>
                </w:p>
                <w:p>
                  <w:pPr>
                    <w:pStyle w:val="null3"/>
                    <w:ind w:left="420"/>
                    <w:jc w:val="both"/>
                  </w:pPr>
                  <w:r>
                    <w:rPr>
                      <w:rFonts w:ascii="仿宋_GB2312" w:hAnsi="仿宋_GB2312" w:cs="仿宋_GB2312" w:eastAsia="仿宋_GB2312"/>
                      <w:sz w:val="24"/>
                    </w:rPr>
                    <w:t>7.</w:t>
                  </w:r>
                  <w:r>
                    <w:rPr>
                      <w:rFonts w:ascii="仿宋_GB2312" w:hAnsi="仿宋_GB2312" w:cs="仿宋_GB2312" w:eastAsia="仿宋_GB2312"/>
                      <w:sz w:val="24"/>
                    </w:rPr>
                    <w:t>离地最小间隙：</w:t>
                  </w:r>
                  <w:r>
                    <w:rPr>
                      <w:rFonts w:ascii="仿宋_GB2312" w:hAnsi="仿宋_GB2312" w:cs="仿宋_GB2312" w:eastAsia="仿宋_GB2312"/>
                      <w:sz w:val="24"/>
                    </w:rPr>
                    <w:t>≥</w:t>
                  </w:r>
                  <w:r>
                    <w:rPr>
                      <w:rFonts w:ascii="仿宋_GB2312" w:hAnsi="仿宋_GB2312" w:cs="仿宋_GB2312" w:eastAsia="仿宋_GB2312"/>
                      <w:sz w:val="24"/>
                    </w:rPr>
                    <w:t>170mm</w:t>
                  </w:r>
                </w:p>
                <w:p>
                  <w:pPr>
                    <w:pStyle w:val="null3"/>
                    <w:ind w:left="420"/>
                    <w:jc w:val="both"/>
                  </w:pPr>
                  <w:r>
                    <w:rPr>
                      <w:rFonts w:ascii="仿宋_GB2312" w:hAnsi="仿宋_GB2312" w:cs="仿宋_GB2312" w:eastAsia="仿宋_GB2312"/>
                      <w:sz w:val="24"/>
                    </w:rPr>
                    <w:t>8.</w:t>
                  </w:r>
                  <w:r>
                    <w:rPr>
                      <w:rFonts w:ascii="仿宋_GB2312" w:hAnsi="仿宋_GB2312" w:cs="仿宋_GB2312" w:eastAsia="仿宋_GB2312"/>
                      <w:sz w:val="24"/>
                    </w:rPr>
                    <w:t>爬坡能力：</w:t>
                  </w:r>
                  <w:r>
                    <w:rPr>
                      <w:rFonts w:ascii="仿宋_GB2312" w:hAnsi="仿宋_GB2312" w:cs="仿宋_GB2312" w:eastAsia="仿宋_GB2312"/>
                      <w:sz w:val="24"/>
                    </w:rPr>
                    <w:t>≥25°</w:t>
                  </w:r>
                </w:p>
                <w:p>
                  <w:pPr>
                    <w:pStyle w:val="null3"/>
                    <w:ind w:left="420"/>
                    <w:jc w:val="both"/>
                  </w:pPr>
                  <w:r>
                    <w:rPr>
                      <w:rFonts w:ascii="仿宋_GB2312" w:hAnsi="仿宋_GB2312" w:cs="仿宋_GB2312" w:eastAsia="仿宋_GB2312"/>
                      <w:sz w:val="24"/>
                    </w:rPr>
                    <w:t>9.</w:t>
                  </w:r>
                  <w:r>
                    <w:rPr>
                      <w:rFonts w:ascii="仿宋_GB2312" w:hAnsi="仿宋_GB2312" w:cs="仿宋_GB2312" w:eastAsia="仿宋_GB2312"/>
                      <w:sz w:val="24"/>
                    </w:rPr>
                    <w:t>遥控有效距离：</w:t>
                  </w:r>
                  <w:r>
                    <w:rPr>
                      <w:rFonts w:ascii="仿宋_GB2312" w:hAnsi="仿宋_GB2312" w:cs="仿宋_GB2312" w:eastAsia="仿宋_GB2312"/>
                      <w:sz w:val="24"/>
                    </w:rPr>
                    <w:t>≥200m</w:t>
                  </w:r>
                </w:p>
                <w:p>
                  <w:pPr>
                    <w:pStyle w:val="null3"/>
                    <w:ind w:left="420"/>
                    <w:jc w:val="both"/>
                  </w:pPr>
                  <w:r>
                    <w:rPr>
                      <w:rFonts w:ascii="仿宋_GB2312" w:hAnsi="仿宋_GB2312" w:cs="仿宋_GB2312" w:eastAsia="仿宋_GB2312"/>
                      <w:sz w:val="24"/>
                    </w:rPr>
                    <w:t>10.</w:t>
                  </w:r>
                  <w:r>
                    <w:rPr>
                      <w:rFonts w:ascii="仿宋_GB2312" w:hAnsi="仿宋_GB2312" w:cs="仿宋_GB2312" w:eastAsia="仿宋_GB2312"/>
                      <w:sz w:val="24"/>
                    </w:rPr>
                    <w:t>百米直线误差：</w:t>
                  </w:r>
                  <w:r>
                    <w:rPr>
                      <w:rFonts w:ascii="仿宋_GB2312" w:hAnsi="仿宋_GB2312" w:cs="仿宋_GB2312" w:eastAsia="仿宋_GB2312"/>
                      <w:sz w:val="24"/>
                    </w:rPr>
                    <w:t>≤5cm</w:t>
                  </w:r>
                </w:p>
                <w:p>
                  <w:pPr>
                    <w:pStyle w:val="null3"/>
                    <w:ind w:left="420"/>
                    <w:jc w:val="both"/>
                  </w:pPr>
                  <w:r>
                    <w:rPr>
                      <w:rFonts w:ascii="仿宋_GB2312" w:hAnsi="仿宋_GB2312" w:cs="仿宋_GB2312" w:eastAsia="仿宋_GB2312"/>
                      <w:sz w:val="24"/>
                    </w:rPr>
                    <w:t>11.</w:t>
                  </w:r>
                  <w:r>
                    <w:rPr>
                      <w:rFonts w:ascii="仿宋_GB2312" w:hAnsi="仿宋_GB2312" w:cs="仿宋_GB2312" w:eastAsia="仿宋_GB2312"/>
                      <w:sz w:val="24"/>
                    </w:rPr>
                    <w:t>雷达预警：</w:t>
                  </w:r>
                  <w:r>
                    <w:rPr>
                      <w:rFonts w:ascii="仿宋_GB2312" w:hAnsi="仿宋_GB2312" w:cs="仿宋_GB2312" w:eastAsia="仿宋_GB2312"/>
                      <w:sz w:val="24"/>
                    </w:rPr>
                    <w:t>≥</w:t>
                  </w:r>
                  <w:r>
                    <w:rPr>
                      <w:rFonts w:ascii="仿宋_GB2312" w:hAnsi="仿宋_GB2312" w:cs="仿宋_GB2312" w:eastAsia="仿宋_GB2312"/>
                      <w:sz w:val="24"/>
                    </w:rPr>
                    <w:t>1.5m</w:t>
                  </w:r>
                </w:p>
                <w:p>
                  <w:pPr>
                    <w:pStyle w:val="null3"/>
                    <w:ind w:left="420"/>
                    <w:jc w:val="both"/>
                  </w:pPr>
                  <w:r>
                    <w:rPr>
                      <w:rFonts w:ascii="仿宋_GB2312" w:hAnsi="仿宋_GB2312" w:cs="仿宋_GB2312" w:eastAsia="仿宋_GB2312"/>
                      <w:sz w:val="24"/>
                    </w:rPr>
                    <w:t>12.</w:t>
                  </w:r>
                  <w:r>
                    <w:rPr>
                      <w:rFonts w:ascii="仿宋_GB2312" w:hAnsi="仿宋_GB2312" w:cs="仿宋_GB2312" w:eastAsia="仿宋_GB2312"/>
                      <w:sz w:val="24"/>
                    </w:rPr>
                    <w:t>底盘</w:t>
                  </w:r>
                  <w:r>
                    <w:rPr>
                      <w:rFonts w:ascii="仿宋_GB2312" w:hAnsi="仿宋_GB2312" w:cs="仿宋_GB2312" w:eastAsia="仿宋_GB2312"/>
                      <w:sz w:val="24"/>
                    </w:rPr>
                    <w:t>:履带式底盘</w:t>
                  </w:r>
                </w:p>
                <w:p>
                  <w:pPr>
                    <w:pStyle w:val="null3"/>
                    <w:ind w:left="420"/>
                    <w:jc w:val="both"/>
                  </w:pPr>
                  <w:r>
                    <w:rPr>
                      <w:rFonts w:ascii="仿宋_GB2312" w:hAnsi="仿宋_GB2312" w:cs="仿宋_GB2312" w:eastAsia="仿宋_GB2312"/>
                      <w:sz w:val="24"/>
                    </w:rPr>
                    <w:t>13.</w:t>
                  </w:r>
                  <w:r>
                    <w:rPr>
                      <w:rFonts w:ascii="仿宋_GB2312" w:hAnsi="仿宋_GB2312" w:cs="仿宋_GB2312" w:eastAsia="仿宋_GB2312"/>
                      <w:sz w:val="24"/>
                    </w:rPr>
                    <w:t>空载重量：</w:t>
                  </w:r>
                  <w:r>
                    <w:rPr>
                      <w:rFonts w:ascii="仿宋_GB2312" w:hAnsi="仿宋_GB2312" w:cs="仿宋_GB2312" w:eastAsia="仿宋_GB2312"/>
                      <w:sz w:val="24"/>
                    </w:rPr>
                    <w:t>≤</w:t>
                  </w:r>
                  <w:r>
                    <w:rPr>
                      <w:rFonts w:ascii="仿宋_GB2312" w:hAnsi="仿宋_GB2312" w:cs="仿宋_GB2312" w:eastAsia="仿宋_GB2312"/>
                      <w:sz w:val="24"/>
                    </w:rPr>
                    <w:t>500kg</w:t>
                  </w:r>
                </w:p>
                <w:p>
                  <w:pPr>
                    <w:pStyle w:val="null3"/>
                    <w:ind w:left="420"/>
                    <w:jc w:val="both"/>
                  </w:pPr>
                  <w:r>
                    <w:rPr>
                      <w:rFonts w:ascii="仿宋_GB2312" w:hAnsi="仿宋_GB2312" w:cs="仿宋_GB2312" w:eastAsia="仿宋_GB2312"/>
                      <w:sz w:val="24"/>
                    </w:rPr>
                    <w:t>14.</w:t>
                  </w:r>
                  <w:r>
                    <w:rPr>
                      <w:rFonts w:ascii="仿宋_GB2312" w:hAnsi="仿宋_GB2312" w:cs="仿宋_GB2312" w:eastAsia="仿宋_GB2312"/>
                      <w:sz w:val="24"/>
                    </w:rPr>
                    <w:t>最大载重量：</w:t>
                  </w:r>
                  <w:r>
                    <w:rPr>
                      <w:rFonts w:ascii="仿宋_GB2312" w:hAnsi="仿宋_GB2312" w:cs="仿宋_GB2312" w:eastAsia="仿宋_GB2312"/>
                      <w:sz w:val="24"/>
                    </w:rPr>
                    <w:t>≥</w:t>
                  </w:r>
                  <w:r>
                    <w:rPr>
                      <w:rFonts w:ascii="仿宋_GB2312" w:hAnsi="仿宋_GB2312" w:cs="仿宋_GB2312" w:eastAsia="仿宋_GB2312"/>
                      <w:sz w:val="24"/>
                    </w:rPr>
                    <w:t>800kg</w:t>
                  </w:r>
                </w:p>
                <w:p>
                  <w:pPr>
                    <w:pStyle w:val="null3"/>
                    <w:ind w:left="420"/>
                    <w:jc w:val="both"/>
                  </w:pPr>
                  <w:r>
                    <w:rPr>
                      <w:rFonts w:ascii="仿宋_GB2312" w:hAnsi="仿宋_GB2312" w:cs="仿宋_GB2312" w:eastAsia="仿宋_GB2312"/>
                      <w:sz w:val="24"/>
                    </w:rPr>
                    <w:t>15.</w:t>
                  </w:r>
                  <w:r>
                    <w:rPr>
                      <w:rFonts w:ascii="仿宋_GB2312" w:hAnsi="仿宋_GB2312" w:cs="仿宋_GB2312" w:eastAsia="仿宋_GB2312"/>
                      <w:sz w:val="24"/>
                    </w:rPr>
                    <w:t>工作温度：</w:t>
                  </w:r>
                  <w:r>
                    <w:rPr>
                      <w:rFonts w:ascii="仿宋_GB2312" w:hAnsi="仿宋_GB2312" w:cs="仿宋_GB2312" w:eastAsia="仿宋_GB2312"/>
                      <w:sz w:val="24"/>
                    </w:rPr>
                    <w:t>-15-55°C</w:t>
                  </w:r>
                </w:p>
                <w:p>
                  <w:pPr>
                    <w:pStyle w:val="null3"/>
                    <w:ind w:left="420"/>
                    <w:jc w:val="both"/>
                  </w:pPr>
                  <w:r>
                    <w:rPr>
                      <w:rFonts w:ascii="仿宋_GB2312" w:hAnsi="仿宋_GB2312" w:cs="仿宋_GB2312" w:eastAsia="仿宋_GB2312"/>
                      <w:sz w:val="24"/>
                    </w:rPr>
                    <w:t>16.</w:t>
                  </w:r>
                  <w:r>
                    <w:rPr>
                      <w:rFonts w:ascii="仿宋_GB2312" w:hAnsi="仿宋_GB2312" w:cs="仿宋_GB2312" w:eastAsia="仿宋_GB2312"/>
                      <w:sz w:val="24"/>
                    </w:rPr>
                    <w:t>最小转弯半径：</w:t>
                  </w:r>
                  <w:r>
                    <w:rPr>
                      <w:rFonts w:ascii="仿宋_GB2312" w:hAnsi="仿宋_GB2312" w:cs="仿宋_GB2312" w:eastAsia="仿宋_GB2312"/>
                      <w:sz w:val="24"/>
                    </w:rPr>
                    <w:t>0(原地)，</w:t>
                  </w:r>
                  <w:r>
                    <w:rPr>
                      <w:rFonts w:ascii="仿宋_GB2312" w:hAnsi="仿宋_GB2312" w:cs="仿宋_GB2312" w:eastAsia="仿宋_GB2312"/>
                      <w:sz w:val="24"/>
                    </w:rPr>
                    <w:t>支持自旋</w:t>
                  </w:r>
                </w:p>
                <w:p>
                  <w:pPr>
                    <w:pStyle w:val="null3"/>
                    <w:ind w:left="420"/>
                    <w:jc w:val="both"/>
                  </w:pPr>
                  <w:r>
                    <w:rPr>
                      <w:rFonts w:ascii="仿宋_GB2312" w:hAnsi="仿宋_GB2312" w:cs="仿宋_GB2312" w:eastAsia="仿宋_GB2312"/>
                      <w:sz w:val="24"/>
                    </w:rPr>
                    <w:t>17.</w:t>
                  </w:r>
                  <w:r>
                    <w:rPr>
                      <w:rFonts w:ascii="仿宋_GB2312" w:hAnsi="仿宋_GB2312" w:cs="仿宋_GB2312" w:eastAsia="仿宋_GB2312"/>
                      <w:sz w:val="24"/>
                    </w:rPr>
                    <w:t>照明功率：</w:t>
                  </w:r>
                  <w:r>
                    <w:rPr>
                      <w:rFonts w:ascii="仿宋_GB2312" w:hAnsi="仿宋_GB2312" w:cs="仿宋_GB2312" w:eastAsia="仿宋_GB2312"/>
                      <w:sz w:val="24"/>
                    </w:rPr>
                    <w:t>≥</w:t>
                  </w:r>
                  <w:r>
                    <w:rPr>
                      <w:rFonts w:ascii="仿宋_GB2312" w:hAnsi="仿宋_GB2312" w:cs="仿宋_GB2312" w:eastAsia="仿宋_GB2312"/>
                      <w:sz w:val="24"/>
                    </w:rPr>
                    <w:t>90W</w:t>
                  </w:r>
                </w:p>
                <w:p>
                  <w:pPr>
                    <w:pStyle w:val="null3"/>
                    <w:ind w:left="420"/>
                    <w:jc w:val="both"/>
                  </w:pPr>
                  <w:r>
                    <w:rPr>
                      <w:rFonts w:ascii="仿宋_GB2312" w:hAnsi="仿宋_GB2312" w:cs="仿宋_GB2312" w:eastAsia="仿宋_GB2312"/>
                      <w:sz w:val="24"/>
                    </w:rPr>
                    <w:t>18.</w:t>
                  </w:r>
                  <w:r>
                    <w:rPr>
                      <w:rFonts w:ascii="仿宋_GB2312" w:hAnsi="仿宋_GB2312" w:cs="仿宋_GB2312" w:eastAsia="仿宋_GB2312"/>
                      <w:sz w:val="24"/>
                    </w:rPr>
                    <w:t>续航时间：</w:t>
                  </w:r>
                  <w:r>
                    <w:rPr>
                      <w:rFonts w:ascii="仿宋_GB2312" w:hAnsi="仿宋_GB2312" w:cs="仿宋_GB2312" w:eastAsia="仿宋_GB2312"/>
                      <w:sz w:val="24"/>
                    </w:rPr>
                    <w:t>≥6h</w:t>
                  </w:r>
                </w:p>
                <w:p>
                  <w:pPr>
                    <w:pStyle w:val="null3"/>
                    <w:ind w:left="420"/>
                    <w:jc w:val="both"/>
                  </w:pPr>
                  <w:r>
                    <w:rPr>
                      <w:rFonts w:ascii="仿宋_GB2312" w:hAnsi="仿宋_GB2312" w:cs="仿宋_GB2312" w:eastAsia="仿宋_GB2312"/>
                      <w:sz w:val="24"/>
                    </w:rPr>
                    <w:t>19.</w:t>
                  </w:r>
                  <w:r>
                    <w:rPr>
                      <w:rFonts w:ascii="仿宋_GB2312" w:hAnsi="仿宋_GB2312" w:cs="仿宋_GB2312" w:eastAsia="仿宋_GB2312"/>
                      <w:sz w:val="24"/>
                    </w:rPr>
                    <w:t>定速巡航：有</w:t>
                  </w:r>
                </w:p>
                <w:p>
                  <w:pPr>
                    <w:pStyle w:val="null3"/>
                    <w:ind w:left="420"/>
                    <w:jc w:val="both"/>
                  </w:pPr>
                  <w:r>
                    <w:rPr>
                      <w:rFonts w:ascii="仿宋_GB2312" w:hAnsi="仿宋_GB2312" w:cs="仿宋_GB2312" w:eastAsia="仿宋_GB2312"/>
                      <w:sz w:val="24"/>
                    </w:rPr>
                    <w:t>20.</w:t>
                  </w:r>
                  <w:r>
                    <w:rPr>
                      <w:rFonts w:ascii="仿宋_GB2312" w:hAnsi="仿宋_GB2312" w:cs="仿宋_GB2312" w:eastAsia="仿宋_GB2312"/>
                      <w:sz w:val="24"/>
                    </w:rPr>
                    <w:t>操控方式：无线遥控、自主导航</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果园多功能植保机器人</w:t>
                  </w:r>
                </w:p>
              </w:tc>
              <w:tc>
                <w:tcPr>
                  <w:tcW w:type="dxa" w:w="2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40"/>
                    <w:jc w:val="both"/>
                  </w:pPr>
                  <w:r>
                    <w:rPr>
                      <w:rFonts w:ascii="仿宋_GB2312" w:hAnsi="仿宋_GB2312" w:cs="仿宋_GB2312" w:eastAsia="仿宋_GB2312"/>
                      <w:sz w:val="24"/>
                    </w:rPr>
                    <w:t>（一）性能要求</w:t>
                  </w:r>
                </w:p>
                <w:p>
                  <w:pPr>
                    <w:pStyle w:val="null3"/>
                    <w:ind w:left="420"/>
                    <w:jc w:val="both"/>
                  </w:pPr>
                  <w:r>
                    <w:rPr>
                      <w:rFonts w:ascii="仿宋_GB2312" w:hAnsi="仿宋_GB2312" w:cs="仿宋_GB2312" w:eastAsia="仿宋_GB2312"/>
                      <w:sz w:val="24"/>
                    </w:rPr>
                    <w:t>21.</w:t>
                  </w:r>
                  <w:r>
                    <w:rPr>
                      <w:rFonts w:ascii="仿宋_GB2312" w:hAnsi="仿宋_GB2312" w:cs="仿宋_GB2312" w:eastAsia="仿宋_GB2312"/>
                      <w:sz w:val="24"/>
                    </w:rPr>
                    <w:t>▲搭载智能导航系统：</w:t>
                  </w:r>
                  <w:r>
                    <w:rPr>
                      <w:rFonts w:ascii="仿宋_GB2312" w:hAnsi="仿宋_GB2312" w:cs="仿宋_GB2312" w:eastAsia="仿宋_GB2312"/>
                      <w:sz w:val="24"/>
                    </w:rPr>
                    <w:t>机器配</w:t>
                  </w:r>
                  <w:r>
                    <w:rPr>
                      <w:rFonts w:ascii="仿宋_GB2312" w:hAnsi="仿宋_GB2312" w:cs="仿宋_GB2312" w:eastAsia="仿宋_GB2312"/>
                      <w:sz w:val="24"/>
                    </w:rPr>
                    <w:t>备</w:t>
                  </w:r>
                  <w:r>
                    <w:rPr>
                      <w:rFonts w:ascii="仿宋_GB2312" w:hAnsi="仿宋_GB2312" w:cs="仿宋_GB2312" w:eastAsia="仿宋_GB2312"/>
                      <w:sz w:val="24"/>
                    </w:rPr>
                    <w:t>油电增程</w:t>
                  </w:r>
                  <w:r>
                    <w:rPr>
                      <w:rFonts w:ascii="仿宋_GB2312" w:hAnsi="仿宋_GB2312" w:cs="仿宋_GB2312" w:eastAsia="仿宋_GB2312"/>
                      <w:sz w:val="24"/>
                    </w:rPr>
                    <w:t>≥30kW柴油机＋12kW发动机和双电层超级电容，履带式底盘，</w:t>
                  </w:r>
                  <w:r>
                    <w:rPr>
                      <w:rFonts w:ascii="仿宋_GB2312" w:hAnsi="仿宋_GB2312" w:cs="仿宋_GB2312" w:eastAsia="仿宋_GB2312"/>
                      <w:sz w:val="24"/>
                    </w:rPr>
                    <w:t>RTK系统（厘米级）、激光雷达（≥5米）、毫米波（≤0.5米）、视觉识别（相机分辨率，≥100万像素，帧频≥25）、惯性导航（测角精度≤1），垄内作业时，可通过视觉识别果树自动生成行进路线并完成自主避障；行至机耕道路时，可识别并自动完成换行作业。</w:t>
                  </w:r>
                </w:p>
                <w:p>
                  <w:pPr>
                    <w:pStyle w:val="null3"/>
                    <w:ind w:left="420"/>
                    <w:jc w:val="both"/>
                  </w:pPr>
                  <w:r>
                    <w:rPr>
                      <w:rFonts w:ascii="仿宋_GB2312" w:hAnsi="仿宋_GB2312" w:cs="仿宋_GB2312" w:eastAsia="仿宋_GB2312"/>
                      <w:sz w:val="24"/>
                    </w:rPr>
                    <w:t>22.</w:t>
                  </w:r>
                  <w:r>
                    <w:rPr>
                      <w:rFonts w:ascii="仿宋_GB2312" w:hAnsi="仿宋_GB2312" w:cs="仿宋_GB2312" w:eastAsia="仿宋_GB2312"/>
                      <w:sz w:val="24"/>
                    </w:rPr>
                    <w:t>支持预设作业路线，具备自动驾驶行走功能，可远程遥控设备启停、调速、调节喷雾量。</w:t>
                  </w:r>
                </w:p>
                <w:p>
                  <w:pPr>
                    <w:pStyle w:val="null3"/>
                    <w:ind w:left="420"/>
                    <w:jc w:val="both"/>
                  </w:pPr>
                  <w:r>
                    <w:rPr>
                      <w:rFonts w:ascii="仿宋_GB2312" w:hAnsi="仿宋_GB2312" w:cs="仿宋_GB2312" w:eastAsia="仿宋_GB2312"/>
                      <w:sz w:val="24"/>
                    </w:rPr>
                    <w:t>23.</w:t>
                  </w:r>
                  <w:r>
                    <w:rPr>
                      <w:rFonts w:ascii="仿宋_GB2312" w:hAnsi="仿宋_GB2312" w:cs="仿宋_GB2312" w:eastAsia="仿宋_GB2312"/>
                      <w:sz w:val="24"/>
                    </w:rPr>
                    <w:t>采用风送式喷雾设计；</w:t>
                  </w:r>
                </w:p>
                <w:p>
                  <w:pPr>
                    <w:pStyle w:val="null3"/>
                    <w:ind w:left="420"/>
                    <w:jc w:val="both"/>
                  </w:pPr>
                  <w:r>
                    <w:rPr>
                      <w:rFonts w:ascii="仿宋_GB2312" w:hAnsi="仿宋_GB2312" w:cs="仿宋_GB2312" w:eastAsia="仿宋_GB2312"/>
                      <w:sz w:val="24"/>
                    </w:rPr>
                    <w:t>24.</w:t>
                  </w:r>
                  <w:r>
                    <w:rPr>
                      <w:rFonts w:ascii="仿宋_GB2312" w:hAnsi="仿宋_GB2312" w:cs="仿宋_GB2312" w:eastAsia="仿宋_GB2312"/>
                      <w:sz w:val="24"/>
                    </w:rPr>
                    <w:t>适配果园、大田、设施大棚等多场景作业。</w:t>
                  </w:r>
                </w:p>
                <w:p>
                  <w:pPr>
                    <w:pStyle w:val="null3"/>
                    <w:ind w:left="420"/>
                    <w:jc w:val="both"/>
                  </w:pPr>
                  <w:r>
                    <w:rPr>
                      <w:rFonts w:ascii="仿宋_GB2312" w:hAnsi="仿宋_GB2312" w:cs="仿宋_GB2312" w:eastAsia="仿宋_GB2312"/>
                      <w:sz w:val="24"/>
                    </w:rPr>
                    <w:t>25.</w:t>
                  </w:r>
                  <w:r>
                    <w:rPr>
                      <w:rFonts w:ascii="仿宋_GB2312" w:hAnsi="仿宋_GB2312" w:cs="仿宋_GB2312" w:eastAsia="仿宋_GB2312"/>
                      <w:sz w:val="24"/>
                    </w:rPr>
                    <w:t>自带药液过滤系统；配备液位监测装置，缺液时自动报警。</w:t>
                  </w:r>
                </w:p>
                <w:p>
                  <w:pPr>
                    <w:pStyle w:val="null3"/>
                    <w:ind w:left="420"/>
                    <w:jc w:val="left"/>
                  </w:pPr>
                  <w:r>
                    <w:rPr>
                      <w:rFonts w:ascii="仿宋_GB2312" w:hAnsi="仿宋_GB2312" w:cs="仿宋_GB2312" w:eastAsia="仿宋_GB2312"/>
                      <w:sz w:val="24"/>
                    </w:rPr>
                    <w:t>26.</w:t>
                  </w:r>
                  <w:r>
                    <w:rPr>
                      <w:rFonts w:ascii="仿宋_GB2312" w:hAnsi="仿宋_GB2312" w:cs="仿宋_GB2312" w:eastAsia="仿宋_GB2312"/>
                      <w:sz w:val="24"/>
                    </w:rPr>
                    <w:t>▲搭配精准施药系统，配备手机APP可设置作业面积、施药量的下发机器执行，机器自主调解水泵、速度等参数，喷洒量自适应调节。提供</w:t>
                  </w:r>
                  <w:r>
                    <w:rPr>
                      <w:rFonts w:ascii="仿宋_GB2312" w:hAnsi="仿宋_GB2312" w:cs="仿宋_GB2312" w:eastAsia="仿宋_GB2312"/>
                      <w:sz w:val="24"/>
                    </w:rPr>
                    <w:t>模拟仿真系统一套：系统按照实际天平室、样品制备室、无机前处理室进行模拟，包括粉碎机、毛刷、尼龙筛（</w:t>
                  </w:r>
                  <w:r>
                    <w:rPr>
                      <w:rFonts w:ascii="仿宋_GB2312" w:hAnsi="仿宋_GB2312" w:cs="仿宋_GB2312" w:eastAsia="仿宋_GB2312"/>
                      <w:sz w:val="24"/>
                    </w:rPr>
                    <w:t>0.425mm）、托盘、四分法工具）、塑料铲子、大米样品（1kg）、8号样品袋（盒）、签字笔、防水标签、天平、烧杯、吸量管、容量瓶、一次性滴管、洗瓶、量筒、硝酸、高氯酸、磷酸二氢铵、硝酸钯、镉标准溶液等3D模型，具有交互动画效果。系统能够将制备溶液、试样制备 、天平称量等操作方法进行3D仿真。</w:t>
                  </w:r>
                </w:p>
                <w:p>
                  <w:pPr>
                    <w:pStyle w:val="null3"/>
                    <w:ind w:left="420"/>
                    <w:jc w:val="both"/>
                  </w:pPr>
                  <w:r>
                    <w:rPr>
                      <w:rFonts w:ascii="仿宋_GB2312" w:hAnsi="仿宋_GB2312" w:cs="仿宋_GB2312" w:eastAsia="仿宋_GB2312"/>
                      <w:sz w:val="24"/>
                    </w:rPr>
                    <w:t>27.</w:t>
                  </w:r>
                  <w:r>
                    <w:rPr>
                      <w:rFonts w:ascii="仿宋_GB2312" w:hAnsi="仿宋_GB2312" w:cs="仿宋_GB2312" w:eastAsia="仿宋_GB2312"/>
                      <w:sz w:val="24"/>
                    </w:rPr>
                    <w:t>APP实时监测作业轨迹、设备状态，每日作业数据一键生成智能报表。</w:t>
                  </w:r>
                </w:p>
                <w:p>
                  <w:pPr>
                    <w:pStyle w:val="null3"/>
                    <w:ind w:firstLine="240"/>
                    <w:jc w:val="both"/>
                  </w:pPr>
                  <w:r>
                    <w:rPr>
                      <w:rFonts w:ascii="仿宋_GB2312" w:hAnsi="仿宋_GB2312" w:cs="仿宋_GB2312" w:eastAsia="仿宋_GB2312"/>
                      <w:sz w:val="24"/>
                    </w:rPr>
                    <w:t>（二）产品参数</w:t>
                  </w:r>
                </w:p>
                <w:p>
                  <w:pPr>
                    <w:pStyle w:val="null3"/>
                    <w:ind w:left="420"/>
                    <w:jc w:val="both"/>
                  </w:pPr>
                  <w:r>
                    <w:rPr>
                      <w:rFonts w:ascii="仿宋_GB2312" w:hAnsi="仿宋_GB2312" w:cs="仿宋_GB2312" w:eastAsia="仿宋_GB2312"/>
                      <w:sz w:val="24"/>
                    </w:rPr>
                    <w:t>28.</w:t>
                  </w:r>
                  <w:r>
                    <w:rPr>
                      <w:rFonts w:ascii="仿宋_GB2312" w:hAnsi="仿宋_GB2312" w:cs="仿宋_GB2312" w:eastAsia="仿宋_GB2312"/>
                      <w:sz w:val="24"/>
                    </w:rPr>
                    <w:t>产品尺寸（长</w:t>
                  </w:r>
                  <w:r>
                    <w:rPr>
                      <w:rFonts w:ascii="仿宋_GB2312" w:hAnsi="仿宋_GB2312" w:cs="仿宋_GB2312" w:eastAsia="仿宋_GB2312"/>
                      <w:sz w:val="24"/>
                    </w:rPr>
                    <w:t>×宽×高）：≤2750mm × 1300mm × 1400mm</w:t>
                  </w:r>
                </w:p>
                <w:p>
                  <w:pPr>
                    <w:pStyle w:val="null3"/>
                    <w:ind w:left="420"/>
                    <w:jc w:val="both"/>
                  </w:pPr>
                  <w:r>
                    <w:rPr>
                      <w:rFonts w:ascii="仿宋_GB2312" w:hAnsi="仿宋_GB2312" w:cs="仿宋_GB2312" w:eastAsia="仿宋_GB2312"/>
                      <w:sz w:val="24"/>
                    </w:rPr>
                    <w:t>29.</w:t>
                  </w:r>
                  <w:r>
                    <w:rPr>
                      <w:rFonts w:ascii="仿宋_GB2312" w:hAnsi="仿宋_GB2312" w:cs="仿宋_GB2312" w:eastAsia="仿宋_GB2312"/>
                      <w:sz w:val="24"/>
                    </w:rPr>
                    <w:t>离地间隙：</w:t>
                  </w:r>
                  <w:r>
                    <w:rPr>
                      <w:rFonts w:ascii="仿宋_GB2312" w:hAnsi="仿宋_GB2312" w:cs="仿宋_GB2312" w:eastAsia="仿宋_GB2312"/>
                      <w:sz w:val="24"/>
                    </w:rPr>
                    <w:t>≥170mm；</w:t>
                  </w:r>
                </w:p>
                <w:p>
                  <w:pPr>
                    <w:pStyle w:val="null3"/>
                    <w:ind w:left="420"/>
                    <w:jc w:val="both"/>
                  </w:pPr>
                  <w:r>
                    <w:rPr>
                      <w:rFonts w:ascii="仿宋_GB2312" w:hAnsi="仿宋_GB2312" w:cs="仿宋_GB2312" w:eastAsia="仿宋_GB2312"/>
                      <w:sz w:val="24"/>
                    </w:rPr>
                    <w:t>30.</w:t>
                  </w:r>
                  <w:r>
                    <w:rPr>
                      <w:rFonts w:ascii="仿宋_GB2312" w:hAnsi="仿宋_GB2312" w:cs="仿宋_GB2312" w:eastAsia="仿宋_GB2312"/>
                      <w:sz w:val="24"/>
                    </w:rPr>
                    <w:t>最大爬坡角度：</w:t>
                  </w:r>
                  <w:r>
                    <w:rPr>
                      <w:rFonts w:ascii="仿宋_GB2312" w:hAnsi="仿宋_GB2312" w:cs="仿宋_GB2312" w:eastAsia="仿宋_GB2312"/>
                      <w:sz w:val="24"/>
                    </w:rPr>
                    <w:t>≥15°；</w:t>
                  </w:r>
                </w:p>
                <w:p>
                  <w:pPr>
                    <w:pStyle w:val="null3"/>
                    <w:ind w:left="420"/>
                    <w:jc w:val="both"/>
                  </w:pPr>
                  <w:r>
                    <w:rPr>
                      <w:rFonts w:ascii="仿宋_GB2312" w:hAnsi="仿宋_GB2312" w:cs="仿宋_GB2312" w:eastAsia="仿宋_GB2312"/>
                      <w:sz w:val="24"/>
                    </w:rPr>
                    <w:t>31.</w:t>
                  </w:r>
                  <w:r>
                    <w:rPr>
                      <w:rFonts w:ascii="仿宋_GB2312" w:hAnsi="仿宋_GB2312" w:cs="仿宋_GB2312" w:eastAsia="仿宋_GB2312"/>
                      <w:sz w:val="24"/>
                    </w:rPr>
                    <w:t>药箱容量：</w:t>
                  </w:r>
                  <w:r>
                    <w:rPr>
                      <w:rFonts w:ascii="仿宋_GB2312" w:hAnsi="仿宋_GB2312" w:cs="仿宋_GB2312" w:eastAsia="仿宋_GB2312"/>
                      <w:sz w:val="24"/>
                    </w:rPr>
                    <w:t>≥500L；</w:t>
                  </w:r>
                </w:p>
                <w:p>
                  <w:pPr>
                    <w:pStyle w:val="null3"/>
                    <w:ind w:left="420"/>
                    <w:jc w:val="both"/>
                  </w:pPr>
                  <w:r>
                    <w:rPr>
                      <w:rFonts w:ascii="仿宋_GB2312" w:hAnsi="仿宋_GB2312" w:cs="仿宋_GB2312" w:eastAsia="仿宋_GB2312"/>
                      <w:sz w:val="24"/>
                    </w:rPr>
                    <w:t>32.</w:t>
                  </w:r>
                  <w:r>
                    <w:rPr>
                      <w:rFonts w:ascii="仿宋_GB2312" w:hAnsi="仿宋_GB2312" w:cs="仿宋_GB2312" w:eastAsia="仿宋_GB2312"/>
                      <w:sz w:val="24"/>
                    </w:rPr>
                    <w:t>操控方式：支持无线遥控</w:t>
                  </w:r>
                  <w:r>
                    <w:rPr>
                      <w:rFonts w:ascii="仿宋_GB2312" w:hAnsi="仿宋_GB2312" w:cs="仿宋_GB2312" w:eastAsia="仿宋_GB2312"/>
                      <w:sz w:val="24"/>
                    </w:rPr>
                    <w:t>/自主导航；</w:t>
                  </w:r>
                </w:p>
                <w:p>
                  <w:pPr>
                    <w:pStyle w:val="null3"/>
                    <w:ind w:left="420"/>
                    <w:jc w:val="both"/>
                  </w:pPr>
                  <w:r>
                    <w:rPr>
                      <w:rFonts w:ascii="仿宋_GB2312" w:hAnsi="仿宋_GB2312" w:cs="仿宋_GB2312" w:eastAsia="仿宋_GB2312"/>
                      <w:sz w:val="24"/>
                    </w:rPr>
                    <w:t>33.</w:t>
                  </w:r>
                  <w:r>
                    <w:rPr>
                      <w:rFonts w:ascii="仿宋_GB2312" w:hAnsi="仿宋_GB2312" w:cs="仿宋_GB2312" w:eastAsia="仿宋_GB2312"/>
                      <w:sz w:val="24"/>
                    </w:rPr>
                    <w:t>喷头数量：</w:t>
                  </w:r>
                  <w:r>
                    <w:rPr>
                      <w:rFonts w:ascii="仿宋_GB2312" w:hAnsi="仿宋_GB2312" w:cs="仿宋_GB2312" w:eastAsia="仿宋_GB2312"/>
                      <w:sz w:val="24"/>
                    </w:rPr>
                    <w:t>≥10；</w:t>
                  </w:r>
                </w:p>
                <w:p>
                  <w:pPr>
                    <w:pStyle w:val="null3"/>
                    <w:ind w:left="420"/>
                    <w:jc w:val="both"/>
                  </w:pPr>
                  <w:r>
                    <w:rPr>
                      <w:rFonts w:ascii="仿宋_GB2312" w:hAnsi="仿宋_GB2312" w:cs="仿宋_GB2312" w:eastAsia="仿宋_GB2312"/>
                      <w:sz w:val="24"/>
                    </w:rPr>
                    <w:t>34.</w:t>
                  </w:r>
                  <w:r>
                    <w:rPr>
                      <w:rFonts w:ascii="仿宋_GB2312" w:hAnsi="仿宋_GB2312" w:cs="仿宋_GB2312" w:eastAsia="仿宋_GB2312"/>
                      <w:sz w:val="24"/>
                    </w:rPr>
                    <w:t>作业速度：</w:t>
                  </w:r>
                  <w:r>
                    <w:rPr>
                      <w:rFonts w:ascii="仿宋_GB2312" w:hAnsi="仿宋_GB2312" w:cs="仿宋_GB2312" w:eastAsia="仿宋_GB2312"/>
                      <w:sz w:val="24"/>
                    </w:rPr>
                    <w:t>0-4.5km/h可调；</w:t>
                  </w:r>
                </w:p>
                <w:p>
                  <w:pPr>
                    <w:pStyle w:val="null3"/>
                    <w:ind w:left="420"/>
                    <w:jc w:val="both"/>
                  </w:pPr>
                  <w:r>
                    <w:rPr>
                      <w:rFonts w:ascii="仿宋_GB2312" w:hAnsi="仿宋_GB2312" w:cs="仿宋_GB2312" w:eastAsia="仿宋_GB2312"/>
                      <w:sz w:val="24"/>
                    </w:rPr>
                    <w:t>35.</w:t>
                  </w:r>
                  <w:r>
                    <w:rPr>
                      <w:rFonts w:ascii="仿宋_GB2312" w:hAnsi="仿宋_GB2312" w:cs="仿宋_GB2312" w:eastAsia="仿宋_GB2312"/>
                      <w:sz w:val="24"/>
                    </w:rPr>
                    <w:t>喷洒宽度：</w:t>
                  </w:r>
                  <w:r>
                    <w:rPr>
                      <w:rFonts w:ascii="仿宋_GB2312" w:hAnsi="仿宋_GB2312" w:cs="仿宋_GB2312" w:eastAsia="仿宋_GB2312"/>
                      <w:sz w:val="24"/>
                    </w:rPr>
                    <w:t>15-28m可调；</w:t>
                  </w:r>
                </w:p>
                <w:p>
                  <w:pPr>
                    <w:pStyle w:val="null3"/>
                    <w:ind w:left="420"/>
                    <w:jc w:val="both"/>
                  </w:pPr>
                  <w:r>
                    <w:rPr>
                      <w:rFonts w:ascii="仿宋_GB2312" w:hAnsi="仿宋_GB2312" w:cs="仿宋_GB2312" w:eastAsia="仿宋_GB2312"/>
                      <w:sz w:val="24"/>
                    </w:rPr>
                    <w:t>36.</w:t>
                  </w:r>
                  <w:r>
                    <w:rPr>
                      <w:rFonts w:ascii="仿宋_GB2312" w:hAnsi="仿宋_GB2312" w:cs="仿宋_GB2312" w:eastAsia="仿宋_GB2312"/>
                      <w:sz w:val="24"/>
                    </w:rPr>
                    <w:t>喷洒高度：</w:t>
                  </w:r>
                  <w:r>
                    <w:rPr>
                      <w:rFonts w:ascii="仿宋_GB2312" w:hAnsi="仿宋_GB2312" w:cs="仿宋_GB2312" w:eastAsia="仿宋_GB2312"/>
                      <w:sz w:val="24"/>
                    </w:rPr>
                    <w:t>5-7m可调；</w:t>
                  </w:r>
                </w:p>
                <w:p>
                  <w:pPr>
                    <w:pStyle w:val="null3"/>
                    <w:ind w:left="420"/>
                    <w:jc w:val="both"/>
                  </w:pPr>
                  <w:r>
                    <w:rPr>
                      <w:rFonts w:ascii="仿宋_GB2312" w:hAnsi="仿宋_GB2312" w:cs="仿宋_GB2312" w:eastAsia="仿宋_GB2312"/>
                      <w:sz w:val="24"/>
                    </w:rPr>
                    <w:t>37.</w:t>
                  </w:r>
                  <w:r>
                    <w:rPr>
                      <w:rFonts w:ascii="仿宋_GB2312" w:hAnsi="仿宋_GB2312" w:cs="仿宋_GB2312" w:eastAsia="仿宋_GB2312"/>
                      <w:sz w:val="24"/>
                    </w:rPr>
                    <w:t>作业精度：</w:t>
                  </w:r>
                  <w:r>
                    <w:rPr>
                      <w:rFonts w:ascii="仿宋_GB2312" w:hAnsi="仿宋_GB2312" w:cs="仿宋_GB2312" w:eastAsia="仿宋_GB2312"/>
                      <w:sz w:val="24"/>
                    </w:rPr>
                    <w:t>±50mm；</w:t>
                  </w:r>
                </w:p>
                <w:p>
                  <w:pPr>
                    <w:pStyle w:val="null3"/>
                    <w:ind w:left="420"/>
                    <w:jc w:val="both"/>
                  </w:pPr>
                  <w:r>
                    <w:rPr>
                      <w:rFonts w:ascii="仿宋_GB2312" w:hAnsi="仿宋_GB2312" w:cs="仿宋_GB2312" w:eastAsia="仿宋_GB2312"/>
                      <w:sz w:val="24"/>
                    </w:rPr>
                    <w:t>38.</w:t>
                  </w:r>
                  <w:r>
                    <w:rPr>
                      <w:rFonts w:ascii="仿宋_GB2312" w:hAnsi="仿宋_GB2312" w:cs="仿宋_GB2312" w:eastAsia="仿宋_GB2312"/>
                      <w:sz w:val="24"/>
                    </w:rPr>
                    <w:t>作业效率：</w:t>
                  </w:r>
                  <w:r>
                    <w:rPr>
                      <w:rFonts w:ascii="仿宋_GB2312" w:hAnsi="仿宋_GB2312" w:cs="仿宋_GB2312" w:eastAsia="仿宋_GB2312"/>
                      <w:sz w:val="24"/>
                    </w:rPr>
                    <w:t>≥20亩/小时；</w:t>
                  </w:r>
                </w:p>
                <w:p>
                  <w:pPr>
                    <w:pStyle w:val="null3"/>
                    <w:ind w:left="420"/>
                    <w:jc w:val="both"/>
                  </w:pPr>
                  <w:r>
                    <w:rPr>
                      <w:rFonts w:ascii="仿宋_GB2312" w:hAnsi="仿宋_GB2312" w:cs="仿宋_GB2312" w:eastAsia="仿宋_GB2312"/>
                      <w:sz w:val="24"/>
                    </w:rPr>
                    <w:t>39.</w:t>
                  </w:r>
                  <w:r>
                    <w:rPr>
                      <w:rFonts w:ascii="仿宋_GB2312" w:hAnsi="仿宋_GB2312" w:cs="仿宋_GB2312" w:eastAsia="仿宋_GB2312"/>
                      <w:sz w:val="24"/>
                    </w:rPr>
                    <w:t>智能化功能：远程图传、融合导航、智能补给、路径共享、回水搅拌、清洗功能等；</w:t>
                  </w:r>
                </w:p>
                <w:p>
                  <w:pPr>
                    <w:pStyle w:val="null3"/>
                    <w:ind w:left="420"/>
                    <w:jc w:val="left"/>
                  </w:pPr>
                  <w:r>
                    <w:rPr>
                      <w:rFonts w:ascii="仿宋_GB2312" w:hAnsi="仿宋_GB2312" w:cs="仿宋_GB2312" w:eastAsia="仿宋_GB2312"/>
                      <w:sz w:val="24"/>
                    </w:rPr>
                    <w:t>40.</w:t>
                  </w:r>
                  <w:r>
                    <w:rPr>
                      <w:rFonts w:ascii="仿宋_GB2312" w:hAnsi="仿宋_GB2312" w:cs="仿宋_GB2312" w:eastAsia="仿宋_GB2312"/>
                      <w:sz w:val="24"/>
                    </w:rPr>
                    <w:t>安全性能：超横差停车、弱信号停车、惯性导航、毫米波雷达、急停按钮等。</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智能履带式旋耕机</w:t>
                  </w:r>
                </w:p>
              </w:tc>
              <w:tc>
                <w:tcPr>
                  <w:tcW w:type="dxa" w:w="2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rFonts w:ascii="仿宋_GB2312" w:hAnsi="仿宋_GB2312" w:cs="仿宋_GB2312" w:eastAsia="仿宋_GB2312"/>
                      <w:sz w:val="24"/>
                    </w:rPr>
                    <w:t>41.</w:t>
                  </w:r>
                  <w:r>
                    <w:rPr>
                      <w:rFonts w:ascii="仿宋_GB2312" w:hAnsi="仿宋_GB2312" w:cs="仿宋_GB2312" w:eastAsia="仿宋_GB2312"/>
                      <w:sz w:val="24"/>
                    </w:rPr>
                    <w:t>外形尺寸：</w:t>
                  </w:r>
                  <w:r>
                    <w:rPr>
                      <w:rFonts w:ascii="仿宋_GB2312" w:hAnsi="仿宋_GB2312" w:cs="仿宋_GB2312" w:eastAsia="仿宋_GB2312"/>
                      <w:sz w:val="24"/>
                    </w:rPr>
                    <w:t>≤350*150*180cm；</w:t>
                  </w:r>
                </w:p>
                <w:p>
                  <w:pPr>
                    <w:pStyle w:val="null3"/>
                    <w:ind w:left="420"/>
                    <w:jc w:val="both"/>
                  </w:pPr>
                  <w:r>
                    <w:rPr>
                      <w:rFonts w:ascii="仿宋_GB2312" w:hAnsi="仿宋_GB2312" w:cs="仿宋_GB2312" w:eastAsia="仿宋_GB2312"/>
                      <w:sz w:val="24"/>
                    </w:rPr>
                    <w:t>42.</w:t>
                  </w:r>
                  <w:r>
                    <w:rPr>
                      <w:rFonts w:ascii="仿宋_GB2312" w:hAnsi="仿宋_GB2312" w:cs="仿宋_GB2312" w:eastAsia="仿宋_GB2312"/>
                      <w:sz w:val="24"/>
                    </w:rPr>
                    <w:t>履带接地长：</w:t>
                  </w:r>
                  <w:r>
                    <w:rPr>
                      <w:rFonts w:ascii="仿宋_GB2312" w:hAnsi="仿宋_GB2312" w:cs="仿宋_GB2312" w:eastAsia="仿宋_GB2312"/>
                      <w:sz w:val="24"/>
                    </w:rPr>
                    <w:t>≤110cm；</w:t>
                  </w:r>
                </w:p>
                <w:p>
                  <w:pPr>
                    <w:pStyle w:val="null3"/>
                    <w:ind w:left="420"/>
                    <w:jc w:val="both"/>
                  </w:pPr>
                  <w:r>
                    <w:rPr>
                      <w:rFonts w:ascii="仿宋_GB2312" w:hAnsi="仿宋_GB2312" w:cs="仿宋_GB2312" w:eastAsia="仿宋_GB2312"/>
                      <w:sz w:val="24"/>
                    </w:rPr>
                    <w:t>43.</w:t>
                  </w:r>
                  <w:r>
                    <w:rPr>
                      <w:rFonts w:ascii="仿宋_GB2312" w:hAnsi="仿宋_GB2312" w:cs="仿宋_GB2312" w:eastAsia="仿宋_GB2312"/>
                      <w:sz w:val="24"/>
                    </w:rPr>
                    <w:t>最小离地间隙：</w:t>
                  </w:r>
                  <w:r>
                    <w:rPr>
                      <w:rFonts w:ascii="仿宋_GB2312" w:hAnsi="仿宋_GB2312" w:cs="仿宋_GB2312" w:eastAsia="仿宋_GB2312"/>
                      <w:sz w:val="24"/>
                    </w:rPr>
                    <w:t>≥20cm；</w:t>
                  </w:r>
                </w:p>
                <w:p>
                  <w:pPr>
                    <w:pStyle w:val="null3"/>
                    <w:ind w:left="420"/>
                    <w:jc w:val="both"/>
                  </w:pPr>
                  <w:r>
                    <w:rPr>
                      <w:rFonts w:ascii="仿宋_GB2312" w:hAnsi="仿宋_GB2312" w:cs="仿宋_GB2312" w:eastAsia="仿宋_GB2312"/>
                      <w:sz w:val="24"/>
                    </w:rPr>
                    <w:t>44.</w:t>
                  </w:r>
                  <w:r>
                    <w:rPr>
                      <w:rFonts w:ascii="仿宋_GB2312" w:hAnsi="仿宋_GB2312" w:cs="仿宋_GB2312" w:eastAsia="仿宋_GB2312"/>
                      <w:sz w:val="24"/>
                    </w:rPr>
                    <w:t>动力输出轴转速：</w:t>
                  </w:r>
                  <w:r>
                    <w:rPr>
                      <w:rFonts w:ascii="仿宋_GB2312" w:hAnsi="仿宋_GB2312" w:cs="仿宋_GB2312" w:eastAsia="仿宋_GB2312"/>
                      <w:sz w:val="24"/>
                    </w:rPr>
                    <w:t>≥500r/min；</w:t>
                  </w:r>
                </w:p>
                <w:p>
                  <w:pPr>
                    <w:pStyle w:val="null3"/>
                    <w:ind w:left="420"/>
                    <w:jc w:val="both"/>
                  </w:pPr>
                  <w:r>
                    <w:rPr>
                      <w:rFonts w:ascii="仿宋_GB2312" w:hAnsi="仿宋_GB2312" w:cs="仿宋_GB2312" w:eastAsia="仿宋_GB2312"/>
                      <w:sz w:val="24"/>
                    </w:rPr>
                    <w:t>45.</w:t>
                  </w:r>
                  <w:r>
                    <w:rPr>
                      <w:rFonts w:ascii="仿宋_GB2312" w:hAnsi="仿宋_GB2312" w:cs="仿宋_GB2312" w:eastAsia="仿宋_GB2312"/>
                      <w:sz w:val="24"/>
                    </w:rPr>
                    <w:t>全液压差速器转向；</w:t>
                  </w:r>
                </w:p>
                <w:p>
                  <w:pPr>
                    <w:pStyle w:val="null3"/>
                    <w:ind w:left="420"/>
                    <w:jc w:val="both"/>
                  </w:pPr>
                  <w:r>
                    <w:rPr>
                      <w:rFonts w:ascii="仿宋_GB2312" w:hAnsi="仿宋_GB2312" w:cs="仿宋_GB2312" w:eastAsia="仿宋_GB2312"/>
                      <w:sz w:val="24"/>
                    </w:rPr>
                    <w:t>46.</w:t>
                  </w:r>
                  <w:r>
                    <w:rPr>
                      <w:rFonts w:ascii="仿宋_GB2312" w:hAnsi="仿宋_GB2312" w:cs="仿宋_GB2312" w:eastAsia="仿宋_GB2312"/>
                      <w:sz w:val="24"/>
                    </w:rPr>
                    <w:t>发动机额定功率：</w:t>
                  </w:r>
                  <w:r>
                    <w:rPr>
                      <w:rFonts w:ascii="仿宋_GB2312" w:hAnsi="仿宋_GB2312" w:cs="仿宋_GB2312" w:eastAsia="仿宋_GB2312"/>
                      <w:sz w:val="24"/>
                    </w:rPr>
                    <w:t>≥35KW；</w:t>
                  </w:r>
                </w:p>
                <w:p>
                  <w:pPr>
                    <w:pStyle w:val="null3"/>
                    <w:ind w:left="420"/>
                    <w:jc w:val="both"/>
                  </w:pPr>
                  <w:r>
                    <w:rPr>
                      <w:rFonts w:ascii="仿宋_GB2312" w:hAnsi="仿宋_GB2312" w:cs="仿宋_GB2312" w:eastAsia="仿宋_GB2312"/>
                      <w:sz w:val="24"/>
                    </w:rPr>
                    <w:t>47.</w:t>
                  </w:r>
                  <w:r>
                    <w:rPr>
                      <w:rFonts w:ascii="仿宋_GB2312" w:hAnsi="仿宋_GB2312" w:cs="仿宋_GB2312" w:eastAsia="仿宋_GB2312"/>
                      <w:sz w:val="24"/>
                    </w:rPr>
                    <w:t>采用卫星导航与惯性导航融合技术，导航精度</w:t>
                  </w:r>
                  <w:r>
                    <w:rPr>
                      <w:rFonts w:ascii="仿宋_GB2312" w:hAnsi="仿宋_GB2312" w:cs="仿宋_GB2312" w:eastAsia="仿宋_GB2312"/>
                      <w:sz w:val="24"/>
                    </w:rPr>
                    <w:t>±2.5CM；</w:t>
                  </w:r>
                </w:p>
                <w:p>
                  <w:pPr>
                    <w:pStyle w:val="null3"/>
                    <w:ind w:left="420"/>
                    <w:jc w:val="both"/>
                  </w:pPr>
                  <w:r>
                    <w:rPr>
                      <w:rFonts w:ascii="仿宋_GB2312" w:hAnsi="仿宋_GB2312" w:cs="仿宋_GB2312" w:eastAsia="仿宋_GB2312"/>
                      <w:sz w:val="24"/>
                    </w:rPr>
                    <w:t>48.</w:t>
                  </w:r>
                  <w:r>
                    <w:rPr>
                      <w:rFonts w:ascii="仿宋_GB2312" w:hAnsi="仿宋_GB2312" w:cs="仿宋_GB2312" w:eastAsia="仿宋_GB2312"/>
                      <w:sz w:val="24"/>
                    </w:rPr>
                    <w:t>可无人辅助导航驾驶、手动遥控、人乘坐操作。遥控具备自主控制启动、熄火、油门的大小、农具的升降、地头调头。</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履带式电动遥控除草机器人</w:t>
                  </w:r>
                </w:p>
              </w:tc>
              <w:tc>
                <w:tcPr>
                  <w:tcW w:type="dxa" w:w="2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rFonts w:ascii="仿宋_GB2312" w:hAnsi="仿宋_GB2312" w:cs="仿宋_GB2312" w:eastAsia="仿宋_GB2312"/>
                      <w:sz w:val="24"/>
                    </w:rPr>
                    <w:t>49.</w:t>
                  </w:r>
                  <w:r>
                    <w:rPr>
                      <w:rFonts w:ascii="仿宋_GB2312" w:hAnsi="仿宋_GB2312" w:cs="仿宋_GB2312" w:eastAsia="仿宋_GB2312"/>
                      <w:sz w:val="24"/>
                    </w:rPr>
                    <w:t>采用纯电动力模式，配备磷酸铁锂电池，电池标充容量</w:t>
                  </w:r>
                  <w:r>
                    <w:rPr>
                      <w:rFonts w:ascii="仿宋_GB2312" w:hAnsi="仿宋_GB2312" w:cs="仿宋_GB2312" w:eastAsia="仿宋_GB2312"/>
                      <w:sz w:val="24"/>
                    </w:rPr>
                    <w:t>≥15KWh；</w:t>
                  </w:r>
                </w:p>
                <w:p>
                  <w:pPr>
                    <w:pStyle w:val="null3"/>
                    <w:ind w:left="420"/>
                    <w:jc w:val="both"/>
                  </w:pPr>
                  <w:r>
                    <w:rPr>
                      <w:rFonts w:ascii="仿宋_GB2312" w:hAnsi="仿宋_GB2312" w:cs="仿宋_GB2312" w:eastAsia="仿宋_GB2312"/>
                      <w:sz w:val="24"/>
                    </w:rPr>
                    <w:t>50.</w:t>
                  </w:r>
                  <w:r>
                    <w:rPr>
                      <w:rFonts w:ascii="仿宋_GB2312" w:hAnsi="仿宋_GB2312" w:cs="仿宋_GB2312" w:eastAsia="仿宋_GB2312"/>
                      <w:sz w:val="24"/>
                    </w:rPr>
                    <w:t>底盘应采用履带式底盘；</w:t>
                  </w:r>
                </w:p>
                <w:p>
                  <w:pPr>
                    <w:pStyle w:val="null3"/>
                    <w:ind w:left="420"/>
                    <w:jc w:val="both"/>
                  </w:pPr>
                  <w:r>
                    <w:rPr>
                      <w:rFonts w:ascii="仿宋_GB2312" w:hAnsi="仿宋_GB2312" w:cs="仿宋_GB2312" w:eastAsia="仿宋_GB2312"/>
                      <w:sz w:val="24"/>
                    </w:rPr>
                    <w:t>51.</w:t>
                  </w:r>
                  <w:r>
                    <w:rPr>
                      <w:rFonts w:ascii="仿宋_GB2312" w:hAnsi="仿宋_GB2312" w:cs="仿宋_GB2312" w:eastAsia="仿宋_GB2312"/>
                      <w:sz w:val="24"/>
                    </w:rPr>
                    <w:t>配备车辆电压</w:t>
                  </w:r>
                  <w:r>
                    <w:rPr>
                      <w:rFonts w:ascii="仿宋_GB2312" w:hAnsi="仿宋_GB2312" w:cs="仿宋_GB2312" w:eastAsia="仿宋_GB2312"/>
                      <w:sz w:val="24"/>
                    </w:rPr>
                    <w:t>≥70V，刀头电机功率≥4000W；</w:t>
                  </w:r>
                </w:p>
                <w:p>
                  <w:pPr>
                    <w:pStyle w:val="null3"/>
                    <w:ind w:left="420"/>
                    <w:jc w:val="both"/>
                  </w:pPr>
                  <w:r>
                    <w:rPr>
                      <w:rFonts w:ascii="仿宋_GB2312" w:hAnsi="仿宋_GB2312" w:cs="仿宋_GB2312" w:eastAsia="仿宋_GB2312"/>
                      <w:sz w:val="24"/>
                    </w:rPr>
                    <w:t>52.</w:t>
                  </w:r>
                  <w:r>
                    <w:rPr>
                      <w:rFonts w:ascii="仿宋_GB2312" w:hAnsi="仿宋_GB2312" w:cs="仿宋_GB2312" w:eastAsia="仿宋_GB2312"/>
                      <w:sz w:val="24"/>
                    </w:rPr>
                    <w:t>爬</w:t>
                  </w:r>
                  <w:r>
                    <w:rPr>
                      <w:rFonts w:ascii="仿宋_GB2312" w:hAnsi="仿宋_GB2312" w:cs="仿宋_GB2312" w:eastAsia="仿宋_GB2312"/>
                      <w:sz w:val="24"/>
                    </w:rPr>
                    <w:t>坡</w:t>
                  </w:r>
                  <w:r>
                    <w:rPr>
                      <w:rFonts w:ascii="仿宋_GB2312" w:hAnsi="仿宋_GB2312" w:cs="仿宋_GB2312" w:eastAsia="仿宋_GB2312"/>
                      <w:sz w:val="24"/>
                    </w:rPr>
                    <w:t>≥25度，倾角≥35度；</w:t>
                  </w:r>
                </w:p>
                <w:p>
                  <w:pPr>
                    <w:pStyle w:val="null3"/>
                    <w:ind w:left="420"/>
                    <w:jc w:val="both"/>
                  </w:pPr>
                  <w:r>
                    <w:rPr>
                      <w:rFonts w:ascii="仿宋_GB2312" w:hAnsi="仿宋_GB2312" w:cs="仿宋_GB2312" w:eastAsia="仿宋_GB2312"/>
                      <w:sz w:val="24"/>
                    </w:rPr>
                    <w:t>53.</w:t>
                  </w:r>
                  <w:r>
                    <w:rPr>
                      <w:rFonts w:ascii="仿宋_GB2312" w:hAnsi="仿宋_GB2312" w:cs="仿宋_GB2312" w:eastAsia="仿宋_GB2312"/>
                      <w:sz w:val="24"/>
                    </w:rPr>
                    <w:t>速度至少满足</w:t>
                  </w:r>
                  <w:r>
                    <w:rPr>
                      <w:rFonts w:ascii="仿宋_GB2312" w:hAnsi="仿宋_GB2312" w:cs="仿宋_GB2312" w:eastAsia="仿宋_GB2312"/>
                      <w:sz w:val="24"/>
                    </w:rPr>
                    <w:t>0-4.5公里/小时；</w:t>
                  </w:r>
                </w:p>
                <w:p>
                  <w:pPr>
                    <w:pStyle w:val="null3"/>
                    <w:ind w:left="420"/>
                    <w:jc w:val="both"/>
                  </w:pPr>
                  <w:r>
                    <w:rPr>
                      <w:rFonts w:ascii="仿宋_GB2312" w:hAnsi="仿宋_GB2312" w:cs="仿宋_GB2312" w:eastAsia="仿宋_GB2312"/>
                      <w:sz w:val="24"/>
                    </w:rPr>
                    <w:t>54.</w:t>
                  </w:r>
                  <w:r>
                    <w:rPr>
                      <w:rFonts w:ascii="仿宋_GB2312" w:hAnsi="仿宋_GB2312" w:cs="仿宋_GB2312" w:eastAsia="仿宋_GB2312"/>
                      <w:sz w:val="24"/>
                    </w:rPr>
                    <w:t>刀头：转速</w:t>
                  </w:r>
                  <w:r>
                    <w:rPr>
                      <w:rFonts w:ascii="仿宋_GB2312" w:hAnsi="仿宋_GB2312" w:cs="仿宋_GB2312" w:eastAsia="仿宋_GB2312"/>
                      <w:sz w:val="24"/>
                    </w:rPr>
                    <w:t>≥3500转/分钟，可调范围0-20厘米；</w:t>
                  </w:r>
                </w:p>
                <w:p>
                  <w:pPr>
                    <w:pStyle w:val="null3"/>
                    <w:ind w:left="420"/>
                    <w:jc w:val="both"/>
                  </w:pPr>
                  <w:r>
                    <w:rPr>
                      <w:rFonts w:ascii="仿宋_GB2312" w:hAnsi="仿宋_GB2312" w:cs="仿宋_GB2312" w:eastAsia="仿宋_GB2312"/>
                      <w:sz w:val="24"/>
                    </w:rPr>
                    <w:t>55.</w:t>
                  </w:r>
                  <w:r>
                    <w:rPr>
                      <w:rFonts w:ascii="仿宋_GB2312" w:hAnsi="仿宋_GB2312" w:cs="仿宋_GB2312" w:eastAsia="仿宋_GB2312"/>
                      <w:sz w:val="24"/>
                    </w:rPr>
                    <w:t>具备无线遥控操作模式。遥控距离</w:t>
                  </w:r>
                  <w:r>
                    <w:rPr>
                      <w:rFonts w:ascii="仿宋_GB2312" w:hAnsi="仿宋_GB2312" w:cs="仿宋_GB2312" w:eastAsia="仿宋_GB2312"/>
                      <w:sz w:val="24"/>
                    </w:rPr>
                    <w:t>≥200米，支持定速巡航、速度闭环自动纠正、割草与简易粉碎枝条等。</w:t>
                  </w:r>
                </w:p>
              </w:tc>
            </w:tr>
          </w:tbl>
          <w:p>
            <w:pPr>
              <w:pStyle w:val="null3"/>
            </w:pPr>
            <w:r>
              <w:rPr>
                <w:rFonts w:ascii="仿宋_GB2312" w:hAnsi="仿宋_GB2312" w:cs="仿宋_GB2312" w:eastAsia="仿宋_GB2312"/>
                <w:sz w:val="24"/>
                <w:b/>
              </w:rPr>
              <w:t>备注：</w:t>
            </w:r>
            <w:r>
              <w:rPr>
                <w:rFonts w:ascii="仿宋_GB2312" w:hAnsi="仿宋_GB2312" w:cs="仿宋_GB2312" w:eastAsia="仿宋_GB2312"/>
                <w:sz w:val="24"/>
                <w:b/>
              </w:rPr>
              <w:t>本项目采购的产品</w:t>
            </w:r>
            <w:r>
              <w:rPr>
                <w:rFonts w:ascii="仿宋_GB2312" w:hAnsi="仿宋_GB2312" w:cs="仿宋_GB2312" w:eastAsia="仿宋_GB2312"/>
                <w:sz w:val="24"/>
                <w:b/>
              </w:rPr>
              <w:t>如有</w:t>
            </w:r>
            <w:r>
              <w:rPr>
                <w:rFonts w:ascii="仿宋_GB2312" w:hAnsi="仿宋_GB2312" w:cs="仿宋_GB2312" w:eastAsia="仿宋_GB2312"/>
                <w:sz w:val="24"/>
                <w:b/>
              </w:rPr>
              <w:t>属于强制性产品认证目录中的产品，供应商应提供有效的</w:t>
            </w:r>
            <w:r>
              <w:rPr>
                <w:rFonts w:ascii="仿宋_GB2312" w:hAnsi="仿宋_GB2312" w:cs="仿宋_GB2312" w:eastAsia="仿宋_GB2312"/>
                <w:sz w:val="24"/>
                <w:b/>
              </w:rPr>
              <w:t>3C认证证书</w:t>
            </w:r>
            <w:r>
              <w:rPr>
                <w:rFonts w:ascii="仿宋_GB2312" w:hAnsi="仿宋_GB2312" w:cs="仿宋_GB2312" w:eastAsia="仿宋_GB2312"/>
                <w:sz w:val="24"/>
                <w:b/>
              </w:rPr>
              <w:t>或相关证明文件</w:t>
            </w:r>
            <w:r>
              <w:rPr>
                <w:rFonts w:ascii="仿宋_GB2312" w:hAnsi="仿宋_GB2312" w:cs="仿宋_GB2312" w:eastAsia="仿宋_GB2312"/>
                <w:sz w:val="24"/>
                <w:b/>
              </w:rPr>
              <w:t>。</w:t>
            </w:r>
          </w:p>
          <w:p>
            <w:pPr>
              <w:pStyle w:val="null3"/>
              <w:jc w:val="left"/>
            </w:pPr>
            <w:r>
              <w:rPr>
                <w:rFonts w:ascii="仿宋_GB2312" w:hAnsi="仿宋_GB2312" w:cs="仿宋_GB2312" w:eastAsia="仿宋_GB2312"/>
                <w:sz w:val="24"/>
              </w:rPr>
              <w:t>三：项目经理要求</w:t>
            </w:r>
          </w:p>
          <w:p>
            <w:pPr>
              <w:pStyle w:val="null3"/>
              <w:ind w:firstLine="480"/>
              <w:jc w:val="left"/>
            </w:pPr>
            <w:r>
              <w:rPr>
                <w:rFonts w:ascii="仿宋_GB2312" w:hAnsi="仿宋_GB2312" w:cs="仿宋_GB2312" w:eastAsia="仿宋_GB2312"/>
                <w:sz w:val="24"/>
                <w:color w:val="000000"/>
              </w:rPr>
              <w:t>项目经理人要求（负责与甲方对接、跟踪项目实施、质量进度管理、争议解决等。）：项目经理作为学校（甲方）的唯一对接人，全程负责合同签订、交付、验收和售后问题沟通；指定详细项目计划（含交货、安装、培训时间节点），确保按合同约定时间完成；监督设备生产、检验、运输，确保设备参数符合招标要求。对交付过程中出现的质量争议、技术偏差等问题，需在</w:t>
            </w:r>
            <w:r>
              <w:rPr>
                <w:rFonts w:ascii="仿宋_GB2312" w:hAnsi="仿宋_GB2312" w:cs="仿宋_GB2312" w:eastAsia="仿宋_GB2312"/>
                <w:sz w:val="24"/>
                <w:color w:val="000000"/>
              </w:rPr>
              <w:t>24小时内提交解决方案；协调供应商资源，保障学校教学进度不受影响。负责整理并提交项目全过程文件，归档至学校。</w:t>
            </w:r>
          </w:p>
          <w:p>
            <w:pPr>
              <w:pStyle w:val="null3"/>
              <w:jc w:val="both"/>
            </w:pP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标的名称：智能化改造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rPr>
              <w:t xml:space="preserve">    </w:t>
            </w:r>
          </w:p>
          <w:p>
            <w:pPr>
              <w:pStyle w:val="null3"/>
              <w:jc w:val="both"/>
            </w:pPr>
            <w:r>
              <w:rPr>
                <w:rFonts w:ascii="仿宋_GB2312" w:hAnsi="仿宋_GB2312" w:cs="仿宋_GB2312" w:eastAsia="仿宋_GB2312"/>
                <w:sz w:val="24"/>
              </w:rPr>
              <w:t>一．</w:t>
            </w:r>
            <w:r>
              <w:rPr>
                <w:rFonts w:ascii="仿宋_GB2312" w:hAnsi="仿宋_GB2312" w:cs="仿宋_GB2312" w:eastAsia="仿宋_GB2312"/>
                <w:sz w:val="24"/>
              </w:rPr>
              <w:t>采购清单</w:t>
            </w:r>
          </w:p>
          <w:tbl>
            <w:tblPr>
              <w:tblBorders>
                <w:top w:val="none" w:color="000000" w:sz="4"/>
                <w:left w:val="none" w:color="000000" w:sz="4"/>
                <w:bottom w:val="none" w:color="000000" w:sz="4"/>
                <w:right w:val="none" w:color="000000" w:sz="4"/>
                <w:insideH w:val="none"/>
                <w:insideV w:val="none"/>
              </w:tblBorders>
            </w:tblPr>
            <w:tblGrid>
              <w:gridCol w:w="288"/>
              <w:gridCol w:w="1290"/>
              <w:gridCol w:w="396"/>
              <w:gridCol w:w="446"/>
              <w:gridCol w:w="762"/>
            </w:tblGrid>
            <w:tr>
              <w:tc>
                <w:tcPr>
                  <w:tcW w:type="dxa" w:w="2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12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采购清单</w:t>
                  </w:r>
                </w:p>
              </w:tc>
              <w:tc>
                <w:tcPr>
                  <w:tcW w:type="dxa" w:w="3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c>
                <w:tcPr>
                  <w:tcW w:type="dxa" w:w="4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单位</w:t>
                  </w:r>
                </w:p>
              </w:tc>
              <w:tc>
                <w:tcPr>
                  <w:tcW w:type="dxa" w:w="7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是否核心产品</w:t>
                  </w: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室外气象综合监测站</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台</w:t>
                  </w:r>
                </w:p>
              </w:tc>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核心产品</w:t>
                  </w: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智能虫情测报灯</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固定式孢子捕捉仪</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生长环境监测系统</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手持式光量子仪</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超低温冰箱</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1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LED单色显示屏</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块</w:t>
                  </w:r>
                </w:p>
              </w:tc>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1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大棚</w:t>
                  </w:r>
                  <w:r>
                    <w:rPr>
                      <w:rFonts w:ascii="仿宋_GB2312" w:hAnsi="仿宋_GB2312" w:cs="仿宋_GB2312" w:eastAsia="仿宋_GB2312"/>
                      <w:sz w:val="24"/>
                      <w:color w:val="000000"/>
                    </w:rPr>
                    <w:t>杀虫灯</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1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农情监测系统软件</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1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拼接大屏与网络的改造</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1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监测数据的同屏显示设计</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rFonts w:ascii="仿宋_GB2312" w:hAnsi="仿宋_GB2312" w:cs="仿宋_GB2312" w:eastAsia="仿宋_GB2312"/>
                <w:sz w:val="24"/>
              </w:rPr>
              <w:t>二、</w:t>
            </w:r>
            <w:r>
              <w:rPr>
                <w:rFonts w:ascii="仿宋_GB2312" w:hAnsi="仿宋_GB2312" w:cs="仿宋_GB2312" w:eastAsia="仿宋_GB2312"/>
                <w:sz w:val="24"/>
              </w:rPr>
              <w:t>技术服务要求</w:t>
            </w:r>
          </w:p>
          <w:tbl>
            <w:tblPr>
              <w:tblBorders>
                <w:top w:val="none" w:color="000000" w:sz="4"/>
                <w:left w:val="none" w:color="000000" w:sz="4"/>
                <w:bottom w:val="none" w:color="000000" w:sz="4"/>
                <w:right w:val="none" w:color="000000" w:sz="4"/>
                <w:insideH w:val="none"/>
                <w:insideV w:val="none"/>
              </w:tblBorders>
            </w:tblPr>
            <w:tblGrid>
              <w:gridCol w:w="180"/>
              <w:gridCol w:w="290"/>
              <w:gridCol w:w="2083"/>
            </w:tblGrid>
            <w:tr>
              <w:tc>
                <w:tcPr>
                  <w:tcW w:type="dxa" w:w="1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序号</w:t>
                  </w:r>
                </w:p>
              </w:tc>
              <w:tc>
                <w:tcPr>
                  <w:tcW w:type="dxa" w:w="2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货物名称</w:t>
                  </w:r>
                </w:p>
              </w:tc>
              <w:tc>
                <w:tcPr>
                  <w:tcW w:type="dxa" w:w="20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技术要求</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室外气象综合监测站</w:t>
                  </w:r>
                </w:p>
              </w:tc>
              <w:tc>
                <w:tcPr>
                  <w:tcW w:type="dxa" w:w="2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包含土壤水分，土壤温度、空气温</w:t>
                  </w:r>
                  <w:r>
                    <w:rPr>
                      <w:rFonts w:ascii="仿宋_GB2312" w:hAnsi="仿宋_GB2312" w:cs="仿宋_GB2312" w:eastAsia="仿宋_GB2312"/>
                      <w:sz w:val="24"/>
                      <w:color w:val="000000"/>
                    </w:rPr>
                    <w:t>/</w:t>
                  </w:r>
                  <w:r>
                    <w:rPr>
                      <w:rFonts w:ascii="仿宋_GB2312" w:hAnsi="仿宋_GB2312" w:cs="仿宋_GB2312" w:eastAsia="仿宋_GB2312"/>
                      <w:sz w:val="24"/>
                      <w:color w:val="000000"/>
                    </w:rPr>
                    <w:t>湿度，光照，雨量，风速</w:t>
                  </w:r>
                  <w:r>
                    <w:rPr>
                      <w:rFonts w:ascii="仿宋_GB2312" w:hAnsi="仿宋_GB2312" w:cs="仿宋_GB2312" w:eastAsia="仿宋_GB2312"/>
                      <w:sz w:val="24"/>
                      <w:color w:val="000000"/>
                    </w:rPr>
                    <w:t>/</w:t>
                  </w:r>
                  <w:r>
                    <w:rPr>
                      <w:rFonts w:ascii="仿宋_GB2312" w:hAnsi="仿宋_GB2312" w:cs="仿宋_GB2312" w:eastAsia="仿宋_GB2312"/>
                      <w:sz w:val="24"/>
                      <w:color w:val="000000"/>
                    </w:rPr>
                    <w:t>风向，大气压、果园作物长势图片等传感器及统一采集上传设备、可实现设备智能管理、报警和维护。</w:t>
                  </w:r>
                </w:p>
                <w:p>
                  <w:pPr>
                    <w:pStyle w:val="null3"/>
                    <w:ind w:firstLine="482"/>
                    <w:jc w:val="left"/>
                  </w:pPr>
                  <w:r>
                    <w:rPr>
                      <w:rFonts w:ascii="仿宋_GB2312" w:hAnsi="仿宋_GB2312" w:cs="仿宋_GB2312" w:eastAsia="仿宋_GB2312"/>
                      <w:sz w:val="24"/>
                      <w:b/>
                      <w:color w:val="000000"/>
                    </w:rPr>
                    <w:t>传感器参数：</w:t>
                  </w:r>
                </w:p>
                <w:p>
                  <w:pPr>
                    <w:pStyle w:val="null3"/>
                    <w:ind w:left="420"/>
                    <w:jc w:val="both"/>
                  </w:pPr>
                  <w:r>
                    <w:rPr>
                      <w:rFonts w:ascii="仿宋_GB2312" w:hAnsi="仿宋_GB2312" w:cs="仿宋_GB2312" w:eastAsia="仿宋_GB2312"/>
                      <w:sz w:val="24"/>
                    </w:rPr>
                    <w:t>2.</w:t>
                  </w:r>
                  <w:r>
                    <w:rPr>
                      <w:rFonts w:ascii="仿宋_GB2312" w:hAnsi="仿宋_GB2312" w:cs="仿宋_GB2312" w:eastAsia="仿宋_GB2312"/>
                      <w:sz w:val="24"/>
                    </w:rPr>
                    <w:t>土壤水分（</w:t>
                  </w:r>
                  <w:r>
                    <w:rPr>
                      <w:rFonts w:ascii="仿宋_GB2312" w:hAnsi="仿宋_GB2312" w:cs="仿宋_GB2312" w:eastAsia="仿宋_GB2312"/>
                      <w:sz w:val="24"/>
                    </w:rPr>
                    <w:t>三</w:t>
                  </w:r>
                  <w:r>
                    <w:rPr>
                      <w:rFonts w:ascii="仿宋_GB2312" w:hAnsi="仿宋_GB2312" w:cs="仿宋_GB2312" w:eastAsia="仿宋_GB2312"/>
                      <w:sz w:val="24"/>
                    </w:rPr>
                    <w:t>层）测量范围：</w:t>
                  </w:r>
                  <w:r>
                    <w:rPr>
                      <w:rFonts w:ascii="仿宋_GB2312" w:hAnsi="仿宋_GB2312" w:cs="仿宋_GB2312" w:eastAsia="仿宋_GB2312"/>
                      <w:sz w:val="24"/>
                    </w:rPr>
                    <w:t>0～100% ，分辨率：</w:t>
                  </w:r>
                  <w:r>
                    <w:rPr>
                      <w:rFonts w:ascii="仿宋_GB2312" w:hAnsi="仿宋_GB2312" w:cs="仿宋_GB2312" w:eastAsia="仿宋_GB2312"/>
                      <w:sz w:val="24"/>
                    </w:rPr>
                    <w:t>≤</w:t>
                  </w:r>
                  <w:r>
                    <w:rPr>
                      <w:rFonts w:ascii="仿宋_GB2312" w:hAnsi="仿宋_GB2312" w:cs="仿宋_GB2312" w:eastAsia="仿宋_GB2312"/>
                      <w:sz w:val="24"/>
                    </w:rPr>
                    <w:t>0.1% ，准确度：±2%；</w:t>
                  </w:r>
                </w:p>
                <w:p>
                  <w:pPr>
                    <w:pStyle w:val="null3"/>
                    <w:ind w:left="420"/>
                    <w:jc w:val="both"/>
                  </w:pPr>
                  <w:r>
                    <w:rPr>
                      <w:rFonts w:ascii="仿宋_GB2312" w:hAnsi="仿宋_GB2312" w:cs="仿宋_GB2312" w:eastAsia="仿宋_GB2312"/>
                      <w:sz w:val="24"/>
                    </w:rPr>
                    <w:t>3.</w:t>
                  </w:r>
                  <w:r>
                    <w:rPr>
                      <w:rFonts w:ascii="仿宋_GB2312" w:hAnsi="仿宋_GB2312" w:cs="仿宋_GB2312" w:eastAsia="仿宋_GB2312"/>
                      <w:sz w:val="24"/>
                    </w:rPr>
                    <w:t>土壤温度（</w:t>
                  </w:r>
                  <w:r>
                    <w:rPr>
                      <w:rFonts w:ascii="仿宋_GB2312" w:hAnsi="仿宋_GB2312" w:cs="仿宋_GB2312" w:eastAsia="仿宋_GB2312"/>
                      <w:sz w:val="24"/>
                    </w:rPr>
                    <w:t>三</w:t>
                  </w:r>
                  <w:r>
                    <w:rPr>
                      <w:rFonts w:ascii="仿宋_GB2312" w:hAnsi="仿宋_GB2312" w:cs="仿宋_GB2312" w:eastAsia="仿宋_GB2312"/>
                      <w:sz w:val="24"/>
                    </w:rPr>
                    <w:t>层）测量范围：</w:t>
                  </w:r>
                  <w:r>
                    <w:rPr>
                      <w:rFonts w:ascii="仿宋_GB2312" w:hAnsi="仿宋_GB2312" w:cs="仿宋_GB2312" w:eastAsia="仿宋_GB2312"/>
                      <w:sz w:val="24"/>
                    </w:rPr>
                    <w:t>-20～</w:t>
                  </w:r>
                  <w:r>
                    <w:rPr>
                      <w:rFonts w:ascii="仿宋_GB2312" w:hAnsi="仿宋_GB2312" w:cs="仿宋_GB2312" w:eastAsia="仿宋_GB2312"/>
                      <w:sz w:val="24"/>
                    </w:rPr>
                    <w:t>8</w:t>
                  </w:r>
                  <w:r>
                    <w:rPr>
                      <w:rFonts w:ascii="仿宋_GB2312" w:hAnsi="仿宋_GB2312" w:cs="仿宋_GB2312" w:eastAsia="仿宋_GB2312"/>
                      <w:sz w:val="24"/>
                    </w:rPr>
                    <w:t>0℃，分辨率：</w:t>
                  </w:r>
                  <w:r>
                    <w:rPr>
                      <w:rFonts w:ascii="仿宋_GB2312" w:hAnsi="仿宋_GB2312" w:cs="仿宋_GB2312" w:eastAsia="仿宋_GB2312"/>
                      <w:sz w:val="24"/>
                    </w:rPr>
                    <w:t>≤</w:t>
                  </w:r>
                  <w:r>
                    <w:rPr>
                      <w:rFonts w:ascii="仿宋_GB2312" w:hAnsi="仿宋_GB2312" w:cs="仿宋_GB2312" w:eastAsia="仿宋_GB2312"/>
                      <w:sz w:val="24"/>
                    </w:rPr>
                    <w:t>0.1℃，准确度：0.2℃；</w:t>
                  </w:r>
                </w:p>
                <w:p>
                  <w:pPr>
                    <w:pStyle w:val="null3"/>
                    <w:ind w:left="420"/>
                    <w:jc w:val="both"/>
                  </w:pPr>
                  <w:r>
                    <w:rPr>
                      <w:rFonts w:ascii="仿宋_GB2312" w:hAnsi="仿宋_GB2312" w:cs="仿宋_GB2312" w:eastAsia="仿宋_GB2312"/>
                      <w:sz w:val="24"/>
                    </w:rPr>
                    <w:t>4.</w:t>
                  </w:r>
                  <w:r>
                    <w:rPr>
                      <w:rFonts w:ascii="仿宋_GB2312" w:hAnsi="仿宋_GB2312" w:cs="仿宋_GB2312" w:eastAsia="仿宋_GB2312"/>
                      <w:sz w:val="24"/>
                    </w:rPr>
                    <w:t>空气温度测量范围：</w:t>
                  </w:r>
                  <w:r>
                    <w:rPr>
                      <w:rFonts w:ascii="仿宋_GB2312" w:hAnsi="仿宋_GB2312" w:cs="仿宋_GB2312" w:eastAsia="仿宋_GB2312"/>
                      <w:sz w:val="24"/>
                    </w:rPr>
                    <w:t>-40～</w:t>
                  </w:r>
                  <w:r>
                    <w:rPr>
                      <w:rFonts w:ascii="仿宋_GB2312" w:hAnsi="仿宋_GB2312" w:cs="仿宋_GB2312" w:eastAsia="仿宋_GB2312"/>
                      <w:sz w:val="24"/>
                    </w:rPr>
                    <w:t>7</w:t>
                  </w:r>
                  <w:r>
                    <w:rPr>
                      <w:rFonts w:ascii="仿宋_GB2312" w:hAnsi="仿宋_GB2312" w:cs="仿宋_GB2312" w:eastAsia="仿宋_GB2312"/>
                      <w:sz w:val="24"/>
                    </w:rPr>
                    <w:t>0℃，分辨率：</w:t>
                  </w:r>
                  <w:r>
                    <w:rPr>
                      <w:rFonts w:ascii="仿宋_GB2312" w:hAnsi="仿宋_GB2312" w:cs="仿宋_GB2312" w:eastAsia="仿宋_GB2312"/>
                      <w:sz w:val="24"/>
                    </w:rPr>
                    <w:t>≤</w:t>
                  </w:r>
                  <w:r>
                    <w:rPr>
                      <w:rFonts w:ascii="仿宋_GB2312" w:hAnsi="仿宋_GB2312" w:cs="仿宋_GB2312" w:eastAsia="仿宋_GB2312"/>
                      <w:sz w:val="24"/>
                    </w:rPr>
                    <w:t>0.1℃，准确度：±0.3℃。</w:t>
                  </w:r>
                </w:p>
                <w:p>
                  <w:pPr>
                    <w:pStyle w:val="null3"/>
                    <w:ind w:left="420"/>
                    <w:jc w:val="both"/>
                  </w:pPr>
                  <w:r>
                    <w:rPr>
                      <w:rFonts w:ascii="仿宋_GB2312" w:hAnsi="仿宋_GB2312" w:cs="仿宋_GB2312" w:eastAsia="仿宋_GB2312"/>
                      <w:sz w:val="24"/>
                    </w:rPr>
                    <w:t>5.</w:t>
                  </w:r>
                  <w:r>
                    <w:rPr>
                      <w:rFonts w:ascii="仿宋_GB2312" w:hAnsi="仿宋_GB2312" w:cs="仿宋_GB2312" w:eastAsia="仿宋_GB2312"/>
                      <w:sz w:val="24"/>
                    </w:rPr>
                    <w:t>空气相对湿度测量范围：</w:t>
                  </w:r>
                  <w:r>
                    <w:rPr>
                      <w:rFonts w:ascii="仿宋_GB2312" w:hAnsi="仿宋_GB2312" w:cs="仿宋_GB2312" w:eastAsia="仿宋_GB2312"/>
                      <w:sz w:val="24"/>
                    </w:rPr>
                    <w:t>0～100%，分辨率：</w:t>
                  </w:r>
                  <w:r>
                    <w:rPr>
                      <w:rFonts w:ascii="仿宋_GB2312" w:hAnsi="仿宋_GB2312" w:cs="仿宋_GB2312" w:eastAsia="仿宋_GB2312"/>
                      <w:sz w:val="24"/>
                    </w:rPr>
                    <w:t>≤</w:t>
                  </w:r>
                  <w:r>
                    <w:rPr>
                      <w:rFonts w:ascii="仿宋_GB2312" w:hAnsi="仿宋_GB2312" w:cs="仿宋_GB2312" w:eastAsia="仿宋_GB2312"/>
                      <w:sz w:val="24"/>
                    </w:rPr>
                    <w:t>0.1%，准确度：±2%；</w:t>
                  </w:r>
                </w:p>
                <w:p>
                  <w:pPr>
                    <w:pStyle w:val="null3"/>
                    <w:ind w:left="420"/>
                    <w:jc w:val="both"/>
                  </w:pPr>
                  <w:r>
                    <w:rPr>
                      <w:rFonts w:ascii="仿宋_GB2312" w:hAnsi="仿宋_GB2312" w:cs="仿宋_GB2312" w:eastAsia="仿宋_GB2312"/>
                      <w:sz w:val="24"/>
                    </w:rPr>
                    <w:t>6.</w:t>
                  </w:r>
                  <w:r>
                    <w:rPr>
                      <w:rFonts w:ascii="仿宋_GB2312" w:hAnsi="仿宋_GB2312" w:cs="仿宋_GB2312" w:eastAsia="仿宋_GB2312"/>
                      <w:sz w:val="24"/>
                    </w:rPr>
                    <w:t>光照强度：范围：</w:t>
                  </w:r>
                  <w:r>
                    <w:rPr>
                      <w:rFonts w:ascii="仿宋_GB2312" w:hAnsi="仿宋_GB2312" w:cs="仿宋_GB2312" w:eastAsia="仿宋_GB2312"/>
                      <w:sz w:val="24"/>
                    </w:rPr>
                    <w:t>0-200000Lux</w:t>
                  </w:r>
                  <w:r>
                    <w:rPr>
                      <w:rFonts w:ascii="仿宋_GB2312" w:hAnsi="仿宋_GB2312" w:cs="仿宋_GB2312" w:eastAsia="仿宋_GB2312"/>
                      <w:sz w:val="24"/>
                    </w:rPr>
                    <w:t xml:space="preserve"> </w:t>
                  </w:r>
                  <w:r>
                    <w:rPr>
                      <w:rFonts w:ascii="仿宋_GB2312" w:hAnsi="仿宋_GB2312" w:cs="仿宋_GB2312" w:eastAsia="仿宋_GB2312"/>
                      <w:sz w:val="24"/>
                    </w:rPr>
                    <w:t>精度：</w:t>
                  </w:r>
                  <w:r>
                    <w:rPr>
                      <w:rFonts w:ascii="仿宋_GB2312" w:hAnsi="仿宋_GB2312" w:cs="仿宋_GB2312" w:eastAsia="仿宋_GB2312"/>
                      <w:sz w:val="24"/>
                    </w:rPr>
                    <w:t>±20Lux ，分辨率：</w:t>
                  </w:r>
                  <w:r>
                    <w:rPr>
                      <w:rFonts w:ascii="仿宋_GB2312" w:hAnsi="仿宋_GB2312" w:cs="仿宋_GB2312" w:eastAsia="仿宋_GB2312"/>
                      <w:sz w:val="24"/>
                    </w:rPr>
                    <w:t>≤</w:t>
                  </w:r>
                  <w:r>
                    <w:rPr>
                      <w:rFonts w:ascii="仿宋_GB2312" w:hAnsi="仿宋_GB2312" w:cs="仿宋_GB2312" w:eastAsia="仿宋_GB2312"/>
                      <w:sz w:val="24"/>
                    </w:rPr>
                    <w:t>1Lux</w:t>
                  </w:r>
                </w:p>
                <w:p>
                  <w:pPr>
                    <w:pStyle w:val="null3"/>
                    <w:ind w:left="420"/>
                    <w:jc w:val="both"/>
                  </w:pPr>
                  <w:r>
                    <w:rPr>
                      <w:rFonts w:ascii="仿宋_GB2312" w:hAnsi="仿宋_GB2312" w:cs="仿宋_GB2312" w:eastAsia="仿宋_GB2312"/>
                      <w:sz w:val="24"/>
                    </w:rPr>
                    <w:t>7.</w:t>
                  </w:r>
                  <w:r>
                    <w:rPr>
                      <w:rFonts w:ascii="仿宋_GB2312" w:hAnsi="仿宋_GB2312" w:cs="仿宋_GB2312" w:eastAsia="仿宋_GB2312"/>
                      <w:sz w:val="24"/>
                    </w:rPr>
                    <w:t>风向：测量范围</w:t>
                  </w:r>
                  <w:r>
                    <w:rPr>
                      <w:rFonts w:ascii="仿宋_GB2312" w:hAnsi="仿宋_GB2312" w:cs="仿宋_GB2312" w:eastAsia="仿宋_GB2312"/>
                      <w:sz w:val="24"/>
                    </w:rPr>
                    <w:t>0～360°，分辨率：</w:t>
                  </w:r>
                  <w:r>
                    <w:rPr>
                      <w:rFonts w:ascii="仿宋_GB2312" w:hAnsi="仿宋_GB2312" w:cs="仿宋_GB2312" w:eastAsia="仿宋_GB2312"/>
                      <w:sz w:val="24"/>
                    </w:rPr>
                    <w:t>≤</w:t>
                  </w:r>
                  <w:r>
                    <w:rPr>
                      <w:rFonts w:ascii="仿宋_GB2312" w:hAnsi="仿宋_GB2312" w:cs="仿宋_GB2312" w:eastAsia="仿宋_GB2312"/>
                      <w:sz w:val="24"/>
                    </w:rPr>
                    <w:t>1°，准确度：±1°。</w:t>
                  </w:r>
                </w:p>
                <w:p>
                  <w:pPr>
                    <w:pStyle w:val="null3"/>
                    <w:ind w:left="420"/>
                    <w:jc w:val="both"/>
                  </w:pPr>
                  <w:r>
                    <w:rPr>
                      <w:rFonts w:ascii="仿宋_GB2312" w:hAnsi="仿宋_GB2312" w:cs="仿宋_GB2312" w:eastAsia="仿宋_GB2312"/>
                      <w:sz w:val="24"/>
                    </w:rPr>
                    <w:t>8.</w:t>
                  </w:r>
                  <w:r>
                    <w:rPr>
                      <w:rFonts w:ascii="仿宋_GB2312" w:hAnsi="仿宋_GB2312" w:cs="仿宋_GB2312" w:eastAsia="仿宋_GB2312"/>
                      <w:sz w:val="24"/>
                    </w:rPr>
                    <w:t>风速：测量范围</w:t>
                  </w:r>
                  <w:r>
                    <w:rPr>
                      <w:rFonts w:ascii="仿宋_GB2312" w:hAnsi="仿宋_GB2312" w:cs="仿宋_GB2312" w:eastAsia="仿宋_GB2312"/>
                      <w:sz w:val="24"/>
                    </w:rPr>
                    <w:t>0～65m/s，分辨率</w:t>
                  </w:r>
                  <w:r>
                    <w:rPr>
                      <w:rFonts w:ascii="仿宋_GB2312" w:hAnsi="仿宋_GB2312" w:cs="仿宋_GB2312" w:eastAsia="仿宋_GB2312"/>
                      <w:sz w:val="24"/>
                    </w:rPr>
                    <w:t>≤</w:t>
                  </w:r>
                  <w:r>
                    <w:rPr>
                      <w:rFonts w:ascii="仿宋_GB2312" w:hAnsi="仿宋_GB2312" w:cs="仿宋_GB2312" w:eastAsia="仿宋_GB2312"/>
                      <w:sz w:val="24"/>
                    </w:rPr>
                    <w:t>0.1m/s，准确度：±0.1m/s，</w:t>
                  </w:r>
                </w:p>
                <w:p>
                  <w:pPr>
                    <w:pStyle w:val="null3"/>
                    <w:ind w:left="420"/>
                    <w:jc w:val="both"/>
                  </w:pPr>
                  <w:r>
                    <w:rPr>
                      <w:rFonts w:ascii="仿宋_GB2312" w:hAnsi="仿宋_GB2312" w:cs="仿宋_GB2312" w:eastAsia="仿宋_GB2312"/>
                      <w:sz w:val="24"/>
                    </w:rPr>
                    <w:t>9.</w:t>
                  </w:r>
                  <w:r>
                    <w:rPr>
                      <w:rFonts w:ascii="仿宋_GB2312" w:hAnsi="仿宋_GB2312" w:cs="仿宋_GB2312" w:eastAsia="仿宋_GB2312"/>
                      <w:sz w:val="24"/>
                    </w:rPr>
                    <w:t>降水量测量范围</w:t>
                  </w:r>
                  <w:r>
                    <w:rPr>
                      <w:rFonts w:ascii="仿宋_GB2312" w:hAnsi="仿宋_GB2312" w:cs="仿宋_GB2312" w:eastAsia="仿宋_GB2312"/>
                      <w:sz w:val="24"/>
                    </w:rPr>
                    <w:t>：</w:t>
                  </w:r>
                  <w:r>
                    <w:rPr>
                      <w:rFonts w:ascii="仿宋_GB2312" w:hAnsi="仿宋_GB2312" w:cs="仿宋_GB2312" w:eastAsia="仿宋_GB2312"/>
                      <w:sz w:val="24"/>
                    </w:rPr>
                    <w:t>0～4mm/min；分辨率：</w:t>
                  </w:r>
                  <w:r>
                    <w:rPr>
                      <w:rFonts w:ascii="仿宋_GB2312" w:hAnsi="仿宋_GB2312" w:cs="仿宋_GB2312" w:eastAsia="仿宋_GB2312"/>
                      <w:sz w:val="24"/>
                    </w:rPr>
                    <w:t>≤</w:t>
                  </w:r>
                  <w:r>
                    <w:rPr>
                      <w:rFonts w:ascii="仿宋_GB2312" w:hAnsi="仿宋_GB2312" w:cs="仿宋_GB2312" w:eastAsia="仿宋_GB2312"/>
                      <w:sz w:val="24"/>
                    </w:rPr>
                    <w:t>0.1mm；误差：±0.4mm（≤10mm），±4%（&gt;10mm）；</w:t>
                  </w:r>
                </w:p>
                <w:p>
                  <w:pPr>
                    <w:pStyle w:val="null3"/>
                    <w:ind w:left="420"/>
                    <w:jc w:val="both"/>
                  </w:pPr>
                  <w:r>
                    <w:rPr>
                      <w:rFonts w:ascii="仿宋_GB2312" w:hAnsi="仿宋_GB2312" w:cs="仿宋_GB2312" w:eastAsia="仿宋_GB2312"/>
                      <w:sz w:val="24"/>
                    </w:rPr>
                    <w:t>10.</w:t>
                  </w:r>
                  <w:r>
                    <w:rPr>
                      <w:rFonts w:ascii="仿宋_GB2312" w:hAnsi="仿宋_GB2312" w:cs="仿宋_GB2312" w:eastAsia="仿宋_GB2312"/>
                      <w:sz w:val="24"/>
                    </w:rPr>
                    <w:t>大气压测量范围：</w:t>
                  </w:r>
                  <w:r>
                    <w:rPr>
                      <w:rFonts w:ascii="仿宋_GB2312" w:hAnsi="仿宋_GB2312" w:cs="仿宋_GB2312" w:eastAsia="仿宋_GB2312"/>
                      <w:sz w:val="24"/>
                    </w:rPr>
                    <w:t>300-1100hPa；分辨率：≤0.1hPa；误差：±0.3hPa；</w:t>
                  </w:r>
                </w:p>
                <w:p>
                  <w:pPr>
                    <w:pStyle w:val="null3"/>
                    <w:ind w:left="420"/>
                    <w:jc w:val="both"/>
                  </w:pPr>
                  <w:r>
                    <w:rPr>
                      <w:rFonts w:ascii="仿宋_GB2312" w:hAnsi="仿宋_GB2312" w:cs="仿宋_GB2312" w:eastAsia="仿宋_GB2312"/>
                      <w:sz w:val="24"/>
                    </w:rPr>
                    <w:t>11.</w:t>
                  </w:r>
                  <w:r>
                    <w:rPr>
                      <w:rFonts w:ascii="仿宋_GB2312" w:hAnsi="仿宋_GB2312" w:cs="仿宋_GB2312" w:eastAsia="仿宋_GB2312"/>
                      <w:sz w:val="24"/>
                    </w:rPr>
                    <w:t>摄像头测量范围：</w:t>
                  </w:r>
                  <w:r>
                    <w:rPr>
                      <w:rFonts w:ascii="仿宋_GB2312" w:hAnsi="仿宋_GB2312" w:cs="仿宋_GB2312" w:eastAsia="仿宋_GB2312"/>
                      <w:sz w:val="24"/>
                    </w:rPr>
                    <w:t>60</w:t>
                  </w:r>
                  <w:r>
                    <w:rPr>
                      <w:rFonts w:ascii="仿宋_GB2312" w:hAnsi="仿宋_GB2312" w:cs="仿宋_GB2312" w:eastAsia="仿宋_GB2312"/>
                      <w:sz w:val="24"/>
                    </w:rPr>
                    <w:t>°～360°，</w:t>
                  </w:r>
                  <w:r>
                    <w:rPr>
                      <w:rFonts w:ascii="仿宋_GB2312" w:hAnsi="仿宋_GB2312" w:cs="仿宋_GB2312" w:eastAsia="仿宋_GB2312"/>
                      <w:sz w:val="24"/>
                    </w:rPr>
                    <w:t>像素：</w:t>
                  </w:r>
                  <w:r>
                    <w:rPr>
                      <w:rFonts w:ascii="仿宋_GB2312" w:hAnsi="仿宋_GB2312" w:cs="仿宋_GB2312" w:eastAsia="仿宋_GB2312"/>
                      <w:sz w:val="24"/>
                    </w:rPr>
                    <w:t>200W</w:t>
                  </w:r>
                  <w:r>
                    <w:rPr>
                      <w:rFonts w:ascii="仿宋_GB2312" w:hAnsi="仿宋_GB2312" w:cs="仿宋_GB2312" w:eastAsia="仿宋_GB2312"/>
                      <w:sz w:val="24"/>
                    </w:rPr>
                    <w:t>-300W</w:t>
                  </w:r>
                  <w:r>
                    <w:rPr>
                      <w:rFonts w:ascii="仿宋_GB2312" w:hAnsi="仿宋_GB2312" w:cs="仿宋_GB2312" w:eastAsia="仿宋_GB2312"/>
                      <w:sz w:val="24"/>
                    </w:rPr>
                    <w:t>；</w:t>
                  </w:r>
                </w:p>
                <w:p>
                  <w:pPr>
                    <w:pStyle w:val="null3"/>
                    <w:ind w:left="420"/>
                    <w:jc w:val="left"/>
                  </w:pPr>
                  <w:r>
                    <w:rPr>
                      <w:rFonts w:ascii="仿宋_GB2312" w:hAnsi="仿宋_GB2312" w:cs="仿宋_GB2312" w:eastAsia="仿宋_GB2312"/>
                      <w:sz w:val="24"/>
                      <w:color w:val="000000"/>
                    </w:rPr>
                    <w:t>12.</w:t>
                  </w:r>
                  <w:r>
                    <w:rPr>
                      <w:rFonts w:ascii="仿宋_GB2312" w:hAnsi="仿宋_GB2312" w:cs="仿宋_GB2312" w:eastAsia="仿宋_GB2312"/>
                      <w:sz w:val="24"/>
                      <w:color w:val="000000"/>
                    </w:rPr>
                    <w:t>按灾情的严重程度分为红、黄、橙三种颜色，并将这三种颜色在监测区域图中以形式展示，从而反映各区域的灾情预警。</w:t>
                  </w:r>
                </w:p>
                <w:p>
                  <w:pPr>
                    <w:pStyle w:val="null3"/>
                    <w:ind w:left="420"/>
                    <w:jc w:val="left"/>
                  </w:pPr>
                  <w:r>
                    <w:rPr>
                      <w:rFonts w:ascii="仿宋_GB2312" w:hAnsi="仿宋_GB2312" w:cs="仿宋_GB2312" w:eastAsia="仿宋_GB2312"/>
                      <w:sz w:val="24"/>
                      <w:color w:val="000000"/>
                    </w:rPr>
                    <w:t>13.</w:t>
                  </w:r>
                  <w:r>
                    <w:rPr>
                      <w:rFonts w:ascii="仿宋_GB2312" w:hAnsi="仿宋_GB2312" w:cs="仿宋_GB2312" w:eastAsia="仿宋_GB2312"/>
                      <w:sz w:val="24"/>
                    </w:rPr>
                    <w:t>▲</w:t>
                  </w:r>
                  <w:r>
                    <w:rPr>
                      <w:rFonts w:ascii="仿宋_GB2312" w:hAnsi="仿宋_GB2312" w:cs="仿宋_GB2312" w:eastAsia="仿宋_GB2312"/>
                      <w:sz w:val="24"/>
                    </w:rPr>
                    <w:t>作物需水分析：根据每日气象数据（最高最低温度、最高最低湿度、风速、经纬度、海拔等）、作物信息（各生育周期及对应的基础</w:t>
                  </w:r>
                  <w:r>
                    <w:rPr>
                      <w:rFonts w:ascii="仿宋_GB2312" w:hAnsi="仿宋_GB2312" w:cs="仿宋_GB2312" w:eastAsia="仿宋_GB2312"/>
                      <w:sz w:val="24"/>
                    </w:rPr>
                    <w:t>KC系数）、土壤信息（田间持水量、土水含量）、降水和灌溉信息等，来预测每日的作物参考作物蒸腾量（ETO），每日的作物蒸腾量，未来土壤含水量的预测，缺水时的需灌水量。</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智能虫情测报灯</w:t>
                  </w:r>
                </w:p>
              </w:tc>
              <w:tc>
                <w:tcPr>
                  <w:tcW w:type="dxa" w:w="2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rFonts w:ascii="仿宋_GB2312" w:hAnsi="仿宋_GB2312" w:cs="仿宋_GB2312" w:eastAsia="仿宋_GB2312"/>
                      <w:sz w:val="24"/>
                    </w:rPr>
                    <w:t>14.</w:t>
                  </w:r>
                  <w:r>
                    <w:rPr>
                      <w:rFonts w:ascii="仿宋_GB2312" w:hAnsi="仿宋_GB2312" w:cs="仿宋_GB2312" w:eastAsia="仿宋_GB2312"/>
                      <w:sz w:val="24"/>
                      <w:color w:val="000000"/>
                    </w:rPr>
                    <w:t>诱集光源：</w:t>
                  </w:r>
                  <w:r>
                    <w:rPr>
                      <w:rFonts w:ascii="仿宋_GB2312" w:hAnsi="仿宋_GB2312" w:cs="仿宋_GB2312" w:eastAsia="仿宋_GB2312"/>
                      <w:sz w:val="24"/>
                      <w:color w:val="000000"/>
                    </w:rPr>
                    <w:t>20w</w:t>
                  </w:r>
                  <w:r>
                    <w:rPr>
                      <w:rFonts w:ascii="仿宋_GB2312" w:hAnsi="仿宋_GB2312" w:cs="仿宋_GB2312" w:eastAsia="仿宋_GB2312"/>
                      <w:sz w:val="24"/>
                      <w:color w:val="000000"/>
                    </w:rPr>
                    <w:t>荧光灯，主波长</w:t>
                  </w:r>
                  <w:r>
                    <w:rPr>
                      <w:rFonts w:ascii="仿宋_GB2312" w:hAnsi="仿宋_GB2312" w:cs="仿宋_GB2312" w:eastAsia="仿宋_GB2312"/>
                      <w:sz w:val="24"/>
                      <w:color w:val="000000"/>
                    </w:rPr>
                    <w:t>365nm±2nm</w:t>
                  </w:r>
                  <w:r>
                    <w:rPr>
                      <w:rFonts w:ascii="仿宋_GB2312" w:hAnsi="仿宋_GB2312" w:cs="仿宋_GB2312" w:eastAsia="仿宋_GB2312"/>
                      <w:sz w:val="24"/>
                      <w:color w:val="000000"/>
                    </w:rPr>
                    <w:t>；</w:t>
                  </w:r>
                </w:p>
                <w:p>
                  <w:pPr>
                    <w:pStyle w:val="null3"/>
                    <w:ind w:left="420"/>
                    <w:jc w:val="both"/>
                  </w:pPr>
                  <w:r>
                    <w:rPr>
                      <w:rFonts w:ascii="仿宋_GB2312" w:hAnsi="仿宋_GB2312" w:cs="仿宋_GB2312" w:eastAsia="仿宋_GB2312"/>
                      <w:sz w:val="24"/>
                    </w:rPr>
                    <w:t>15.</w:t>
                  </w:r>
                  <w:r>
                    <w:rPr>
                      <w:rFonts w:ascii="仿宋_GB2312" w:hAnsi="仿宋_GB2312" w:cs="仿宋_GB2312" w:eastAsia="仿宋_GB2312"/>
                      <w:sz w:val="24"/>
                      <w:color w:val="000000"/>
                    </w:rPr>
                    <w:t>摄像头：</w:t>
                  </w:r>
                  <w:r>
                    <w:rPr>
                      <w:rFonts w:ascii="仿宋_GB2312" w:hAnsi="仿宋_GB2312" w:cs="仿宋_GB2312" w:eastAsia="仿宋_GB2312"/>
                      <w:sz w:val="24"/>
                      <w:color w:val="000000"/>
                    </w:rPr>
                    <w:t>≥</w:t>
                  </w:r>
                  <w:r>
                    <w:rPr>
                      <w:rFonts w:ascii="仿宋_GB2312" w:hAnsi="仿宋_GB2312" w:cs="仿宋_GB2312" w:eastAsia="仿宋_GB2312"/>
                      <w:sz w:val="24"/>
                      <w:color w:val="000000"/>
                    </w:rPr>
                    <w:t>1200W</w:t>
                  </w:r>
                  <w:r>
                    <w:rPr>
                      <w:rFonts w:ascii="仿宋_GB2312" w:hAnsi="仿宋_GB2312" w:cs="仿宋_GB2312" w:eastAsia="仿宋_GB2312"/>
                      <w:sz w:val="24"/>
                      <w:color w:val="000000"/>
                    </w:rPr>
                    <w:t>高清工业摄像机；</w:t>
                  </w:r>
                </w:p>
                <w:p>
                  <w:pPr>
                    <w:pStyle w:val="null3"/>
                    <w:ind w:left="420"/>
                    <w:jc w:val="both"/>
                  </w:pPr>
                  <w:r>
                    <w:rPr>
                      <w:rFonts w:ascii="仿宋_GB2312" w:hAnsi="仿宋_GB2312" w:cs="仿宋_GB2312" w:eastAsia="仿宋_GB2312"/>
                      <w:sz w:val="24"/>
                    </w:rPr>
                    <w:t>16.</w:t>
                  </w:r>
                  <w:r>
                    <w:rPr>
                      <w:rFonts w:ascii="仿宋_GB2312" w:hAnsi="仿宋_GB2312" w:cs="仿宋_GB2312" w:eastAsia="仿宋_GB2312"/>
                      <w:sz w:val="24"/>
                      <w:color w:val="000000"/>
                    </w:rPr>
                    <w:t>光控控制：晚上自动开灯运行，白天自动关灯（待机），在夜间工作状态下，不受瞬间强光照射改变工作状态；</w:t>
                  </w:r>
                </w:p>
                <w:p>
                  <w:pPr>
                    <w:pStyle w:val="null3"/>
                    <w:ind w:left="420"/>
                    <w:jc w:val="both"/>
                  </w:pPr>
                  <w:r>
                    <w:rPr>
                      <w:rFonts w:ascii="仿宋_GB2312" w:hAnsi="仿宋_GB2312" w:cs="仿宋_GB2312" w:eastAsia="仿宋_GB2312"/>
                      <w:sz w:val="24"/>
                    </w:rPr>
                    <w:t>17.</w:t>
                  </w:r>
                  <w:r>
                    <w:rPr>
                      <w:rFonts w:ascii="仿宋_GB2312" w:hAnsi="仿宋_GB2312" w:cs="仿宋_GB2312" w:eastAsia="仿宋_GB2312"/>
                      <w:sz w:val="24"/>
                      <w:color w:val="000000"/>
                    </w:rPr>
                    <w:t>时段控制：根据靶标害虫生活习性规律，设定工作时间段；</w:t>
                  </w:r>
                </w:p>
                <w:p>
                  <w:pPr>
                    <w:pStyle w:val="null3"/>
                    <w:ind w:left="420"/>
                    <w:jc w:val="both"/>
                  </w:pPr>
                  <w:r>
                    <w:rPr>
                      <w:rFonts w:ascii="仿宋_GB2312" w:hAnsi="仿宋_GB2312" w:cs="仿宋_GB2312" w:eastAsia="仿宋_GB2312"/>
                      <w:sz w:val="24"/>
                    </w:rPr>
                    <w:t>18.</w:t>
                  </w:r>
                  <w:r>
                    <w:rPr>
                      <w:rFonts w:ascii="仿宋_GB2312" w:hAnsi="仿宋_GB2312" w:cs="仿宋_GB2312" w:eastAsia="仿宋_GB2312"/>
                      <w:sz w:val="24"/>
                      <w:color w:val="000000"/>
                    </w:rPr>
                    <w:t>雨控装置：雨天保护设备；</w:t>
                  </w:r>
                </w:p>
                <w:p>
                  <w:pPr>
                    <w:pStyle w:val="null3"/>
                    <w:ind w:left="420"/>
                    <w:jc w:val="both"/>
                  </w:pPr>
                  <w:r>
                    <w:rPr>
                      <w:rFonts w:ascii="仿宋_GB2312" w:hAnsi="仿宋_GB2312" w:cs="仿宋_GB2312" w:eastAsia="仿宋_GB2312"/>
                      <w:sz w:val="24"/>
                    </w:rPr>
                    <w:t>19.</w:t>
                  </w:r>
                  <w:r>
                    <w:rPr>
                      <w:rFonts w:ascii="仿宋_GB2312" w:hAnsi="仿宋_GB2312" w:cs="仿宋_GB2312" w:eastAsia="仿宋_GB2312"/>
                      <w:sz w:val="24"/>
                      <w:color w:val="000000"/>
                    </w:rPr>
                    <w:t>虫雨仓结构：将雨水自动排出；</w:t>
                  </w:r>
                </w:p>
                <w:p>
                  <w:pPr>
                    <w:pStyle w:val="null3"/>
                    <w:ind w:left="420"/>
                    <w:jc w:val="both"/>
                  </w:pPr>
                  <w:r>
                    <w:rPr>
                      <w:rFonts w:ascii="仿宋_GB2312" w:hAnsi="仿宋_GB2312" w:cs="仿宋_GB2312" w:eastAsia="仿宋_GB2312"/>
                      <w:sz w:val="24"/>
                    </w:rPr>
                    <w:t>20.</w:t>
                  </w:r>
                  <w:r>
                    <w:rPr>
                      <w:rFonts w:ascii="仿宋_GB2312" w:hAnsi="仿宋_GB2312" w:cs="仿宋_GB2312" w:eastAsia="仿宋_GB2312"/>
                      <w:sz w:val="24"/>
                      <w:color w:val="000000"/>
                    </w:rPr>
                    <w:t>具有</w:t>
                  </w:r>
                  <w:r>
                    <w:rPr>
                      <w:rFonts w:ascii="仿宋_GB2312" w:hAnsi="仿宋_GB2312" w:cs="仿宋_GB2312" w:eastAsia="仿宋_GB2312"/>
                      <w:sz w:val="24"/>
                      <w:color w:val="000000"/>
                    </w:rPr>
                    <w:t>防雷装置；</w:t>
                  </w:r>
                </w:p>
                <w:p>
                  <w:pPr>
                    <w:pStyle w:val="null3"/>
                    <w:ind w:left="420"/>
                    <w:jc w:val="both"/>
                  </w:pPr>
                  <w:r>
                    <w:rPr>
                      <w:rFonts w:ascii="仿宋_GB2312" w:hAnsi="仿宋_GB2312" w:cs="仿宋_GB2312" w:eastAsia="仿宋_GB2312"/>
                      <w:sz w:val="24"/>
                    </w:rPr>
                    <w:t>21.</w:t>
                  </w:r>
                  <w:r>
                    <w:rPr>
                      <w:rFonts w:ascii="仿宋_GB2312" w:hAnsi="仿宋_GB2312" w:cs="仿宋_GB2312" w:eastAsia="仿宋_GB2312"/>
                      <w:sz w:val="24"/>
                    </w:rPr>
                    <w:t>▲</w:t>
                  </w:r>
                  <w:r>
                    <w:rPr>
                      <w:rFonts w:ascii="仿宋_GB2312" w:hAnsi="仿宋_GB2312" w:cs="仿宋_GB2312" w:eastAsia="仿宋_GB2312"/>
                      <w:sz w:val="24"/>
                      <w:color w:val="000000"/>
                    </w:rPr>
                    <w:t>高温加热虫体处理致死率</w:t>
                  </w:r>
                  <w:r>
                    <w:rPr>
                      <w:rFonts w:ascii="仿宋_GB2312" w:hAnsi="仿宋_GB2312" w:cs="仿宋_GB2312" w:eastAsia="仿宋_GB2312"/>
                      <w:sz w:val="24"/>
                      <w:color w:val="000000"/>
                    </w:rPr>
                    <w:t>≥</w:t>
                  </w:r>
                  <w:r>
                    <w:rPr>
                      <w:rFonts w:ascii="仿宋_GB2312" w:hAnsi="仿宋_GB2312" w:cs="仿宋_GB2312" w:eastAsia="仿宋_GB2312"/>
                      <w:sz w:val="24"/>
                      <w:color w:val="000000"/>
                    </w:rPr>
                    <w:t>98%</w:t>
                  </w:r>
                  <w:r>
                    <w:rPr>
                      <w:rFonts w:ascii="仿宋_GB2312" w:hAnsi="仿宋_GB2312" w:cs="仿宋_GB2312" w:eastAsia="仿宋_GB2312"/>
                      <w:sz w:val="24"/>
                      <w:color w:val="000000"/>
                    </w:rPr>
                    <w:t>，虫体完整率</w:t>
                  </w:r>
                  <w:r>
                    <w:rPr>
                      <w:rFonts w:ascii="仿宋_GB2312" w:hAnsi="仿宋_GB2312" w:cs="仿宋_GB2312" w:eastAsia="仿宋_GB2312"/>
                      <w:sz w:val="24"/>
                      <w:color w:val="000000"/>
                    </w:rPr>
                    <w:t>≥</w:t>
                  </w:r>
                  <w:r>
                    <w:rPr>
                      <w:rFonts w:ascii="仿宋_GB2312" w:hAnsi="仿宋_GB2312" w:cs="仿宋_GB2312" w:eastAsia="仿宋_GB2312"/>
                      <w:sz w:val="24"/>
                      <w:color w:val="000000"/>
                    </w:rPr>
                    <w:t>95%；</w:t>
                  </w:r>
                </w:p>
                <w:p>
                  <w:pPr>
                    <w:pStyle w:val="null3"/>
                    <w:ind w:left="420"/>
                    <w:jc w:val="both"/>
                  </w:pPr>
                  <w:r>
                    <w:rPr>
                      <w:rFonts w:ascii="仿宋_GB2312" w:hAnsi="仿宋_GB2312" w:cs="仿宋_GB2312" w:eastAsia="仿宋_GB2312"/>
                      <w:sz w:val="24"/>
                    </w:rPr>
                    <w:t>22.</w:t>
                  </w:r>
                  <w:r>
                    <w:rPr>
                      <w:rFonts w:ascii="仿宋_GB2312" w:hAnsi="仿宋_GB2312" w:cs="仿宋_GB2312" w:eastAsia="仿宋_GB2312"/>
                      <w:sz w:val="24"/>
                      <w:color w:val="000000"/>
                    </w:rPr>
                    <w:t>高温加热虫体处理仓温度控制：设备工作</w:t>
                  </w:r>
                  <w:r>
                    <w:rPr>
                      <w:rFonts w:ascii="仿宋_GB2312" w:hAnsi="仿宋_GB2312" w:cs="仿宋_GB2312" w:eastAsia="仿宋_GB2312"/>
                      <w:sz w:val="24"/>
                      <w:color w:val="000000"/>
                    </w:rPr>
                    <w:t>15</w:t>
                  </w:r>
                  <w:r>
                    <w:rPr>
                      <w:rFonts w:ascii="仿宋_GB2312" w:hAnsi="仿宋_GB2312" w:cs="仿宋_GB2312" w:eastAsia="仿宋_GB2312"/>
                      <w:sz w:val="24"/>
                      <w:color w:val="000000"/>
                    </w:rPr>
                    <w:t>分钟后加热温度达</w:t>
                  </w:r>
                  <w:r>
                    <w:rPr>
                      <w:rFonts w:ascii="仿宋_GB2312" w:hAnsi="仿宋_GB2312" w:cs="仿宋_GB2312" w:eastAsia="仿宋_GB2312"/>
                      <w:sz w:val="24"/>
                      <w:color w:val="000000"/>
                    </w:rPr>
                    <w:t>85±5℃</w:t>
                  </w:r>
                  <w:r>
                    <w:rPr>
                      <w:rFonts w:ascii="仿宋_GB2312" w:hAnsi="仿宋_GB2312" w:cs="仿宋_GB2312" w:eastAsia="仿宋_GB2312"/>
                      <w:sz w:val="24"/>
                      <w:color w:val="000000"/>
                    </w:rPr>
                    <w:t>，上下两层虫体处理仓；</w:t>
                  </w:r>
                </w:p>
                <w:p>
                  <w:pPr>
                    <w:pStyle w:val="null3"/>
                    <w:ind w:left="420"/>
                    <w:jc w:val="both"/>
                  </w:pPr>
                  <w:r>
                    <w:rPr>
                      <w:rFonts w:ascii="仿宋_GB2312" w:hAnsi="仿宋_GB2312" w:cs="仿宋_GB2312" w:eastAsia="仿宋_GB2312"/>
                      <w:sz w:val="24"/>
                    </w:rPr>
                    <w:t>23.</w:t>
                  </w:r>
                  <w:r>
                    <w:rPr>
                      <w:rFonts w:ascii="仿宋_GB2312" w:hAnsi="仿宋_GB2312" w:cs="仿宋_GB2312" w:eastAsia="仿宋_GB2312"/>
                      <w:sz w:val="24"/>
                      <w:color w:val="000000"/>
                    </w:rPr>
                    <w:t>联网方式：多种联网方式</w:t>
                  </w:r>
                  <w:r>
                    <w:rPr>
                      <w:rFonts w:ascii="仿宋_GB2312" w:hAnsi="仿宋_GB2312" w:cs="仿宋_GB2312" w:eastAsia="仿宋_GB2312"/>
                      <w:sz w:val="24"/>
                      <w:color w:val="000000"/>
                    </w:rPr>
                    <w:t>/4G//5G/RJ45/WIFI</w:t>
                  </w:r>
                  <w:r>
                    <w:rPr>
                      <w:rFonts w:ascii="仿宋_GB2312" w:hAnsi="仿宋_GB2312" w:cs="仿宋_GB2312" w:eastAsia="仿宋_GB2312"/>
                      <w:sz w:val="24"/>
                      <w:color w:val="000000"/>
                    </w:rPr>
                    <w:t>）可选择；</w:t>
                  </w:r>
                </w:p>
                <w:p>
                  <w:pPr>
                    <w:pStyle w:val="null3"/>
                    <w:ind w:left="420"/>
                    <w:jc w:val="both"/>
                  </w:pPr>
                  <w:r>
                    <w:rPr>
                      <w:rFonts w:ascii="仿宋_GB2312" w:hAnsi="仿宋_GB2312" w:cs="仿宋_GB2312" w:eastAsia="仿宋_GB2312"/>
                      <w:sz w:val="24"/>
                    </w:rPr>
                    <w:t>24.</w:t>
                  </w:r>
                  <w:r>
                    <w:rPr>
                      <w:rFonts w:ascii="仿宋_GB2312" w:hAnsi="仿宋_GB2312" w:cs="仿宋_GB2312" w:eastAsia="仿宋_GB2312"/>
                      <w:sz w:val="24"/>
                      <w:color w:val="000000"/>
                    </w:rPr>
                    <w:t>自动拍照：可调时段拍照，拍照可调频率区间</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10min,3h</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张</w:t>
                  </w:r>
                </w:p>
                <w:p>
                  <w:pPr>
                    <w:pStyle w:val="null3"/>
                    <w:ind w:left="420"/>
                    <w:jc w:val="both"/>
                  </w:pPr>
                  <w:r>
                    <w:rPr>
                      <w:rFonts w:ascii="仿宋_GB2312" w:hAnsi="仿宋_GB2312" w:cs="仿宋_GB2312" w:eastAsia="仿宋_GB2312"/>
                      <w:sz w:val="24"/>
                    </w:rPr>
                    <w:t>25.</w:t>
                  </w:r>
                  <w:r>
                    <w:rPr>
                      <w:rFonts w:ascii="仿宋_GB2312" w:hAnsi="仿宋_GB2312" w:cs="仿宋_GB2312" w:eastAsia="仿宋_GB2312"/>
                      <w:sz w:val="24"/>
                      <w:color w:val="000000"/>
                    </w:rPr>
                    <w:t>自动传输：自动上传监测图片数据。数据实时传输，上传速度应</w:t>
                  </w:r>
                  <w:r>
                    <w:rPr>
                      <w:rFonts w:ascii="仿宋_GB2312" w:hAnsi="仿宋_GB2312" w:cs="仿宋_GB2312" w:eastAsia="仿宋_GB2312"/>
                      <w:sz w:val="24"/>
                      <w:color w:val="000000"/>
                    </w:rPr>
                    <w:t>≥1M/s；</w:t>
                  </w:r>
                </w:p>
                <w:p>
                  <w:pPr>
                    <w:pStyle w:val="null3"/>
                    <w:ind w:left="420"/>
                    <w:jc w:val="both"/>
                  </w:pPr>
                  <w:r>
                    <w:rPr>
                      <w:rFonts w:ascii="仿宋_GB2312" w:hAnsi="仿宋_GB2312" w:cs="仿宋_GB2312" w:eastAsia="仿宋_GB2312"/>
                      <w:sz w:val="24"/>
                    </w:rPr>
                    <w:t>26.</w:t>
                  </w:r>
                  <w:r>
                    <w:rPr>
                      <w:rFonts w:ascii="仿宋_GB2312" w:hAnsi="仿宋_GB2312" w:cs="仿宋_GB2312" w:eastAsia="仿宋_GB2312"/>
                      <w:sz w:val="24"/>
                    </w:rPr>
                    <w:t>▲</w:t>
                  </w:r>
                  <w:r>
                    <w:rPr>
                      <w:rFonts w:ascii="仿宋_GB2312" w:hAnsi="仿宋_GB2312" w:cs="仿宋_GB2312" w:eastAsia="仿宋_GB2312"/>
                      <w:sz w:val="24"/>
                      <w:color w:val="000000"/>
                    </w:rPr>
                    <w:t>自动识别计数</w:t>
                  </w:r>
                  <w:r>
                    <w:rPr>
                      <w:rFonts w:ascii="仿宋_GB2312" w:hAnsi="仿宋_GB2312" w:cs="仿宋_GB2312" w:eastAsia="仿宋_GB2312"/>
                      <w:sz w:val="24"/>
                      <w:color w:val="000000"/>
                    </w:rPr>
                    <w:t>;</w:t>
                  </w:r>
                  <w:r>
                    <w:rPr>
                      <w:rFonts w:ascii="仿宋_GB2312" w:hAnsi="仿宋_GB2312" w:cs="仿宋_GB2312" w:eastAsia="仿宋_GB2312"/>
                      <w:sz w:val="24"/>
                      <w:color w:val="000000"/>
                    </w:rPr>
                    <w:t>能对农林</w:t>
                  </w:r>
                  <w:r>
                    <w:rPr>
                      <w:rFonts w:ascii="仿宋_GB2312" w:hAnsi="仿宋_GB2312" w:cs="仿宋_GB2312" w:eastAsia="仿宋_GB2312"/>
                      <w:sz w:val="24"/>
                      <w:color w:val="000000"/>
                    </w:rPr>
                    <w:t>≥</w:t>
                  </w:r>
                  <w:r>
                    <w:rPr>
                      <w:rFonts w:ascii="仿宋_GB2312" w:hAnsi="仿宋_GB2312" w:cs="仿宋_GB2312" w:eastAsia="仿宋_GB2312"/>
                      <w:sz w:val="24"/>
                      <w:color w:val="000000"/>
                    </w:rPr>
                    <w:t>45</w:t>
                  </w:r>
                  <w:r>
                    <w:rPr>
                      <w:rFonts w:ascii="仿宋_GB2312" w:hAnsi="仿宋_GB2312" w:cs="仿宋_GB2312" w:eastAsia="仿宋_GB2312"/>
                      <w:sz w:val="24"/>
                      <w:color w:val="000000"/>
                    </w:rPr>
                    <w:t>种常见害虫进行识别、计数、分析爆发趋势等。</w:t>
                  </w:r>
                </w:p>
                <w:p>
                  <w:pPr>
                    <w:pStyle w:val="null3"/>
                    <w:ind w:left="420"/>
                    <w:jc w:val="both"/>
                  </w:pPr>
                  <w:r>
                    <w:rPr>
                      <w:rFonts w:ascii="仿宋_GB2312" w:hAnsi="仿宋_GB2312" w:cs="仿宋_GB2312" w:eastAsia="仿宋_GB2312"/>
                      <w:sz w:val="24"/>
                    </w:rPr>
                    <w:t>27.</w:t>
                  </w:r>
                  <w:r>
                    <w:rPr>
                      <w:rFonts w:ascii="仿宋_GB2312" w:hAnsi="仿宋_GB2312" w:cs="仿宋_GB2312" w:eastAsia="仿宋_GB2312"/>
                      <w:sz w:val="24"/>
                      <w:color w:val="000000"/>
                    </w:rPr>
                    <w:t>支持在电脑端和手机端（安卓系统）远程监控平台对虫情自动采集系统的控制，包括但不限于指令发布执行、系统参数设置和采集信息的查询分析等。</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固定式孢子捕捉仪</w:t>
                  </w:r>
                </w:p>
              </w:tc>
              <w:tc>
                <w:tcPr>
                  <w:tcW w:type="dxa" w:w="2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4"/>
                    </w:rPr>
                    <w:t>28.</w:t>
                  </w:r>
                  <w:r>
                    <w:rPr>
                      <w:rFonts w:ascii="仿宋_GB2312" w:hAnsi="仿宋_GB2312" w:cs="仿宋_GB2312" w:eastAsia="仿宋_GB2312"/>
                      <w:sz w:val="24"/>
                      <w:color w:val="000000"/>
                    </w:rPr>
                    <w:t>电源：交流；</w:t>
                  </w:r>
                </w:p>
                <w:p>
                  <w:pPr>
                    <w:pStyle w:val="null3"/>
                    <w:ind w:left="420"/>
                    <w:jc w:val="left"/>
                  </w:pPr>
                  <w:r>
                    <w:rPr>
                      <w:rFonts w:ascii="仿宋_GB2312" w:hAnsi="仿宋_GB2312" w:cs="仿宋_GB2312" w:eastAsia="仿宋_GB2312"/>
                      <w:sz w:val="24"/>
                    </w:rPr>
                    <w:t>29.</w:t>
                  </w:r>
                  <w:r>
                    <w:rPr>
                      <w:rFonts w:ascii="仿宋_GB2312" w:hAnsi="仿宋_GB2312" w:cs="仿宋_GB2312" w:eastAsia="仿宋_GB2312"/>
                      <w:sz w:val="24"/>
                      <w:color w:val="000000"/>
                    </w:rPr>
                    <w:t>功率：</w:t>
                  </w:r>
                  <w:r>
                    <w:rPr>
                      <w:rFonts w:ascii="仿宋_GB2312" w:hAnsi="仿宋_GB2312" w:cs="仿宋_GB2312" w:eastAsia="仿宋_GB2312"/>
                      <w:sz w:val="24"/>
                      <w:color w:val="000000"/>
                    </w:rPr>
                    <w:t>≤180W；</w:t>
                  </w:r>
                </w:p>
                <w:p>
                  <w:pPr>
                    <w:pStyle w:val="null3"/>
                    <w:ind w:left="420"/>
                    <w:jc w:val="left"/>
                  </w:pPr>
                  <w:r>
                    <w:rPr>
                      <w:rFonts w:ascii="仿宋_GB2312" w:hAnsi="仿宋_GB2312" w:cs="仿宋_GB2312" w:eastAsia="仿宋_GB2312"/>
                      <w:sz w:val="24"/>
                    </w:rPr>
                    <w:t>30.</w:t>
                  </w:r>
                  <w:r>
                    <w:rPr>
                      <w:rFonts w:ascii="仿宋_GB2312" w:hAnsi="仿宋_GB2312" w:cs="仿宋_GB2312" w:eastAsia="仿宋_GB2312"/>
                      <w:sz w:val="24"/>
                      <w:color w:val="000000"/>
                    </w:rPr>
                    <w:t>材料：不锈钢；</w:t>
                  </w:r>
                </w:p>
                <w:p>
                  <w:pPr>
                    <w:pStyle w:val="null3"/>
                    <w:ind w:left="420"/>
                    <w:jc w:val="left"/>
                  </w:pPr>
                  <w:r>
                    <w:rPr>
                      <w:rFonts w:ascii="仿宋_GB2312" w:hAnsi="仿宋_GB2312" w:cs="仿宋_GB2312" w:eastAsia="仿宋_GB2312"/>
                      <w:sz w:val="24"/>
                    </w:rPr>
                    <w:t>31.</w:t>
                  </w:r>
                  <w:r>
                    <w:rPr>
                      <w:rFonts w:ascii="仿宋_GB2312" w:hAnsi="仿宋_GB2312" w:cs="仿宋_GB2312" w:eastAsia="仿宋_GB2312"/>
                      <w:sz w:val="24"/>
                      <w:color w:val="000000"/>
                    </w:rPr>
                    <w:t>可设定</w:t>
                  </w:r>
                  <w:r>
                    <w:rPr>
                      <w:rFonts w:ascii="仿宋_GB2312" w:hAnsi="仿宋_GB2312" w:cs="仿宋_GB2312" w:eastAsia="仿宋_GB2312"/>
                      <w:sz w:val="24"/>
                      <w:color w:val="000000"/>
                    </w:rPr>
                    <w:t>≥</w:t>
                  </w:r>
                  <w:r>
                    <w:rPr>
                      <w:rFonts w:ascii="仿宋_GB2312" w:hAnsi="仿宋_GB2312" w:cs="仿宋_GB2312" w:eastAsia="仿宋_GB2312"/>
                      <w:sz w:val="24"/>
                      <w:color w:val="000000"/>
                    </w:rPr>
                    <w:t>10</w:t>
                  </w:r>
                  <w:r>
                    <w:rPr>
                      <w:rFonts w:ascii="仿宋_GB2312" w:hAnsi="仿宋_GB2312" w:cs="仿宋_GB2312" w:eastAsia="仿宋_GB2312"/>
                      <w:sz w:val="24"/>
                      <w:color w:val="000000"/>
                    </w:rPr>
                    <w:t>个工作时段；</w:t>
                  </w:r>
                </w:p>
                <w:p>
                  <w:pPr>
                    <w:pStyle w:val="null3"/>
                    <w:ind w:left="420"/>
                    <w:jc w:val="left"/>
                  </w:pPr>
                  <w:r>
                    <w:rPr>
                      <w:rFonts w:ascii="仿宋_GB2312" w:hAnsi="仿宋_GB2312" w:cs="仿宋_GB2312" w:eastAsia="仿宋_GB2312"/>
                      <w:sz w:val="24"/>
                    </w:rPr>
                    <w:t>32.</w:t>
                  </w:r>
                  <w:r>
                    <w:rPr>
                      <w:rFonts w:ascii="仿宋_GB2312" w:hAnsi="仿宋_GB2312" w:cs="仿宋_GB2312" w:eastAsia="仿宋_GB2312"/>
                      <w:sz w:val="24"/>
                      <w:color w:val="000000"/>
                    </w:rPr>
                    <w:t>集气口风速</w:t>
                  </w:r>
                  <w:r>
                    <w:rPr>
                      <w:rFonts w:ascii="仿宋_GB2312" w:hAnsi="仿宋_GB2312" w:cs="仿宋_GB2312" w:eastAsia="仿宋_GB2312"/>
                      <w:sz w:val="24"/>
                      <w:color w:val="000000"/>
                    </w:rPr>
                    <w:t>0.3</w:t>
                  </w:r>
                  <w:r>
                    <w:rPr>
                      <w:rFonts w:ascii="仿宋_GB2312" w:hAnsi="仿宋_GB2312" w:cs="仿宋_GB2312" w:eastAsia="仿宋_GB2312"/>
                      <w:sz w:val="24"/>
                      <w:color w:val="000000"/>
                    </w:rPr>
                    <w:t>～</w:t>
                  </w:r>
                  <w:r>
                    <w:rPr>
                      <w:rFonts w:ascii="仿宋_GB2312" w:hAnsi="仿宋_GB2312" w:cs="仿宋_GB2312" w:eastAsia="仿宋_GB2312"/>
                      <w:sz w:val="24"/>
                      <w:color w:val="000000"/>
                    </w:rPr>
                    <w:t>5 m/s</w:t>
                  </w:r>
                  <w:r>
                    <w:rPr>
                      <w:rFonts w:ascii="仿宋_GB2312" w:hAnsi="仿宋_GB2312" w:cs="仿宋_GB2312" w:eastAsia="仿宋_GB2312"/>
                      <w:sz w:val="24"/>
                      <w:color w:val="000000"/>
                    </w:rPr>
                    <w:t>连续可调；</w:t>
                  </w:r>
                </w:p>
                <w:p>
                  <w:pPr>
                    <w:pStyle w:val="null3"/>
                    <w:ind w:left="420"/>
                    <w:jc w:val="left"/>
                  </w:pPr>
                  <w:r>
                    <w:rPr>
                      <w:rFonts w:ascii="仿宋_GB2312" w:hAnsi="仿宋_GB2312" w:cs="仿宋_GB2312" w:eastAsia="仿宋_GB2312"/>
                      <w:sz w:val="24"/>
                    </w:rPr>
                    <w:t>33.</w:t>
                  </w:r>
                  <w:r>
                    <w:rPr>
                      <w:rFonts w:ascii="仿宋_GB2312" w:hAnsi="仿宋_GB2312" w:cs="仿宋_GB2312" w:eastAsia="仿宋_GB2312"/>
                      <w:sz w:val="24"/>
                      <w:color w:val="000000"/>
                    </w:rPr>
                    <w:t>载玻片规格：</w:t>
                  </w:r>
                  <w:r>
                    <w:rPr>
                      <w:rFonts w:ascii="仿宋_GB2312" w:hAnsi="仿宋_GB2312" w:cs="仿宋_GB2312" w:eastAsia="仿宋_GB2312"/>
                      <w:sz w:val="24"/>
                      <w:color w:val="000000"/>
                    </w:rPr>
                    <w:t>≥长75*宽25*高1mm；</w:t>
                  </w:r>
                </w:p>
                <w:p>
                  <w:pPr>
                    <w:pStyle w:val="null3"/>
                    <w:ind w:left="420"/>
                    <w:jc w:val="left"/>
                  </w:pPr>
                  <w:r>
                    <w:rPr>
                      <w:rFonts w:ascii="仿宋_GB2312" w:hAnsi="仿宋_GB2312" w:cs="仿宋_GB2312" w:eastAsia="仿宋_GB2312"/>
                      <w:sz w:val="24"/>
                    </w:rPr>
                    <w:t>34.</w:t>
                  </w:r>
                  <w:r>
                    <w:rPr>
                      <w:rFonts w:ascii="仿宋_GB2312" w:hAnsi="仿宋_GB2312" w:cs="仿宋_GB2312" w:eastAsia="仿宋_GB2312"/>
                      <w:sz w:val="24"/>
                      <w:color w:val="000000"/>
                    </w:rPr>
                    <w:t>绝缘电阻：</w:t>
                  </w:r>
                  <w:r>
                    <w:rPr>
                      <w:rFonts w:ascii="仿宋_GB2312" w:hAnsi="仿宋_GB2312" w:cs="仿宋_GB2312" w:eastAsia="仿宋_GB2312"/>
                      <w:sz w:val="24"/>
                      <w:color w:val="000000"/>
                    </w:rPr>
                    <w:t>≥2.5MΩ；</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生长环境监测系统</w:t>
                  </w:r>
                </w:p>
              </w:tc>
              <w:tc>
                <w:tcPr>
                  <w:tcW w:type="dxa" w:w="2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rFonts w:ascii="仿宋_GB2312" w:hAnsi="仿宋_GB2312" w:cs="仿宋_GB2312" w:eastAsia="仿宋_GB2312"/>
                      <w:sz w:val="24"/>
                      <w:color w:val="000000"/>
                    </w:rPr>
                    <w:t>35.</w:t>
                  </w:r>
                  <w:r>
                    <w:rPr>
                      <w:rFonts w:ascii="仿宋_GB2312" w:hAnsi="仿宋_GB2312" w:cs="仿宋_GB2312" w:eastAsia="仿宋_GB2312"/>
                      <w:sz w:val="24"/>
                      <w:color w:val="000000"/>
                    </w:rPr>
                    <w:t>视频控制：支持对指定浏览画面提供实时播放、抽帧播放、全屏显示、图像抓拍、轮巡监控、图像缩放、中心定位、多预设位设置。</w:t>
                  </w:r>
                </w:p>
                <w:p>
                  <w:pPr>
                    <w:pStyle w:val="null3"/>
                    <w:ind w:left="420"/>
                    <w:jc w:val="both"/>
                  </w:pPr>
                  <w:r>
                    <w:rPr>
                      <w:rFonts w:ascii="仿宋_GB2312" w:hAnsi="仿宋_GB2312" w:cs="仿宋_GB2312" w:eastAsia="仿宋_GB2312"/>
                      <w:sz w:val="24"/>
                      <w:color w:val="000000"/>
                    </w:rPr>
                    <w:t>36.</w:t>
                  </w:r>
                  <w:r>
                    <w:rPr>
                      <w:rFonts w:ascii="仿宋_GB2312" w:hAnsi="仿宋_GB2312" w:cs="仿宋_GB2312" w:eastAsia="仿宋_GB2312"/>
                      <w:sz w:val="24"/>
                      <w:color w:val="000000"/>
                    </w:rPr>
                    <w:t>云台控制：支持对监控点摄像机的远程云台控制实现镜头的左右、上下转动，视野的拉近远等；支持鼠标在图像画面上对云台进行控制，可设置多个不同的用户权限级别进行控制，高优先级别用户可优先控制摄像头云台。</w:t>
                  </w:r>
                </w:p>
                <w:p>
                  <w:pPr>
                    <w:pStyle w:val="null3"/>
                    <w:ind w:left="420"/>
                    <w:jc w:val="both"/>
                  </w:pPr>
                  <w:r>
                    <w:rPr>
                      <w:rFonts w:ascii="仿宋_GB2312" w:hAnsi="仿宋_GB2312" w:cs="仿宋_GB2312" w:eastAsia="仿宋_GB2312"/>
                      <w:sz w:val="24"/>
                      <w:color w:val="000000"/>
                    </w:rPr>
                    <w:t>37.</w:t>
                  </w:r>
                  <w:r>
                    <w:rPr>
                      <w:rFonts w:ascii="仿宋_GB2312" w:hAnsi="仿宋_GB2312" w:cs="仿宋_GB2312" w:eastAsia="仿宋_GB2312"/>
                      <w:sz w:val="24"/>
                      <w:color w:val="000000"/>
                    </w:rPr>
                    <w:t>多画面轮巡：可将一组图像设置在一个播放控件窗口上，浏览窗口会根据指定的轮巡间隔依次监控一组前端设备的图像，用户可对浏览的前端设备列表及轮巡时间间隔进行设置。</w:t>
                  </w:r>
                </w:p>
                <w:p>
                  <w:pPr>
                    <w:pStyle w:val="null3"/>
                    <w:ind w:left="420"/>
                    <w:jc w:val="both"/>
                  </w:pPr>
                  <w:r>
                    <w:rPr>
                      <w:rFonts w:ascii="仿宋_GB2312" w:hAnsi="仿宋_GB2312" w:cs="仿宋_GB2312" w:eastAsia="仿宋_GB2312"/>
                      <w:sz w:val="24"/>
                      <w:color w:val="000000"/>
                    </w:rPr>
                    <w:t>38.</w:t>
                  </w:r>
                  <w:r>
                    <w:rPr>
                      <w:rFonts w:ascii="仿宋_GB2312" w:hAnsi="仿宋_GB2312" w:cs="仿宋_GB2312" w:eastAsia="仿宋_GB2312"/>
                      <w:sz w:val="24"/>
                      <w:color w:val="000000"/>
                    </w:rPr>
                    <w:t>视频输出支持</w:t>
                  </w:r>
                  <w:r>
                    <w:rPr>
                      <w:rFonts w:ascii="仿宋_GB2312" w:hAnsi="仿宋_GB2312" w:cs="仿宋_GB2312" w:eastAsia="仿宋_GB2312"/>
                      <w:sz w:val="24"/>
                      <w:color w:val="000000"/>
                    </w:rPr>
                    <w:t>≥</w:t>
                  </w:r>
                  <w:r>
                    <w:rPr>
                      <w:rFonts w:ascii="仿宋_GB2312" w:hAnsi="仿宋_GB2312" w:cs="仿宋_GB2312" w:eastAsia="仿宋_GB2312"/>
                      <w:sz w:val="24"/>
                      <w:color w:val="000000"/>
                    </w:rPr>
                    <w:t>1920×1080@60fps</w:t>
                  </w:r>
                </w:p>
                <w:p>
                  <w:pPr>
                    <w:pStyle w:val="null3"/>
                    <w:ind w:left="420"/>
                    <w:jc w:val="both"/>
                  </w:pPr>
                  <w:r>
                    <w:rPr>
                      <w:rFonts w:ascii="仿宋_GB2312" w:hAnsi="仿宋_GB2312" w:cs="仿宋_GB2312" w:eastAsia="仿宋_GB2312"/>
                      <w:sz w:val="24"/>
                      <w:color w:val="000000"/>
                    </w:rPr>
                    <w:t>39.</w:t>
                  </w:r>
                  <w:r>
                    <w:rPr>
                      <w:rFonts w:ascii="仿宋_GB2312" w:hAnsi="仿宋_GB2312" w:cs="仿宋_GB2312" w:eastAsia="仿宋_GB2312"/>
                      <w:sz w:val="24"/>
                    </w:rPr>
                    <w:t>▲</w:t>
                  </w:r>
                  <w:r>
                    <w:rPr>
                      <w:rFonts w:ascii="仿宋_GB2312" w:hAnsi="仿宋_GB2312" w:cs="仿宋_GB2312" w:eastAsia="仿宋_GB2312"/>
                      <w:sz w:val="24"/>
                      <w:color w:val="000000"/>
                    </w:rPr>
                    <w:t>支持</w:t>
                  </w:r>
                  <w:r>
                    <w:rPr>
                      <w:rFonts w:ascii="仿宋_GB2312" w:hAnsi="仿宋_GB2312" w:cs="仿宋_GB2312" w:eastAsia="仿宋_GB2312"/>
                      <w:sz w:val="24"/>
                      <w:color w:val="000000"/>
                    </w:rPr>
                    <w:t>20</w:t>
                  </w:r>
                  <w:r>
                    <w:rPr>
                      <w:rFonts w:ascii="仿宋_GB2312" w:hAnsi="仿宋_GB2312" w:cs="仿宋_GB2312" w:eastAsia="仿宋_GB2312"/>
                      <w:sz w:val="24"/>
                      <w:color w:val="000000"/>
                    </w:rPr>
                    <w:t>倍光学变焦，像素：</w:t>
                  </w:r>
                  <w:r>
                    <w:rPr>
                      <w:rFonts w:ascii="仿宋_GB2312" w:hAnsi="仿宋_GB2312" w:cs="仿宋_GB2312" w:eastAsia="仿宋_GB2312"/>
                      <w:sz w:val="24"/>
                    </w:rPr>
                    <w:t>≥</w:t>
                  </w:r>
                  <w:r>
                    <w:rPr>
                      <w:rFonts w:ascii="仿宋_GB2312" w:hAnsi="仿宋_GB2312" w:cs="仿宋_GB2312" w:eastAsia="仿宋_GB2312"/>
                      <w:sz w:val="24"/>
                      <w:color w:val="000000"/>
                    </w:rPr>
                    <w:t>400W</w:t>
                  </w:r>
                  <w:r>
                    <w:rPr>
                      <w:rFonts w:ascii="仿宋_GB2312" w:hAnsi="仿宋_GB2312" w:cs="仿宋_GB2312" w:eastAsia="仿宋_GB2312"/>
                      <w:sz w:val="24"/>
                      <w:color w:val="000000"/>
                    </w:rPr>
                    <w:t>。</w:t>
                  </w:r>
                </w:p>
                <w:p>
                  <w:pPr>
                    <w:pStyle w:val="null3"/>
                    <w:ind w:left="420"/>
                    <w:jc w:val="both"/>
                  </w:pPr>
                  <w:r>
                    <w:rPr>
                      <w:rFonts w:ascii="仿宋_GB2312" w:hAnsi="仿宋_GB2312" w:cs="仿宋_GB2312" w:eastAsia="仿宋_GB2312"/>
                      <w:sz w:val="24"/>
                      <w:color w:val="000000"/>
                    </w:rPr>
                    <w:t>40.</w:t>
                  </w:r>
                  <w:r>
                    <w:rPr>
                      <w:rFonts w:ascii="仿宋_GB2312" w:hAnsi="仿宋_GB2312" w:cs="仿宋_GB2312" w:eastAsia="仿宋_GB2312"/>
                      <w:sz w:val="24"/>
                      <w:color w:val="000000"/>
                    </w:rPr>
                    <w:t>分辨力</w:t>
                  </w:r>
                  <w:r>
                    <w:rPr>
                      <w:rFonts w:ascii="仿宋_GB2312" w:hAnsi="仿宋_GB2312" w:cs="仿宋_GB2312" w:eastAsia="仿宋_GB2312"/>
                      <w:sz w:val="24"/>
                    </w:rPr>
                    <w:t>≥</w:t>
                  </w:r>
                  <w:r>
                    <w:rPr>
                      <w:rFonts w:ascii="仿宋_GB2312" w:hAnsi="仿宋_GB2312" w:cs="仿宋_GB2312" w:eastAsia="仿宋_GB2312"/>
                      <w:sz w:val="24"/>
                      <w:color w:val="000000"/>
                    </w:rPr>
                    <w:t>1100TVL</w:t>
                  </w:r>
                  <w:r>
                    <w:rPr>
                      <w:rFonts w:ascii="仿宋_GB2312" w:hAnsi="仿宋_GB2312" w:cs="仿宋_GB2312" w:eastAsia="仿宋_GB2312"/>
                      <w:sz w:val="24"/>
                      <w:color w:val="000000"/>
                    </w:rPr>
                    <w:t>，红外距离可达</w:t>
                  </w:r>
                  <w:r>
                    <w:rPr>
                      <w:rFonts w:ascii="仿宋_GB2312" w:hAnsi="仿宋_GB2312" w:cs="仿宋_GB2312" w:eastAsia="仿宋_GB2312"/>
                      <w:sz w:val="24"/>
                      <w:color w:val="000000"/>
                    </w:rPr>
                    <w:t>240</w:t>
                  </w:r>
                  <w:r>
                    <w:rPr>
                      <w:rFonts w:ascii="仿宋_GB2312" w:hAnsi="仿宋_GB2312" w:cs="仿宋_GB2312" w:eastAsia="仿宋_GB2312"/>
                      <w:sz w:val="24"/>
                      <w:color w:val="000000"/>
                    </w:rPr>
                    <w:t>米，含立杆</w:t>
                  </w:r>
                  <w:r>
                    <w:rPr>
                      <w:rFonts w:ascii="仿宋_GB2312" w:hAnsi="仿宋_GB2312" w:cs="仿宋_GB2312" w:eastAsia="仿宋_GB2312"/>
                      <w:sz w:val="24"/>
                      <w:color w:val="000000"/>
                    </w:rPr>
                    <w:t>4.5</w:t>
                  </w:r>
                  <w:r>
                    <w:rPr>
                      <w:rFonts w:ascii="仿宋_GB2312" w:hAnsi="仿宋_GB2312" w:cs="仿宋_GB2312" w:eastAsia="仿宋_GB2312"/>
                      <w:sz w:val="24"/>
                      <w:color w:val="000000"/>
                    </w:rPr>
                    <w:t>米，支架，硬盘录相机（存储容量</w:t>
                  </w:r>
                  <w:r>
                    <w:rPr>
                      <w:rFonts w:ascii="仿宋_GB2312" w:hAnsi="仿宋_GB2312" w:cs="仿宋_GB2312" w:eastAsia="仿宋_GB2312"/>
                      <w:sz w:val="24"/>
                      <w:color w:val="000000"/>
                    </w:rPr>
                    <w:t>≥1T）等。</w:t>
                  </w:r>
                </w:p>
                <w:p>
                  <w:pPr>
                    <w:pStyle w:val="null3"/>
                    <w:ind w:left="420"/>
                    <w:jc w:val="both"/>
                  </w:pPr>
                  <w:r>
                    <w:rPr>
                      <w:rFonts w:ascii="仿宋_GB2312" w:hAnsi="仿宋_GB2312" w:cs="仿宋_GB2312" w:eastAsia="仿宋_GB2312"/>
                      <w:sz w:val="24"/>
                      <w:color w:val="000000"/>
                    </w:rPr>
                    <w:t>41.</w:t>
                  </w:r>
                  <w:r>
                    <w:rPr>
                      <w:rFonts w:ascii="仿宋_GB2312" w:hAnsi="仿宋_GB2312" w:cs="仿宋_GB2312" w:eastAsia="仿宋_GB2312"/>
                      <w:sz w:val="24"/>
                      <w:color w:val="000000"/>
                    </w:rPr>
                    <w:t>支持透雾、强光抑制、电子防抖、数字降噪、防红外过曝功能。</w:t>
                  </w:r>
                </w:p>
                <w:p>
                  <w:pPr>
                    <w:pStyle w:val="null3"/>
                    <w:ind w:left="420"/>
                    <w:jc w:val="both"/>
                  </w:pPr>
                  <w:r>
                    <w:rPr>
                      <w:rFonts w:ascii="仿宋_GB2312" w:hAnsi="仿宋_GB2312" w:cs="仿宋_GB2312" w:eastAsia="仿宋_GB2312"/>
                      <w:sz w:val="24"/>
                    </w:rPr>
                    <w:t>42.</w:t>
                  </w:r>
                  <w:r>
                    <w:rPr>
                      <w:rFonts w:ascii="仿宋_GB2312" w:hAnsi="仿宋_GB2312" w:cs="仿宋_GB2312" w:eastAsia="仿宋_GB2312"/>
                      <w:sz w:val="24"/>
                    </w:rPr>
                    <w:t>分辨能力：可远程实时查看病虫观测场一定范围内的作物生长状态、受害状态以及监测设备运行状态。带红外夜视功能，白天可视距离</w:t>
                  </w:r>
                  <w:r>
                    <w:rPr>
                      <w:rFonts w:ascii="仿宋_GB2312" w:hAnsi="仿宋_GB2312" w:cs="仿宋_GB2312" w:eastAsia="仿宋_GB2312"/>
                      <w:sz w:val="24"/>
                    </w:rPr>
                    <w:t>≥500m，当监测半径为20m时可清晰分辨</w:t>
                  </w:r>
                  <w:r>
                    <w:rPr>
                      <w:rFonts w:ascii="仿宋_GB2312" w:hAnsi="仿宋_GB2312" w:cs="仿宋_GB2312" w:eastAsia="仿宋_GB2312"/>
                      <w:sz w:val="24"/>
                    </w:rPr>
                    <w:t>≤</w:t>
                  </w:r>
                  <w:r>
                    <w:rPr>
                      <w:rFonts w:ascii="仿宋_GB2312" w:hAnsi="仿宋_GB2312" w:cs="仿宋_GB2312" w:eastAsia="仿宋_GB2312"/>
                      <w:sz w:val="24"/>
                    </w:rPr>
                    <w:t>10mm×10mm的物体；当监测半径为8m时可清晰分辨</w:t>
                  </w:r>
                  <w:r>
                    <w:rPr>
                      <w:rFonts w:ascii="仿宋_GB2312" w:hAnsi="仿宋_GB2312" w:cs="仿宋_GB2312" w:eastAsia="仿宋_GB2312"/>
                      <w:sz w:val="24"/>
                    </w:rPr>
                    <w:t>≤</w:t>
                  </w:r>
                  <w:r>
                    <w:rPr>
                      <w:rFonts w:ascii="仿宋_GB2312" w:hAnsi="仿宋_GB2312" w:cs="仿宋_GB2312" w:eastAsia="仿宋_GB2312"/>
                      <w:sz w:val="24"/>
                    </w:rPr>
                    <w:t>1mm×1mm的物体；在夜间当监测半径为10m时，可清晰分辨</w:t>
                  </w:r>
                  <w:r>
                    <w:rPr>
                      <w:rFonts w:ascii="仿宋_GB2312" w:hAnsi="仿宋_GB2312" w:cs="仿宋_GB2312" w:eastAsia="仿宋_GB2312"/>
                      <w:sz w:val="24"/>
                    </w:rPr>
                    <w:t>≤</w:t>
                  </w:r>
                  <w:r>
                    <w:rPr>
                      <w:rFonts w:ascii="仿宋_GB2312" w:hAnsi="仿宋_GB2312" w:cs="仿宋_GB2312" w:eastAsia="仿宋_GB2312"/>
                      <w:sz w:val="24"/>
                    </w:rPr>
                    <w:t>10mm×10mm的物体。</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手持式光量子仪</w:t>
                  </w:r>
                </w:p>
              </w:tc>
              <w:tc>
                <w:tcPr>
                  <w:tcW w:type="dxa" w:w="2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4"/>
                      <w:color w:val="000000"/>
                    </w:rPr>
                    <w:t>43.</w:t>
                  </w:r>
                  <w:r>
                    <w:rPr>
                      <w:rFonts w:ascii="仿宋_GB2312" w:hAnsi="仿宋_GB2312" w:cs="仿宋_GB2312" w:eastAsia="仿宋_GB2312"/>
                      <w:sz w:val="24"/>
                      <w:color w:val="000000"/>
                    </w:rPr>
                    <w:t>性能：用于检测记录光合有效辐射一个参数。支持自动上传测量数据，在线查看数据。</w:t>
                  </w:r>
                </w:p>
                <w:p>
                  <w:pPr>
                    <w:pStyle w:val="null3"/>
                    <w:ind w:firstLine="482"/>
                    <w:jc w:val="left"/>
                  </w:pPr>
                  <w:r>
                    <w:rPr>
                      <w:rFonts w:ascii="仿宋_GB2312" w:hAnsi="仿宋_GB2312" w:cs="仿宋_GB2312" w:eastAsia="仿宋_GB2312"/>
                      <w:sz w:val="24"/>
                      <w:b/>
                      <w:color w:val="000000"/>
                    </w:rPr>
                    <w:t>仪器参数</w:t>
                  </w:r>
                </w:p>
                <w:p>
                  <w:pPr>
                    <w:pStyle w:val="null3"/>
                    <w:ind w:left="420"/>
                    <w:jc w:val="left"/>
                  </w:pPr>
                  <w:r>
                    <w:rPr>
                      <w:rFonts w:ascii="仿宋_GB2312" w:hAnsi="仿宋_GB2312" w:cs="仿宋_GB2312" w:eastAsia="仿宋_GB2312"/>
                      <w:sz w:val="24"/>
                      <w:color w:val="000000"/>
                    </w:rPr>
                    <w:t>44.</w:t>
                  </w:r>
                  <w:r>
                    <w:rPr>
                      <w:rFonts w:ascii="仿宋_GB2312" w:hAnsi="仿宋_GB2312" w:cs="仿宋_GB2312" w:eastAsia="仿宋_GB2312"/>
                      <w:sz w:val="24"/>
                      <w:color w:val="000000"/>
                    </w:rPr>
                    <w:t>记录容量：设备内部</w:t>
                  </w:r>
                  <w:r>
                    <w:rPr>
                      <w:rFonts w:ascii="仿宋_GB2312" w:hAnsi="仿宋_GB2312" w:cs="仿宋_GB2312" w:eastAsia="仿宋_GB2312"/>
                      <w:sz w:val="24"/>
                      <w:color w:val="000000"/>
                    </w:rPr>
                    <w:t>Flash</w:t>
                  </w:r>
                  <w:r>
                    <w:rPr>
                      <w:rFonts w:ascii="仿宋_GB2312" w:hAnsi="仿宋_GB2312" w:cs="仿宋_GB2312" w:eastAsia="仿宋_GB2312"/>
                      <w:sz w:val="24"/>
                      <w:color w:val="000000"/>
                    </w:rPr>
                    <w:t>可存</w:t>
                  </w: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万条数据，配</w:t>
                  </w:r>
                  <w:r>
                    <w:rPr>
                      <w:rFonts w:ascii="仿宋_GB2312" w:hAnsi="仿宋_GB2312" w:cs="仿宋_GB2312" w:eastAsia="仿宋_GB2312"/>
                      <w:sz w:val="24"/>
                      <w:color w:val="000000"/>
                    </w:rPr>
                    <w:t>4G</w:t>
                  </w:r>
                  <w:r>
                    <w:rPr>
                      <w:rFonts w:ascii="仿宋_GB2312" w:hAnsi="仿宋_GB2312" w:cs="仿宋_GB2312" w:eastAsia="仿宋_GB2312"/>
                      <w:sz w:val="24"/>
                      <w:color w:val="000000"/>
                    </w:rPr>
                    <w:t>内存卡可长期存储。</w:t>
                  </w:r>
                </w:p>
                <w:p>
                  <w:pPr>
                    <w:pStyle w:val="null3"/>
                    <w:ind w:left="420"/>
                    <w:jc w:val="left"/>
                  </w:pPr>
                  <w:r>
                    <w:rPr>
                      <w:rFonts w:ascii="仿宋_GB2312" w:hAnsi="仿宋_GB2312" w:cs="仿宋_GB2312" w:eastAsia="仿宋_GB2312"/>
                      <w:sz w:val="24"/>
                      <w:color w:val="000000"/>
                    </w:rPr>
                    <w:t>45.</w:t>
                  </w:r>
                  <w:r>
                    <w:rPr>
                      <w:rFonts w:ascii="仿宋_GB2312" w:hAnsi="仿宋_GB2312" w:cs="仿宋_GB2312" w:eastAsia="仿宋_GB2312"/>
                      <w:sz w:val="24"/>
                      <w:color w:val="000000"/>
                    </w:rPr>
                    <w:t>采集时间间隔：</w:t>
                  </w:r>
                  <w:r>
                    <w:rPr>
                      <w:rFonts w:ascii="仿宋_GB2312" w:hAnsi="仿宋_GB2312" w:cs="仿宋_GB2312" w:eastAsia="仿宋_GB2312"/>
                      <w:sz w:val="24"/>
                      <w:color w:val="000000"/>
                    </w:rPr>
                    <w:t>5</w:t>
                  </w:r>
                  <w:r>
                    <w:rPr>
                      <w:rFonts w:ascii="仿宋_GB2312" w:hAnsi="仿宋_GB2312" w:cs="仿宋_GB2312" w:eastAsia="仿宋_GB2312"/>
                      <w:sz w:val="24"/>
                      <w:color w:val="000000"/>
                    </w:rPr>
                    <w:t>分～</w:t>
                  </w:r>
                  <w:r>
                    <w:rPr>
                      <w:rFonts w:ascii="仿宋_GB2312" w:hAnsi="仿宋_GB2312" w:cs="仿宋_GB2312" w:eastAsia="仿宋_GB2312"/>
                      <w:sz w:val="24"/>
                      <w:color w:val="000000"/>
                    </w:rPr>
                    <w:t>99</w:t>
                  </w:r>
                  <w:r>
                    <w:rPr>
                      <w:rFonts w:ascii="仿宋_GB2312" w:hAnsi="仿宋_GB2312" w:cs="仿宋_GB2312" w:eastAsia="仿宋_GB2312"/>
                      <w:sz w:val="24"/>
                      <w:color w:val="000000"/>
                    </w:rPr>
                    <w:t>小时</w:t>
                  </w:r>
                </w:p>
                <w:p>
                  <w:pPr>
                    <w:pStyle w:val="null3"/>
                    <w:ind w:left="420"/>
                    <w:jc w:val="left"/>
                  </w:pPr>
                  <w:r>
                    <w:rPr>
                      <w:rFonts w:ascii="仿宋_GB2312" w:hAnsi="仿宋_GB2312" w:cs="仿宋_GB2312" w:eastAsia="仿宋_GB2312"/>
                      <w:sz w:val="24"/>
                      <w:color w:val="000000"/>
                    </w:rPr>
                    <w:t>46.</w:t>
                  </w:r>
                  <w:r>
                    <w:rPr>
                      <w:rFonts w:ascii="仿宋_GB2312" w:hAnsi="仿宋_GB2312" w:cs="仿宋_GB2312" w:eastAsia="仿宋_GB2312"/>
                      <w:sz w:val="24"/>
                      <w:color w:val="000000"/>
                    </w:rPr>
                    <w:t>支持语音播报</w:t>
                  </w:r>
                </w:p>
                <w:p>
                  <w:pPr>
                    <w:pStyle w:val="null3"/>
                    <w:ind w:left="420"/>
                    <w:jc w:val="left"/>
                  </w:pPr>
                  <w:r>
                    <w:rPr>
                      <w:rFonts w:ascii="仿宋_GB2312" w:hAnsi="仿宋_GB2312" w:cs="仿宋_GB2312" w:eastAsia="仿宋_GB2312"/>
                      <w:sz w:val="24"/>
                      <w:color w:val="000000"/>
                    </w:rPr>
                    <w:t>47.</w:t>
                  </w:r>
                  <w:r>
                    <w:rPr>
                      <w:rFonts w:ascii="仿宋_GB2312" w:hAnsi="仿宋_GB2312" w:cs="仿宋_GB2312" w:eastAsia="仿宋_GB2312"/>
                      <w:sz w:val="24"/>
                      <w:color w:val="000000"/>
                    </w:rPr>
                    <w:t>锂电池供电</w:t>
                  </w:r>
                </w:p>
                <w:p>
                  <w:pPr>
                    <w:pStyle w:val="null3"/>
                    <w:ind w:firstLine="482"/>
                    <w:jc w:val="left"/>
                  </w:pPr>
                  <w:r>
                    <w:rPr>
                      <w:rFonts w:ascii="仿宋_GB2312" w:hAnsi="仿宋_GB2312" w:cs="仿宋_GB2312" w:eastAsia="仿宋_GB2312"/>
                      <w:sz w:val="24"/>
                      <w:b/>
                      <w:color w:val="000000"/>
                    </w:rPr>
                    <w:t>传感器技术参数：</w:t>
                  </w:r>
                </w:p>
                <w:p>
                  <w:pPr>
                    <w:pStyle w:val="null3"/>
                    <w:ind w:left="420"/>
                    <w:jc w:val="left"/>
                  </w:pPr>
                  <w:r>
                    <w:rPr>
                      <w:rFonts w:ascii="仿宋_GB2312" w:hAnsi="仿宋_GB2312" w:cs="仿宋_GB2312" w:eastAsia="仿宋_GB2312"/>
                      <w:sz w:val="24"/>
                      <w:color w:val="000000"/>
                    </w:rPr>
                    <w:t>48.</w:t>
                  </w:r>
                  <w:r>
                    <w:rPr>
                      <w:rFonts w:ascii="仿宋_GB2312" w:hAnsi="仿宋_GB2312" w:cs="仿宋_GB2312" w:eastAsia="仿宋_GB2312"/>
                      <w:sz w:val="24"/>
                      <w:color w:val="000000"/>
                    </w:rPr>
                    <w:t>光合有效辐射范围：</w:t>
                  </w:r>
                  <w:r>
                    <w:rPr>
                      <w:rFonts w:ascii="仿宋_GB2312" w:hAnsi="仿宋_GB2312" w:cs="仿宋_GB2312" w:eastAsia="仿宋_GB2312"/>
                      <w:sz w:val="24"/>
                      <w:color w:val="000000"/>
                    </w:rPr>
                    <w:t>0</w:t>
                  </w:r>
                  <w:r>
                    <w:rPr>
                      <w:rFonts w:ascii="仿宋_GB2312" w:hAnsi="仿宋_GB2312" w:cs="仿宋_GB2312" w:eastAsia="仿宋_GB2312"/>
                      <w:sz w:val="24"/>
                      <w:color w:val="000000"/>
                    </w:rPr>
                    <w:t>～</w:t>
                  </w:r>
                  <w:r>
                    <w:rPr>
                      <w:rFonts w:ascii="仿宋_GB2312" w:hAnsi="仿宋_GB2312" w:cs="仿宋_GB2312" w:eastAsia="仿宋_GB2312"/>
                      <w:sz w:val="24"/>
                      <w:color w:val="000000"/>
                    </w:rPr>
                    <w:t>2700μmol/m</w:t>
                  </w:r>
                  <w:r>
                    <w:rPr>
                      <w:rFonts w:ascii="仿宋_GB2312" w:hAnsi="仿宋_GB2312" w:cs="仿宋_GB2312" w:eastAsia="仿宋_GB2312"/>
                      <w:sz w:val="24"/>
                      <w:color w:val="000000"/>
                      <w:vertAlign w:val="superscript"/>
                    </w:rPr>
                    <w:t>2</w:t>
                  </w:r>
                  <w:r>
                    <w:rPr>
                      <w:rFonts w:ascii="仿宋_GB2312" w:hAnsi="仿宋_GB2312" w:cs="仿宋_GB2312" w:eastAsia="仿宋_GB2312"/>
                      <w:sz w:val="24"/>
                      <w:color w:val="000000"/>
                    </w:rPr>
                    <w:t>·s</w:t>
                  </w:r>
                </w:p>
                <w:p>
                  <w:pPr>
                    <w:pStyle w:val="null3"/>
                    <w:ind w:left="420"/>
                    <w:jc w:val="left"/>
                  </w:pPr>
                  <w:r>
                    <w:rPr>
                      <w:rFonts w:ascii="仿宋_GB2312" w:hAnsi="仿宋_GB2312" w:cs="仿宋_GB2312" w:eastAsia="仿宋_GB2312"/>
                      <w:sz w:val="24"/>
                      <w:color w:val="000000"/>
                    </w:rPr>
                    <w:t>49.</w:t>
                  </w:r>
                  <w:r>
                    <w:rPr>
                      <w:rFonts w:ascii="仿宋_GB2312" w:hAnsi="仿宋_GB2312" w:cs="仿宋_GB2312" w:eastAsia="仿宋_GB2312"/>
                      <w:sz w:val="24"/>
                      <w:color w:val="000000"/>
                    </w:rPr>
                    <w:t>分辨率：</w:t>
                  </w:r>
                  <w:r>
                    <w:rPr>
                      <w:rFonts w:ascii="仿宋_GB2312" w:hAnsi="仿宋_GB2312" w:cs="仿宋_GB2312" w:eastAsia="仿宋_GB2312"/>
                      <w:sz w:val="24"/>
                      <w:color w:val="000000"/>
                    </w:rPr>
                    <w:t>≤</w:t>
                  </w:r>
                  <w:r>
                    <w:rPr>
                      <w:rFonts w:ascii="仿宋_GB2312" w:hAnsi="仿宋_GB2312" w:cs="仿宋_GB2312" w:eastAsia="仿宋_GB2312"/>
                      <w:sz w:val="24"/>
                      <w:color w:val="000000"/>
                    </w:rPr>
                    <w:t>1μmol/m</w:t>
                  </w:r>
                  <w:r>
                    <w:rPr>
                      <w:rFonts w:ascii="仿宋_GB2312" w:hAnsi="仿宋_GB2312" w:cs="仿宋_GB2312" w:eastAsia="仿宋_GB2312"/>
                      <w:sz w:val="24"/>
                      <w:color w:val="000000"/>
                      <w:vertAlign w:val="superscript"/>
                    </w:rPr>
                    <w:t>2</w:t>
                  </w:r>
                  <w:r>
                    <w:rPr>
                      <w:rFonts w:ascii="仿宋_GB2312" w:hAnsi="仿宋_GB2312" w:cs="仿宋_GB2312" w:eastAsia="仿宋_GB2312"/>
                      <w:sz w:val="24"/>
                      <w:color w:val="000000"/>
                    </w:rPr>
                    <w:t>·s</w:t>
                  </w:r>
                </w:p>
                <w:p>
                  <w:pPr>
                    <w:pStyle w:val="null3"/>
                    <w:ind w:left="420"/>
                    <w:jc w:val="left"/>
                  </w:pPr>
                  <w:r>
                    <w:rPr>
                      <w:rFonts w:ascii="仿宋_GB2312" w:hAnsi="仿宋_GB2312" w:cs="仿宋_GB2312" w:eastAsia="仿宋_GB2312"/>
                      <w:sz w:val="24"/>
                    </w:rPr>
                    <w:t>50.</w:t>
                  </w:r>
                  <w:r>
                    <w:rPr>
                      <w:rFonts w:ascii="仿宋_GB2312" w:hAnsi="仿宋_GB2312" w:cs="仿宋_GB2312" w:eastAsia="仿宋_GB2312"/>
                      <w:sz w:val="24"/>
                      <w:color w:val="000000"/>
                    </w:rPr>
                    <w:t>精度：</w:t>
                  </w:r>
                  <w:r>
                    <w:rPr>
                      <w:rFonts w:ascii="仿宋_GB2312" w:hAnsi="仿宋_GB2312" w:cs="仿宋_GB2312" w:eastAsia="仿宋_GB2312"/>
                      <w:sz w:val="24"/>
                      <w:color w:val="000000"/>
                    </w:rPr>
                    <w:t>≤</w:t>
                  </w:r>
                  <w:r>
                    <w:rPr>
                      <w:rFonts w:ascii="仿宋_GB2312" w:hAnsi="仿宋_GB2312" w:cs="仿宋_GB2312" w:eastAsia="仿宋_GB2312"/>
                      <w:sz w:val="24"/>
                      <w:color w:val="000000"/>
                    </w:rPr>
                    <w:t>1μmol/m</w:t>
                  </w:r>
                  <w:r>
                    <w:rPr>
                      <w:rFonts w:ascii="仿宋_GB2312" w:hAnsi="仿宋_GB2312" w:cs="仿宋_GB2312" w:eastAsia="仿宋_GB2312"/>
                      <w:sz w:val="24"/>
                      <w:color w:val="000000"/>
                      <w:vertAlign w:val="superscript"/>
                    </w:rPr>
                    <w:t>2</w:t>
                  </w:r>
                  <w:r>
                    <w:rPr>
                      <w:rFonts w:ascii="仿宋_GB2312" w:hAnsi="仿宋_GB2312" w:cs="仿宋_GB2312" w:eastAsia="仿宋_GB2312"/>
                      <w:sz w:val="24"/>
                      <w:color w:val="000000"/>
                    </w:rPr>
                    <w:t>·s</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超低温冰箱</w:t>
                  </w:r>
                </w:p>
              </w:tc>
              <w:tc>
                <w:tcPr>
                  <w:tcW w:type="dxa" w:w="2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4"/>
                    </w:rPr>
                    <w:t>51.</w:t>
                  </w:r>
                  <w:r>
                    <w:rPr>
                      <w:rFonts w:ascii="仿宋_GB2312" w:hAnsi="仿宋_GB2312" w:cs="仿宋_GB2312" w:eastAsia="仿宋_GB2312"/>
                      <w:sz w:val="24"/>
                      <w:color w:val="000000"/>
                    </w:rPr>
                    <w:t>容积</w:t>
                  </w:r>
                  <w:r>
                    <w:rPr>
                      <w:rFonts w:ascii="仿宋_GB2312" w:hAnsi="仿宋_GB2312" w:cs="仿宋_GB2312" w:eastAsia="仿宋_GB2312"/>
                      <w:sz w:val="24"/>
                      <w:color w:val="000000"/>
                    </w:rPr>
                    <w:t>≥</w:t>
                  </w:r>
                  <w:r>
                    <w:rPr>
                      <w:rFonts w:ascii="仿宋_GB2312" w:hAnsi="仿宋_GB2312" w:cs="仿宋_GB2312" w:eastAsia="仿宋_GB2312"/>
                      <w:sz w:val="24"/>
                      <w:color w:val="000000"/>
                    </w:rPr>
                    <w:t>600L；</w:t>
                  </w:r>
                </w:p>
                <w:p>
                  <w:pPr>
                    <w:pStyle w:val="null3"/>
                    <w:ind w:left="420"/>
                    <w:jc w:val="left"/>
                  </w:pPr>
                  <w:r>
                    <w:rPr>
                      <w:rFonts w:ascii="仿宋_GB2312" w:hAnsi="仿宋_GB2312" w:cs="仿宋_GB2312" w:eastAsia="仿宋_GB2312"/>
                      <w:sz w:val="24"/>
                    </w:rPr>
                    <w:t>52.</w:t>
                  </w:r>
                  <w:r>
                    <w:rPr>
                      <w:rFonts w:ascii="仿宋_GB2312" w:hAnsi="仿宋_GB2312" w:cs="仿宋_GB2312" w:eastAsia="仿宋_GB2312"/>
                      <w:sz w:val="24"/>
                      <w:color w:val="000000"/>
                    </w:rPr>
                    <w:t>≥1000W；</w:t>
                  </w:r>
                </w:p>
                <w:p>
                  <w:pPr>
                    <w:pStyle w:val="null3"/>
                    <w:ind w:left="420"/>
                    <w:jc w:val="left"/>
                  </w:pPr>
                  <w:r>
                    <w:rPr>
                      <w:rFonts w:ascii="仿宋_GB2312" w:hAnsi="仿宋_GB2312" w:cs="仿宋_GB2312" w:eastAsia="仿宋_GB2312"/>
                      <w:sz w:val="24"/>
                    </w:rPr>
                    <w:t>53.</w:t>
                  </w:r>
                  <w:r>
                    <w:rPr>
                      <w:rFonts w:ascii="仿宋_GB2312" w:hAnsi="仿宋_GB2312" w:cs="仿宋_GB2312" w:eastAsia="仿宋_GB2312"/>
                      <w:sz w:val="24"/>
                      <w:color w:val="000000"/>
                    </w:rPr>
                    <w:t>单门，不锈钢，单锁；</w:t>
                  </w:r>
                </w:p>
                <w:p>
                  <w:pPr>
                    <w:pStyle w:val="null3"/>
                    <w:ind w:left="420"/>
                    <w:jc w:val="left"/>
                  </w:pPr>
                  <w:r>
                    <w:rPr>
                      <w:rFonts w:ascii="仿宋_GB2312" w:hAnsi="仿宋_GB2312" w:cs="仿宋_GB2312" w:eastAsia="仿宋_GB2312"/>
                      <w:sz w:val="24"/>
                    </w:rPr>
                    <w:t>54.</w:t>
                  </w:r>
                  <w:r>
                    <w:rPr>
                      <w:rFonts w:ascii="仿宋_GB2312" w:hAnsi="仿宋_GB2312" w:cs="仿宋_GB2312" w:eastAsia="仿宋_GB2312"/>
                      <w:sz w:val="24"/>
                      <w:color w:val="000000"/>
                    </w:rPr>
                    <w:t>-15℃</w:t>
                  </w:r>
                  <w:r>
                    <w:rPr>
                      <w:rFonts w:ascii="仿宋_GB2312" w:hAnsi="仿宋_GB2312" w:cs="仿宋_GB2312" w:eastAsia="仿宋_GB2312"/>
                      <w:sz w:val="24"/>
                      <w:color w:val="000000"/>
                    </w:rPr>
                    <w:t>至</w:t>
                  </w:r>
                  <w:r>
                    <w:rPr>
                      <w:rFonts w:ascii="仿宋_GB2312" w:hAnsi="仿宋_GB2312" w:cs="仿宋_GB2312" w:eastAsia="仿宋_GB2312"/>
                      <w:sz w:val="24"/>
                      <w:color w:val="000000"/>
                    </w:rPr>
                    <w:t>-86℃</w:t>
                  </w:r>
                  <w:r>
                    <w:rPr>
                      <w:rFonts w:ascii="仿宋_GB2312" w:hAnsi="仿宋_GB2312" w:cs="仿宋_GB2312" w:eastAsia="仿宋_GB2312"/>
                      <w:sz w:val="24"/>
                      <w:color w:val="000000"/>
                    </w:rPr>
                    <w:t>全温区覆盖；</w:t>
                  </w:r>
                </w:p>
                <w:p>
                  <w:pPr>
                    <w:pStyle w:val="null3"/>
                    <w:ind w:left="420"/>
                    <w:jc w:val="left"/>
                  </w:pPr>
                  <w:r>
                    <w:rPr>
                      <w:rFonts w:ascii="仿宋_GB2312" w:hAnsi="仿宋_GB2312" w:cs="仿宋_GB2312" w:eastAsia="仿宋_GB2312"/>
                      <w:sz w:val="24"/>
                    </w:rPr>
                    <w:t>55.</w:t>
                  </w:r>
                  <w:r>
                    <w:rPr>
                      <w:rFonts w:ascii="仿宋_GB2312" w:hAnsi="仿宋_GB2312" w:cs="仿宋_GB2312" w:eastAsia="仿宋_GB2312"/>
                      <w:sz w:val="24"/>
                      <w:color w:val="000000"/>
                    </w:rPr>
                    <w:t>制冷管铜，内胆不锈钢；</w:t>
                  </w:r>
                </w:p>
                <w:p>
                  <w:pPr>
                    <w:pStyle w:val="null3"/>
                    <w:ind w:left="420"/>
                    <w:jc w:val="left"/>
                  </w:pPr>
                  <w:r>
                    <w:rPr>
                      <w:rFonts w:ascii="仿宋_GB2312" w:hAnsi="仿宋_GB2312" w:cs="仿宋_GB2312" w:eastAsia="仿宋_GB2312"/>
                      <w:sz w:val="24"/>
                    </w:rPr>
                    <w:t>56.</w:t>
                  </w:r>
                  <w:r>
                    <w:rPr>
                      <w:rFonts w:ascii="仿宋_GB2312" w:hAnsi="仿宋_GB2312" w:cs="仿宋_GB2312" w:eastAsia="仿宋_GB2312"/>
                      <w:sz w:val="24"/>
                      <w:color w:val="000000"/>
                    </w:rPr>
                    <w:t>电脑控温，机械显温，直冷；</w:t>
                  </w:r>
                </w:p>
                <w:p>
                  <w:pPr>
                    <w:pStyle w:val="null3"/>
                    <w:jc w:val="left"/>
                  </w:pPr>
                  <w:r>
                    <w:rPr>
                      <w:rFonts w:ascii="仿宋_GB2312" w:hAnsi="仿宋_GB2312" w:cs="仿宋_GB2312" w:eastAsia="仿宋_GB2312"/>
                      <w:sz w:val="24"/>
                      <w:b/>
                    </w:rPr>
                    <w:t>供应商</w:t>
                  </w:r>
                  <w:r>
                    <w:rPr>
                      <w:rFonts w:ascii="仿宋_GB2312" w:hAnsi="仿宋_GB2312" w:cs="仿宋_GB2312" w:eastAsia="仿宋_GB2312"/>
                      <w:sz w:val="24"/>
                      <w:b/>
                    </w:rPr>
                    <w:t>提供有效的</w:t>
                  </w:r>
                  <w:r>
                    <w:rPr>
                      <w:rFonts w:ascii="仿宋_GB2312" w:hAnsi="仿宋_GB2312" w:cs="仿宋_GB2312" w:eastAsia="仿宋_GB2312"/>
                      <w:sz w:val="24"/>
                      <w:b/>
                    </w:rPr>
                    <w:t>3C认证证书</w:t>
                  </w:r>
                  <w:r>
                    <w:rPr>
                      <w:rFonts w:ascii="仿宋_GB2312" w:hAnsi="仿宋_GB2312" w:cs="仿宋_GB2312" w:eastAsia="仿宋_GB2312"/>
                      <w:sz w:val="24"/>
                      <w:b/>
                    </w:rPr>
                    <w:t>。</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LED单色显示屏</w:t>
                  </w:r>
                </w:p>
              </w:tc>
              <w:tc>
                <w:tcPr>
                  <w:tcW w:type="dxa" w:w="2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4"/>
                    </w:rPr>
                    <w:t>57.</w:t>
                  </w:r>
                  <w:r>
                    <w:rPr>
                      <w:rFonts w:ascii="仿宋_GB2312" w:hAnsi="仿宋_GB2312" w:cs="仿宋_GB2312" w:eastAsia="仿宋_GB2312"/>
                      <w:sz w:val="24"/>
                    </w:rPr>
                    <w:t>LED有效显示面积≥0.819平方米；</w:t>
                  </w:r>
                </w:p>
                <w:p>
                  <w:pPr>
                    <w:pStyle w:val="null3"/>
                    <w:ind w:left="420"/>
                    <w:jc w:val="left"/>
                  </w:pPr>
                  <w:r>
                    <w:rPr>
                      <w:rFonts w:ascii="仿宋_GB2312" w:hAnsi="仿宋_GB2312" w:cs="仿宋_GB2312" w:eastAsia="仿宋_GB2312"/>
                      <w:sz w:val="24"/>
                    </w:rPr>
                    <w:t>58.</w:t>
                  </w:r>
                  <w:r>
                    <w:rPr>
                      <w:rFonts w:ascii="仿宋_GB2312" w:hAnsi="仿宋_GB2312" w:cs="仿宋_GB2312" w:eastAsia="仿宋_GB2312"/>
                      <w:sz w:val="24"/>
                    </w:rPr>
                    <w:t>防护等级：正面</w:t>
                  </w:r>
                  <w:r>
                    <w:rPr>
                      <w:rFonts w:ascii="仿宋_GB2312" w:hAnsi="仿宋_GB2312" w:cs="仿宋_GB2312" w:eastAsia="仿宋_GB2312"/>
                      <w:sz w:val="24"/>
                    </w:rPr>
                    <w:t>IP65；</w:t>
                  </w:r>
                </w:p>
                <w:p>
                  <w:pPr>
                    <w:pStyle w:val="null3"/>
                    <w:ind w:left="420"/>
                    <w:jc w:val="left"/>
                  </w:pPr>
                  <w:r>
                    <w:rPr>
                      <w:rFonts w:ascii="仿宋_GB2312" w:hAnsi="仿宋_GB2312" w:cs="仿宋_GB2312" w:eastAsia="仿宋_GB2312"/>
                      <w:sz w:val="24"/>
                    </w:rPr>
                    <w:t>59.</w:t>
                  </w:r>
                  <w:r>
                    <w:rPr>
                      <w:rFonts w:ascii="仿宋_GB2312" w:hAnsi="仿宋_GB2312" w:cs="仿宋_GB2312" w:eastAsia="仿宋_GB2312"/>
                      <w:sz w:val="24"/>
                    </w:rPr>
                    <w:t>▲</w:t>
                  </w:r>
                  <w:r>
                    <w:rPr>
                      <w:rFonts w:ascii="仿宋_GB2312" w:hAnsi="仿宋_GB2312" w:cs="仿宋_GB2312" w:eastAsia="仿宋_GB2312"/>
                      <w:sz w:val="24"/>
                    </w:rPr>
                    <w:t>LED像素点间距≤5mm;像素密度≥40000点/㎡；</w:t>
                  </w:r>
                </w:p>
                <w:p>
                  <w:pPr>
                    <w:pStyle w:val="null3"/>
                    <w:ind w:left="420"/>
                    <w:jc w:val="left"/>
                  </w:pPr>
                  <w:r>
                    <w:rPr>
                      <w:rFonts w:ascii="仿宋_GB2312" w:hAnsi="仿宋_GB2312" w:cs="仿宋_GB2312" w:eastAsia="仿宋_GB2312"/>
                      <w:sz w:val="24"/>
                    </w:rPr>
                    <w:t>60.</w:t>
                  </w:r>
                  <w:r>
                    <w:rPr>
                      <w:rFonts w:ascii="仿宋_GB2312" w:hAnsi="仿宋_GB2312" w:cs="仿宋_GB2312" w:eastAsia="仿宋_GB2312"/>
                      <w:sz w:val="24"/>
                    </w:rPr>
                    <w:t>模组平整度</w:t>
                  </w:r>
                  <w:r>
                    <w:rPr>
                      <w:rFonts w:ascii="仿宋_GB2312" w:hAnsi="仿宋_GB2312" w:cs="仿宋_GB2312" w:eastAsia="仿宋_GB2312"/>
                      <w:sz w:val="24"/>
                    </w:rPr>
                    <w:t>≤0.2mm；发光点中心偏差≤1%；</w:t>
                  </w:r>
                </w:p>
                <w:p>
                  <w:pPr>
                    <w:pStyle w:val="null3"/>
                    <w:ind w:left="420"/>
                    <w:jc w:val="left"/>
                  </w:pPr>
                  <w:r>
                    <w:rPr>
                      <w:rFonts w:ascii="仿宋_GB2312" w:hAnsi="仿宋_GB2312" w:cs="仿宋_GB2312" w:eastAsia="仿宋_GB2312"/>
                      <w:sz w:val="24"/>
                    </w:rPr>
                    <w:t>61.</w:t>
                  </w:r>
                  <w:r>
                    <w:rPr>
                      <w:rFonts w:ascii="仿宋_GB2312" w:hAnsi="仿宋_GB2312" w:cs="仿宋_GB2312" w:eastAsia="仿宋_GB2312"/>
                      <w:sz w:val="24"/>
                    </w:rPr>
                    <w:t>显示亮度</w:t>
                  </w:r>
                  <w:r>
                    <w:rPr>
                      <w:rFonts w:ascii="仿宋_GB2312" w:hAnsi="仿宋_GB2312" w:cs="仿宋_GB2312" w:eastAsia="仿宋_GB2312"/>
                      <w:sz w:val="24"/>
                    </w:rPr>
                    <w:t>≥4500cd/㎡；亮度均匀性≥99%；</w:t>
                  </w:r>
                </w:p>
                <w:p>
                  <w:pPr>
                    <w:pStyle w:val="null3"/>
                    <w:ind w:left="420"/>
                    <w:jc w:val="left"/>
                  </w:pPr>
                  <w:r>
                    <w:rPr>
                      <w:rFonts w:ascii="仿宋_GB2312" w:hAnsi="仿宋_GB2312" w:cs="仿宋_GB2312" w:eastAsia="仿宋_GB2312"/>
                      <w:sz w:val="24"/>
                    </w:rPr>
                    <w:t>62.</w:t>
                  </w:r>
                  <w:r>
                    <w:rPr>
                      <w:rFonts w:ascii="仿宋_GB2312" w:hAnsi="仿宋_GB2312" w:cs="仿宋_GB2312" w:eastAsia="仿宋_GB2312"/>
                      <w:sz w:val="24"/>
                    </w:rPr>
                    <w:t>▲</w:t>
                  </w:r>
                  <w:r>
                    <w:rPr>
                      <w:rFonts w:ascii="仿宋_GB2312" w:hAnsi="仿宋_GB2312" w:cs="仿宋_GB2312" w:eastAsia="仿宋_GB2312"/>
                      <w:sz w:val="24"/>
                    </w:rPr>
                    <w:t>100%亮度，灰度等级为≥16bit；70%亮度，灰度等级为≥14bit；50%亮度，灰度等级为≥13bit；20%亮度，灰度等级为≥12bit；</w:t>
                  </w:r>
                </w:p>
                <w:p>
                  <w:pPr>
                    <w:pStyle w:val="null3"/>
                    <w:ind w:left="420"/>
                    <w:jc w:val="left"/>
                  </w:pPr>
                  <w:r>
                    <w:rPr>
                      <w:rFonts w:ascii="仿宋_GB2312" w:hAnsi="仿宋_GB2312" w:cs="仿宋_GB2312" w:eastAsia="仿宋_GB2312"/>
                      <w:sz w:val="24"/>
                    </w:rPr>
                    <w:t>63.</w:t>
                  </w:r>
                  <w:r>
                    <w:rPr>
                      <w:rFonts w:ascii="仿宋_GB2312" w:hAnsi="仿宋_GB2312" w:cs="仿宋_GB2312" w:eastAsia="仿宋_GB2312"/>
                      <w:sz w:val="24"/>
                    </w:rPr>
                    <w:t>符合</w:t>
                  </w:r>
                  <w:r>
                    <w:rPr>
                      <w:rFonts w:ascii="仿宋_GB2312" w:hAnsi="仿宋_GB2312" w:cs="仿宋_GB2312" w:eastAsia="仿宋_GB2312"/>
                      <w:sz w:val="24"/>
                    </w:rPr>
                    <w:t>GB/T 17626.2-2018规定，至少取4个点进行静电放电，正负极各100次，接触放电±6KV，空气放电±8KV；</w:t>
                  </w:r>
                </w:p>
                <w:p>
                  <w:pPr>
                    <w:pStyle w:val="null3"/>
                    <w:ind w:left="420"/>
                    <w:jc w:val="left"/>
                  </w:pPr>
                  <w:r>
                    <w:rPr>
                      <w:rFonts w:ascii="仿宋_GB2312" w:hAnsi="仿宋_GB2312" w:cs="仿宋_GB2312" w:eastAsia="仿宋_GB2312"/>
                      <w:sz w:val="24"/>
                    </w:rPr>
                    <w:t>64.</w:t>
                  </w:r>
                  <w:r>
                    <w:rPr>
                      <w:rFonts w:ascii="仿宋_GB2312" w:hAnsi="仿宋_GB2312" w:cs="仿宋_GB2312" w:eastAsia="仿宋_GB2312"/>
                      <w:sz w:val="24"/>
                    </w:rPr>
                    <w:t>NTSC色域覆盖率≥110%。</w:t>
                  </w:r>
                </w:p>
                <w:p>
                  <w:pPr>
                    <w:pStyle w:val="null3"/>
                    <w:jc w:val="left"/>
                  </w:pPr>
                  <w:r>
                    <w:rPr>
                      <w:rFonts w:ascii="仿宋_GB2312" w:hAnsi="仿宋_GB2312" w:cs="仿宋_GB2312" w:eastAsia="仿宋_GB2312"/>
                      <w:sz w:val="24"/>
                      <w:b/>
                    </w:rPr>
                    <w:t>供应商</w:t>
                  </w:r>
                  <w:r>
                    <w:rPr>
                      <w:rFonts w:ascii="仿宋_GB2312" w:hAnsi="仿宋_GB2312" w:cs="仿宋_GB2312" w:eastAsia="仿宋_GB2312"/>
                      <w:sz w:val="24"/>
                      <w:b/>
                    </w:rPr>
                    <w:t>提供有效的</w:t>
                  </w:r>
                  <w:r>
                    <w:rPr>
                      <w:rFonts w:ascii="仿宋_GB2312" w:hAnsi="仿宋_GB2312" w:cs="仿宋_GB2312" w:eastAsia="仿宋_GB2312"/>
                      <w:sz w:val="24"/>
                      <w:b/>
                    </w:rPr>
                    <w:t>3C认证证书</w:t>
                  </w:r>
                  <w:r>
                    <w:rPr>
                      <w:rFonts w:ascii="仿宋_GB2312" w:hAnsi="仿宋_GB2312" w:cs="仿宋_GB2312" w:eastAsia="仿宋_GB2312"/>
                      <w:sz w:val="24"/>
                      <w:b/>
                    </w:rPr>
                    <w:t>。</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大棚杀虫灯</w:t>
                  </w:r>
                </w:p>
              </w:tc>
              <w:tc>
                <w:tcPr>
                  <w:tcW w:type="dxa" w:w="2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4"/>
                      <w:shd w:fill="FFFFFF" w:val="clear"/>
                    </w:rPr>
                    <w:t>65.</w:t>
                  </w:r>
                  <w:r>
                    <w:rPr>
                      <w:rFonts w:ascii="仿宋_GB2312" w:hAnsi="仿宋_GB2312" w:cs="仿宋_GB2312" w:eastAsia="仿宋_GB2312"/>
                      <w:sz w:val="24"/>
                      <w:shd w:fill="FFFFFF" w:val="clear"/>
                    </w:rPr>
                    <w:t>电源：交流电</w:t>
                  </w:r>
                  <w:r>
                    <w:rPr>
                      <w:rFonts w:ascii="仿宋_GB2312" w:hAnsi="仿宋_GB2312" w:cs="仿宋_GB2312" w:eastAsia="仿宋_GB2312"/>
                      <w:sz w:val="24"/>
                      <w:shd w:fill="FFFFFF" w:val="clear"/>
                    </w:rPr>
                    <w:t>220V</w:t>
                  </w:r>
                  <w:r>
                    <w:rPr>
                      <w:rFonts w:ascii="仿宋_GB2312" w:hAnsi="仿宋_GB2312" w:cs="仿宋_GB2312" w:eastAsia="仿宋_GB2312"/>
                      <w:sz w:val="24"/>
                      <w:shd w:fill="FFFFFF" w:val="clear"/>
                    </w:rPr>
                    <w:t>；</w:t>
                  </w:r>
                </w:p>
                <w:p>
                  <w:pPr>
                    <w:pStyle w:val="null3"/>
                    <w:ind w:left="420"/>
                    <w:jc w:val="left"/>
                  </w:pPr>
                  <w:r>
                    <w:rPr>
                      <w:rFonts w:ascii="仿宋_GB2312" w:hAnsi="仿宋_GB2312" w:cs="仿宋_GB2312" w:eastAsia="仿宋_GB2312"/>
                      <w:sz w:val="24"/>
                      <w:shd w:fill="FFFFFF" w:val="clear"/>
                    </w:rPr>
                    <w:t>66.</w:t>
                  </w:r>
                  <w:r>
                    <w:rPr>
                      <w:rFonts w:ascii="仿宋_GB2312" w:hAnsi="仿宋_GB2312" w:cs="仿宋_GB2312" w:eastAsia="仿宋_GB2312"/>
                      <w:sz w:val="24"/>
                      <w:shd w:fill="FFFFFF" w:val="clear"/>
                    </w:rPr>
                    <w:t>诱虫光源：</w:t>
                  </w:r>
                  <w:r>
                    <w:rPr>
                      <w:rFonts w:ascii="仿宋_GB2312" w:hAnsi="仿宋_GB2312" w:cs="仿宋_GB2312" w:eastAsia="仿宋_GB2312"/>
                      <w:sz w:val="24"/>
                      <w:shd w:fill="FFFFFF" w:val="clear"/>
                    </w:rPr>
                    <w:t>320nm～400nm的紫外灯管或特定波长LED灯管</w:t>
                  </w:r>
                  <w:r>
                    <w:rPr>
                      <w:rFonts w:ascii="仿宋_GB2312" w:hAnsi="仿宋_GB2312" w:cs="仿宋_GB2312" w:eastAsia="仿宋_GB2312"/>
                      <w:sz w:val="24"/>
                      <w:shd w:fill="FFFFFF" w:val="clear"/>
                    </w:rPr>
                    <w:t>；</w:t>
                  </w:r>
                </w:p>
                <w:p>
                  <w:pPr>
                    <w:pStyle w:val="null3"/>
                    <w:ind w:left="420"/>
                    <w:jc w:val="left"/>
                  </w:pPr>
                  <w:r>
                    <w:rPr>
                      <w:rFonts w:ascii="仿宋_GB2312" w:hAnsi="仿宋_GB2312" w:cs="仿宋_GB2312" w:eastAsia="仿宋_GB2312"/>
                      <w:sz w:val="24"/>
                      <w:shd w:fill="FFFFFF" w:val="clear"/>
                    </w:rPr>
                    <w:t>67.</w:t>
                  </w:r>
                  <w:r>
                    <w:rPr>
                      <w:rFonts w:ascii="仿宋_GB2312" w:hAnsi="仿宋_GB2312" w:cs="仿宋_GB2312" w:eastAsia="仿宋_GB2312"/>
                      <w:sz w:val="24"/>
                      <w:shd w:fill="FFFFFF" w:val="clear"/>
                    </w:rPr>
                    <w:t>储虫仓：</w:t>
                  </w:r>
                  <w:r>
                    <w:rPr>
                      <w:rFonts w:ascii="仿宋_GB2312" w:hAnsi="仿宋_GB2312" w:cs="仿宋_GB2312" w:eastAsia="仿宋_GB2312"/>
                      <w:sz w:val="24"/>
                      <w:color w:val="000000"/>
                      <w:shd w:fill="FFFFFF" w:val="clear"/>
                    </w:rPr>
                    <w:t>≥</w:t>
                  </w:r>
                  <w:r>
                    <w:rPr>
                      <w:rFonts w:ascii="仿宋_GB2312" w:hAnsi="仿宋_GB2312" w:cs="仿宋_GB2312" w:eastAsia="仿宋_GB2312"/>
                      <w:sz w:val="24"/>
                      <w:shd w:fill="FFFFFF" w:val="clear"/>
                    </w:rPr>
                    <w:t>直径</w:t>
                  </w:r>
                  <w:r>
                    <w:rPr>
                      <w:rFonts w:ascii="仿宋_GB2312" w:hAnsi="仿宋_GB2312" w:cs="仿宋_GB2312" w:eastAsia="仿宋_GB2312"/>
                      <w:sz w:val="24"/>
                      <w:shd w:fill="FFFFFF" w:val="clear"/>
                    </w:rPr>
                    <w:t>2</w:t>
                  </w:r>
                  <w:r>
                    <w:rPr>
                      <w:rFonts w:ascii="仿宋_GB2312" w:hAnsi="仿宋_GB2312" w:cs="仿宋_GB2312" w:eastAsia="仿宋_GB2312"/>
                      <w:sz w:val="24"/>
                      <w:shd w:fill="FFFFFF" w:val="clear"/>
                    </w:rPr>
                    <w:t>0</w:t>
                  </w:r>
                  <w:r>
                    <w:rPr>
                      <w:rFonts w:ascii="仿宋_GB2312" w:hAnsi="仿宋_GB2312" w:cs="仿宋_GB2312" w:eastAsia="仿宋_GB2312"/>
                      <w:sz w:val="24"/>
                      <w:shd w:fill="FFFFFF" w:val="clear"/>
                    </w:rPr>
                    <w:t>cm*高度1</w:t>
                  </w:r>
                  <w:r>
                    <w:rPr>
                      <w:rFonts w:ascii="仿宋_GB2312" w:hAnsi="仿宋_GB2312" w:cs="仿宋_GB2312" w:eastAsia="仿宋_GB2312"/>
                      <w:sz w:val="24"/>
                      <w:shd w:fill="FFFFFF" w:val="clear"/>
                    </w:rPr>
                    <w:t>5</w:t>
                  </w:r>
                  <w:r>
                    <w:rPr>
                      <w:rFonts w:ascii="仿宋_GB2312" w:hAnsi="仿宋_GB2312" w:cs="仿宋_GB2312" w:eastAsia="仿宋_GB2312"/>
                      <w:sz w:val="24"/>
                      <w:shd w:fill="FFFFFF" w:val="clear"/>
                    </w:rPr>
                    <w:t>cm，塑料的圆柱立式仓</w:t>
                  </w:r>
                  <w:r>
                    <w:rPr>
                      <w:rFonts w:ascii="仿宋_GB2312" w:hAnsi="仿宋_GB2312" w:cs="仿宋_GB2312" w:eastAsia="仿宋_GB2312"/>
                      <w:sz w:val="24"/>
                      <w:shd w:fill="FFFFFF" w:val="clear"/>
                    </w:rPr>
                    <w:t>；</w:t>
                  </w:r>
                </w:p>
                <w:p>
                  <w:pPr>
                    <w:pStyle w:val="null3"/>
                    <w:ind w:left="420"/>
                    <w:jc w:val="left"/>
                  </w:pPr>
                  <w:r>
                    <w:rPr>
                      <w:rFonts w:ascii="仿宋_GB2312" w:hAnsi="仿宋_GB2312" w:cs="仿宋_GB2312" w:eastAsia="仿宋_GB2312"/>
                      <w:sz w:val="24"/>
                      <w:shd w:fill="FFFFFF" w:val="clear"/>
                    </w:rPr>
                    <w:t>68.</w:t>
                  </w:r>
                  <w:r>
                    <w:rPr>
                      <w:rFonts w:ascii="仿宋_GB2312" w:hAnsi="仿宋_GB2312" w:cs="仿宋_GB2312" w:eastAsia="仿宋_GB2312"/>
                      <w:sz w:val="24"/>
                      <w:shd w:fill="FFFFFF" w:val="clear"/>
                    </w:rPr>
                    <w:t>额定功率</w:t>
                  </w:r>
                  <w:r>
                    <w:rPr>
                      <w:rFonts w:ascii="仿宋_GB2312" w:hAnsi="仿宋_GB2312" w:cs="仿宋_GB2312" w:eastAsia="仿宋_GB2312"/>
                      <w:sz w:val="24"/>
                      <w:color w:val="000000"/>
                      <w:shd w:fill="FFFFFF" w:val="clear"/>
                    </w:rPr>
                    <w:t>≥</w:t>
                  </w:r>
                  <w:r>
                    <w:rPr>
                      <w:rFonts w:ascii="仿宋_GB2312" w:hAnsi="仿宋_GB2312" w:cs="仿宋_GB2312" w:eastAsia="仿宋_GB2312"/>
                      <w:sz w:val="24"/>
                      <w:shd w:fill="FFFFFF" w:val="clear"/>
                    </w:rPr>
                    <w:t>50w</w:t>
                  </w:r>
                  <w:r>
                    <w:rPr>
                      <w:rFonts w:ascii="仿宋_GB2312" w:hAnsi="仿宋_GB2312" w:cs="仿宋_GB2312" w:eastAsia="仿宋_GB2312"/>
                      <w:sz w:val="24"/>
                      <w:shd w:fill="FFFFFF" w:val="clear"/>
                    </w:rPr>
                    <w:t>；</w:t>
                  </w:r>
                </w:p>
                <w:p>
                  <w:pPr>
                    <w:pStyle w:val="null3"/>
                    <w:ind w:left="420"/>
                    <w:jc w:val="left"/>
                  </w:pPr>
                  <w:r>
                    <w:rPr>
                      <w:rFonts w:ascii="仿宋_GB2312" w:hAnsi="仿宋_GB2312" w:cs="仿宋_GB2312" w:eastAsia="仿宋_GB2312"/>
                      <w:sz w:val="24"/>
                      <w:shd w:fill="FFFFFF" w:val="clear"/>
                    </w:rPr>
                    <w:t>69.</w:t>
                  </w:r>
                  <w:r>
                    <w:rPr>
                      <w:rFonts w:ascii="仿宋_GB2312" w:hAnsi="仿宋_GB2312" w:cs="仿宋_GB2312" w:eastAsia="仿宋_GB2312"/>
                      <w:sz w:val="24"/>
                      <w:shd w:fill="FFFFFF" w:val="clear"/>
                    </w:rPr>
                    <w:t>诱虫方式：光诱和色诱</w:t>
                  </w:r>
                  <w:r>
                    <w:rPr>
                      <w:rFonts w:ascii="仿宋_GB2312" w:hAnsi="仿宋_GB2312" w:cs="仿宋_GB2312" w:eastAsia="仿宋_GB2312"/>
                      <w:sz w:val="24"/>
                      <w:shd w:fill="FFFFFF" w:val="clear"/>
                    </w:rPr>
                    <w:t>；</w:t>
                  </w:r>
                </w:p>
                <w:p>
                  <w:pPr>
                    <w:pStyle w:val="null3"/>
                    <w:ind w:left="420"/>
                    <w:jc w:val="left"/>
                  </w:pPr>
                  <w:r>
                    <w:rPr>
                      <w:rFonts w:ascii="仿宋_GB2312" w:hAnsi="仿宋_GB2312" w:cs="仿宋_GB2312" w:eastAsia="仿宋_GB2312"/>
                      <w:sz w:val="24"/>
                      <w:shd w:fill="FFFFFF" w:val="clear"/>
                    </w:rPr>
                    <w:t>70.</w:t>
                  </w:r>
                  <w:r>
                    <w:rPr>
                      <w:rFonts w:ascii="仿宋_GB2312" w:hAnsi="仿宋_GB2312" w:cs="仿宋_GB2312" w:eastAsia="仿宋_GB2312"/>
                      <w:sz w:val="24"/>
                      <w:shd w:fill="FFFFFF" w:val="clear"/>
                    </w:rPr>
                    <w:t>杀虫方式：风吸和电击相互结合的方式。</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农情监测系统软件</w:t>
                  </w:r>
                </w:p>
              </w:tc>
              <w:tc>
                <w:tcPr>
                  <w:tcW w:type="dxa" w:w="2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平台包含</w:t>
                  </w:r>
                  <w:r>
                    <w:rPr>
                      <w:rFonts w:ascii="仿宋_GB2312" w:hAnsi="仿宋_GB2312" w:cs="仿宋_GB2312" w:eastAsia="仿宋_GB2312"/>
                      <w:sz w:val="24"/>
                    </w:rPr>
                    <w:t>四</w:t>
                  </w:r>
                  <w:r>
                    <w:rPr>
                      <w:rFonts w:ascii="仿宋_GB2312" w:hAnsi="仿宋_GB2312" w:cs="仿宋_GB2312" w:eastAsia="仿宋_GB2312"/>
                      <w:sz w:val="24"/>
                    </w:rPr>
                    <w:t>个功能性系统：害虫监测分析系统，视频</w:t>
                  </w:r>
                  <w:r>
                    <w:rPr>
                      <w:rFonts w:ascii="仿宋_GB2312" w:hAnsi="仿宋_GB2312" w:cs="仿宋_GB2312" w:eastAsia="仿宋_GB2312"/>
                      <w:sz w:val="24"/>
                    </w:rPr>
                    <w:t>监测</w:t>
                  </w:r>
                  <w:r>
                    <w:rPr>
                      <w:rFonts w:ascii="仿宋_GB2312" w:hAnsi="仿宋_GB2312" w:cs="仿宋_GB2312" w:eastAsia="仿宋_GB2312"/>
                      <w:sz w:val="24"/>
                    </w:rPr>
                    <w:t>系统，墒情监测分析系统，气象数据分析系统。</w:t>
                  </w:r>
                  <w:r>
                    <w:br/>
                  </w:r>
                  <w:r>
                    <w:rPr>
                      <w:rFonts w:ascii="仿宋_GB2312" w:hAnsi="仿宋_GB2312" w:cs="仿宋_GB2312" w:eastAsia="仿宋_GB2312"/>
                      <w:sz w:val="24"/>
                    </w:rPr>
                    <w:t>（一）</w:t>
                  </w:r>
                  <w:r>
                    <w:rPr>
                      <w:rFonts w:ascii="仿宋_GB2312" w:hAnsi="仿宋_GB2312" w:cs="仿宋_GB2312" w:eastAsia="仿宋_GB2312"/>
                      <w:sz w:val="24"/>
                      <w:b/>
                    </w:rPr>
                    <w:t>害虫监测分析系统：</w:t>
                  </w:r>
                </w:p>
                <w:p>
                  <w:pPr>
                    <w:pStyle w:val="null3"/>
                    <w:ind w:left="420"/>
                    <w:jc w:val="left"/>
                  </w:pPr>
                  <w:r>
                    <w:rPr>
                      <w:rFonts w:ascii="仿宋_GB2312" w:hAnsi="仿宋_GB2312" w:cs="仿宋_GB2312" w:eastAsia="仿宋_GB2312"/>
                      <w:sz w:val="24"/>
                    </w:rPr>
                    <w:t>71.</w:t>
                  </w:r>
                  <w:r>
                    <w:rPr>
                      <w:rFonts w:ascii="仿宋_GB2312" w:hAnsi="仿宋_GB2312" w:cs="仿宋_GB2312" w:eastAsia="仿宋_GB2312"/>
                      <w:sz w:val="24"/>
                    </w:rPr>
                    <w:t>▲</w:t>
                  </w:r>
                  <w:r>
                    <w:rPr>
                      <w:rFonts w:ascii="仿宋_GB2312" w:hAnsi="仿宋_GB2312" w:cs="仿宋_GB2312" w:eastAsia="仿宋_GB2312"/>
                      <w:sz w:val="24"/>
                    </w:rPr>
                    <w:t>图像采集：在设定的工作模式下，定时拍摄图片，并上传至平台，在图像列表中，可查看历史图像信息。根据拍摄图像，可自动识别图像内虫体，并自动标注计数。针对虫体识别内容，可人工进行矫正计数，查看昆虫基本信息，并增加或删减识别对象。</w:t>
                  </w:r>
                </w:p>
                <w:p>
                  <w:pPr>
                    <w:pStyle w:val="null3"/>
                    <w:ind w:left="420"/>
                    <w:jc w:val="left"/>
                  </w:pPr>
                  <w:r>
                    <w:rPr>
                      <w:rFonts w:ascii="仿宋_GB2312" w:hAnsi="仿宋_GB2312" w:cs="仿宋_GB2312" w:eastAsia="仿宋_GB2312"/>
                      <w:sz w:val="24"/>
                    </w:rPr>
                    <w:t>72.</w:t>
                  </w:r>
                  <w:r>
                    <w:rPr>
                      <w:rFonts w:ascii="仿宋_GB2312" w:hAnsi="仿宋_GB2312" w:cs="仿宋_GB2312" w:eastAsia="仿宋_GB2312"/>
                      <w:sz w:val="24"/>
                    </w:rPr>
                    <w:t>数据分析：自动汇总虫体识别数据，以曲线形式按天、周、月、季或自选时段来展示。可手动补录图表数据，并以</w:t>
                  </w:r>
                  <w:r>
                    <w:rPr>
                      <w:rFonts w:ascii="仿宋_GB2312" w:hAnsi="仿宋_GB2312" w:cs="仿宋_GB2312" w:eastAsia="仿宋_GB2312"/>
                      <w:sz w:val="24"/>
                    </w:rPr>
                    <w:t>excel形式导出图表数据，</w:t>
                  </w:r>
                  <w:r>
                    <w:rPr>
                      <w:rFonts w:ascii="仿宋_GB2312" w:hAnsi="仿宋_GB2312" w:cs="仿宋_GB2312" w:eastAsia="仿宋_GB2312"/>
                      <w:sz w:val="24"/>
                    </w:rPr>
                    <w:t>、</w:t>
                  </w:r>
                  <w:r>
                    <w:rPr>
                      <w:rFonts w:ascii="仿宋_GB2312" w:hAnsi="仿宋_GB2312" w:cs="仿宋_GB2312" w:eastAsia="仿宋_GB2312"/>
                      <w:sz w:val="24"/>
                    </w:rPr>
                    <w:t>支持图表下载</w:t>
                  </w:r>
                  <w:r>
                    <w:rPr>
                      <w:rFonts w:ascii="仿宋_GB2312" w:hAnsi="仿宋_GB2312" w:cs="仿宋_GB2312" w:eastAsia="仿宋_GB2312"/>
                      <w:sz w:val="24"/>
                    </w:rPr>
                    <w:t>。针对某一地区的害虫发生情况，可进行多年同期发生量比较。</w:t>
                  </w:r>
                </w:p>
                <w:p>
                  <w:pPr>
                    <w:pStyle w:val="null3"/>
                    <w:ind w:left="420"/>
                    <w:jc w:val="left"/>
                  </w:pPr>
                  <w:r>
                    <w:rPr>
                      <w:rFonts w:ascii="仿宋_GB2312" w:hAnsi="仿宋_GB2312" w:cs="仿宋_GB2312" w:eastAsia="仿宋_GB2312"/>
                      <w:sz w:val="24"/>
                    </w:rPr>
                    <w:t>73.</w:t>
                  </w:r>
                  <w:r>
                    <w:rPr>
                      <w:rFonts w:ascii="仿宋_GB2312" w:hAnsi="仿宋_GB2312" w:cs="仿宋_GB2312" w:eastAsia="仿宋_GB2312"/>
                      <w:sz w:val="24"/>
                    </w:rPr>
                    <w:t>设备管理：在平台上可远程查看设备当前工作状态（工作模式、地理位置、联网信息、设备电量信息），并远程控制设备灯管的开启、履带的运行、工作模式的更改、拍照时间间隔、恢复仪器出厂设置、密码修改和找回密码的修改等内容。另外可根据具体需要设置数据流量预警、电池电量预警、</w:t>
                  </w:r>
                  <w:r>
                    <w:rPr>
                      <w:rFonts w:ascii="仿宋_GB2312" w:hAnsi="仿宋_GB2312" w:cs="仿宋_GB2312" w:eastAsia="仿宋_GB2312"/>
                      <w:sz w:val="24"/>
                    </w:rPr>
                    <w:t>GPS防盗预警和虫害预警。</w:t>
                  </w:r>
                  <w:r>
                    <w:br/>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视频</w:t>
                  </w:r>
                  <w:r>
                    <w:rPr>
                      <w:rFonts w:ascii="仿宋_GB2312" w:hAnsi="仿宋_GB2312" w:cs="仿宋_GB2312" w:eastAsia="仿宋_GB2312"/>
                      <w:sz w:val="24"/>
                    </w:rPr>
                    <w:t>监测</w:t>
                  </w:r>
                  <w:r>
                    <w:rPr>
                      <w:rFonts w:ascii="仿宋_GB2312" w:hAnsi="仿宋_GB2312" w:cs="仿宋_GB2312" w:eastAsia="仿宋_GB2312"/>
                      <w:sz w:val="24"/>
                    </w:rPr>
                    <w:t>系统：</w:t>
                  </w:r>
                </w:p>
                <w:p>
                  <w:pPr>
                    <w:pStyle w:val="null3"/>
                    <w:ind w:left="420"/>
                    <w:jc w:val="left"/>
                  </w:pPr>
                  <w:r>
                    <w:rPr>
                      <w:rFonts w:ascii="仿宋_GB2312" w:hAnsi="仿宋_GB2312" w:cs="仿宋_GB2312" w:eastAsia="仿宋_GB2312"/>
                      <w:sz w:val="24"/>
                    </w:rPr>
                    <w:t>74.</w:t>
                  </w:r>
                  <w:r>
                    <w:rPr>
                      <w:rFonts w:ascii="仿宋_GB2312" w:hAnsi="仿宋_GB2312" w:cs="仿宋_GB2312" w:eastAsia="仿宋_GB2312"/>
                      <w:sz w:val="24"/>
                    </w:rPr>
                    <w:t>▲数据采集：在制定区域安装远红外摄像球机，管理者通过视频</w:t>
                  </w:r>
                  <w:r>
                    <w:rPr>
                      <w:rFonts w:ascii="仿宋_GB2312" w:hAnsi="仿宋_GB2312" w:cs="仿宋_GB2312" w:eastAsia="仿宋_GB2312"/>
                      <w:sz w:val="24"/>
                    </w:rPr>
                    <w:t>监测</w:t>
                  </w:r>
                  <w:r>
                    <w:rPr>
                      <w:rFonts w:ascii="仿宋_GB2312" w:hAnsi="仿宋_GB2312" w:cs="仿宋_GB2312" w:eastAsia="仿宋_GB2312"/>
                      <w:sz w:val="24"/>
                    </w:rPr>
                    <w:t>系统可清晰直观的实时查看种植区作物的生长及病虫害情况，并对突发性异常事件的过程进行及时监视和记录。远程视频在远程</w:t>
                  </w:r>
                  <w:r>
                    <w:rPr>
                      <w:rFonts w:ascii="仿宋_GB2312" w:hAnsi="仿宋_GB2312" w:cs="仿宋_GB2312" w:eastAsia="仿宋_GB2312"/>
                      <w:sz w:val="24"/>
                    </w:rPr>
                    <w:t>WEB端自动控制摄像头的云台动作；采集的视频帧速、图像大小可调节。移动应急终端（手机APP监控平台）。登录后可实时视频查看仪器周边情况。多通道同屏展示，同时展示相应区域的环境土壤参数，可远程调整摄像头角度、变焦、变倍、光圈等参数，可对视频进行在线录制、抓图，可实时回放视频并能快进、倒放等功能。</w:t>
                  </w:r>
                </w:p>
                <w:p>
                  <w:pPr>
                    <w:pStyle w:val="null3"/>
                    <w:ind w:left="420"/>
                    <w:jc w:val="left"/>
                  </w:pPr>
                  <w:r>
                    <w:rPr>
                      <w:rFonts w:ascii="仿宋_GB2312" w:hAnsi="仿宋_GB2312" w:cs="仿宋_GB2312" w:eastAsia="仿宋_GB2312"/>
                      <w:sz w:val="24"/>
                    </w:rPr>
                    <w:t>75.</w:t>
                  </w:r>
                  <w:r>
                    <w:rPr>
                      <w:rFonts w:ascii="仿宋_GB2312" w:hAnsi="仿宋_GB2312" w:cs="仿宋_GB2312" w:eastAsia="仿宋_GB2312"/>
                      <w:sz w:val="24"/>
                    </w:rPr>
                    <w:t>设备管理：可以远程设定设备的工作状态，（自动或者手动启动）如流量，</w:t>
                  </w:r>
                  <w:r>
                    <w:rPr>
                      <w:rFonts w:ascii="仿宋_GB2312" w:hAnsi="仿宋_GB2312" w:cs="仿宋_GB2312" w:eastAsia="仿宋_GB2312"/>
                      <w:sz w:val="24"/>
                    </w:rPr>
                    <w:t>GPS位置，故障等信息及管理。</w:t>
                  </w:r>
                </w:p>
                <w:p>
                  <w:pPr>
                    <w:pStyle w:val="null3"/>
                    <w:ind w:left="420"/>
                    <w:jc w:val="left"/>
                  </w:pPr>
                  <w:r>
                    <w:rPr>
                      <w:rFonts w:ascii="仿宋_GB2312" w:hAnsi="仿宋_GB2312" w:cs="仿宋_GB2312" w:eastAsia="仿宋_GB2312"/>
                      <w:sz w:val="24"/>
                    </w:rPr>
                    <w:t>76.</w:t>
                  </w:r>
                  <w:r>
                    <w:rPr>
                      <w:rFonts w:ascii="仿宋_GB2312" w:hAnsi="仿宋_GB2312" w:cs="仿宋_GB2312" w:eastAsia="仿宋_GB2312"/>
                      <w:sz w:val="24"/>
                    </w:rPr>
                    <w:t>墒情监测分析系统：选择土壤相关数据传感器和工作时段，以图表方式展示具体数值；</w:t>
                  </w:r>
                </w:p>
                <w:p>
                  <w:pPr>
                    <w:pStyle w:val="null3"/>
                    <w:ind w:left="420"/>
                    <w:jc w:val="left"/>
                  </w:pPr>
                  <w:r>
                    <w:rPr>
                      <w:rFonts w:ascii="仿宋_GB2312" w:hAnsi="仿宋_GB2312" w:cs="仿宋_GB2312" w:eastAsia="仿宋_GB2312"/>
                      <w:sz w:val="24"/>
                    </w:rPr>
                    <w:t>77.</w:t>
                  </w:r>
                  <w:r>
                    <w:rPr>
                      <w:rFonts w:ascii="仿宋_GB2312" w:hAnsi="仿宋_GB2312" w:cs="仿宋_GB2312" w:eastAsia="仿宋_GB2312"/>
                      <w:sz w:val="24"/>
                    </w:rPr>
                    <w:t>气象数据分析系统：提供气象系统的空气温</w:t>
                  </w:r>
                  <w:r>
                    <w:rPr>
                      <w:rFonts w:ascii="仿宋_GB2312" w:hAnsi="仿宋_GB2312" w:cs="仿宋_GB2312" w:eastAsia="仿宋_GB2312"/>
                      <w:sz w:val="24"/>
                    </w:rPr>
                    <w:t>/湿度、光照度、二氧化碳、病虫害监测数据的历史数据查询功能。历史数据查询、历史数据对比分析、历史数据备份、报警信息查询、设备状态查询、用户日志查询。数据中心同时可以将空气温度、空气湿度、二氧化碳浓度等环境监测数据以及环境预警事件信息以图表形成统计报表。分析各参数变化对作物生长产生的影响；可将数据测量结果存储为报表形式，对各参数进行分析和浏览。图片数据中心可以查看当前基地中作物每天生长情况，并根据具体数据分析作物生长态势。</w:t>
                  </w:r>
                </w:p>
                <w:p>
                  <w:pPr>
                    <w:pStyle w:val="null3"/>
                    <w:ind w:left="420"/>
                    <w:jc w:val="left"/>
                  </w:pPr>
                  <w:r>
                    <w:rPr>
                      <w:rFonts w:ascii="仿宋_GB2312" w:hAnsi="仿宋_GB2312" w:cs="仿宋_GB2312" w:eastAsia="仿宋_GB2312"/>
                      <w:sz w:val="24"/>
                    </w:rPr>
                    <w:t>78.</w:t>
                  </w:r>
                  <w:r>
                    <w:rPr>
                      <w:rFonts w:ascii="仿宋_GB2312" w:hAnsi="仿宋_GB2312" w:cs="仿宋_GB2312" w:eastAsia="仿宋_GB2312"/>
                      <w:sz w:val="24"/>
                    </w:rPr>
                    <w:t>用户管理：可查看所有系统账户的登陆情况及登录记录以及新增不同用户的权限</w:t>
                  </w:r>
                  <w:r>
                    <w:rPr>
                      <w:rFonts w:ascii="仿宋_GB2312" w:hAnsi="仿宋_GB2312" w:cs="仿宋_GB2312" w:eastAsia="仿宋_GB2312"/>
                      <w:sz w:val="24"/>
                    </w:rPr>
                    <w:t>，</w:t>
                  </w:r>
                  <w:r>
                    <w:rPr>
                      <w:rFonts w:ascii="仿宋_GB2312" w:hAnsi="仿宋_GB2312" w:cs="仿宋_GB2312" w:eastAsia="仿宋_GB2312"/>
                      <w:sz w:val="24"/>
                    </w:rPr>
                    <w:t>具有软件著作权</w:t>
                  </w:r>
                  <w:r>
                    <w:rPr>
                      <w:rFonts w:ascii="仿宋_GB2312" w:hAnsi="仿宋_GB2312" w:cs="仿宋_GB2312" w:eastAsia="仿宋_GB2312"/>
                      <w:sz w:val="24"/>
                    </w:rPr>
                    <w:t>。</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现有拼接大屏与网络改造</w:t>
                  </w:r>
                </w:p>
              </w:tc>
              <w:tc>
                <w:tcPr>
                  <w:tcW w:type="dxa" w:w="2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4"/>
                      <w:color w:val="000000"/>
                    </w:rPr>
                    <w:t>79.</w:t>
                  </w:r>
                  <w:r>
                    <w:rPr>
                      <w:rFonts w:ascii="仿宋_GB2312" w:hAnsi="仿宋_GB2312" w:cs="仿宋_GB2312" w:eastAsia="仿宋_GB2312"/>
                      <w:sz w:val="24"/>
                      <w:color w:val="000000"/>
                    </w:rPr>
                    <w:t>网络专线配置：为园区数智化管控展示中心提供</w:t>
                  </w:r>
                  <w:r>
                    <w:rPr>
                      <w:rFonts w:ascii="仿宋_GB2312" w:hAnsi="仿宋_GB2312" w:cs="仿宋_GB2312" w:eastAsia="仿宋_GB2312"/>
                      <w:sz w:val="24"/>
                      <w:color w:val="000000"/>
                    </w:rPr>
                    <w:t>≥ 50M 光纤宽带专线，固定公网 IP，上下行对称带宽，网络延迟≤20ms，丢包率≤0.1%，7×24 小时运营商网络运维保障。</w:t>
                  </w:r>
                </w:p>
                <w:p>
                  <w:pPr>
                    <w:pStyle w:val="null3"/>
                    <w:ind w:left="420"/>
                    <w:jc w:val="left"/>
                  </w:pPr>
                  <w:r>
                    <w:rPr>
                      <w:rFonts w:ascii="仿宋_GB2312" w:hAnsi="仿宋_GB2312" w:cs="仿宋_GB2312" w:eastAsia="仿宋_GB2312"/>
                      <w:sz w:val="24"/>
                      <w:color w:val="000000"/>
                    </w:rPr>
                    <w:t>80.</w:t>
                  </w:r>
                  <w:r>
                    <w:rPr>
                      <w:rFonts w:ascii="仿宋_GB2312" w:hAnsi="仿宋_GB2312" w:cs="仿宋_GB2312" w:eastAsia="仿宋_GB2312"/>
                      <w:sz w:val="24"/>
                      <w:color w:val="000000"/>
                    </w:rPr>
                    <w:t>机房网络配套改造：配套升级中心机房交换机、路由器、防火墙设备，支持千兆内网传输，划分独立业务</w:t>
                  </w:r>
                  <w:r>
                    <w:rPr>
                      <w:rFonts w:ascii="仿宋_GB2312" w:hAnsi="仿宋_GB2312" w:cs="仿宋_GB2312" w:eastAsia="仿宋_GB2312"/>
                      <w:sz w:val="24"/>
                      <w:color w:val="000000"/>
                    </w:rPr>
                    <w:t>VLAN，监测设备、视频监控、LED 显示屏、大屏系统分区隔离，具备流量管控、访问权限分级、网络攻击防护功能。</w:t>
                  </w:r>
                </w:p>
                <w:p>
                  <w:pPr>
                    <w:pStyle w:val="null3"/>
                    <w:ind w:firstLine="482"/>
                    <w:jc w:val="left"/>
                  </w:pPr>
                  <w:r>
                    <w:rPr>
                      <w:rFonts w:ascii="仿宋_GB2312" w:hAnsi="仿宋_GB2312" w:cs="仿宋_GB2312" w:eastAsia="仿宋_GB2312"/>
                      <w:sz w:val="24"/>
                      <w:b/>
                      <w:color w:val="000000"/>
                    </w:rPr>
                    <w:t>拼接大屏系统改造：</w:t>
                  </w:r>
                </w:p>
                <w:p>
                  <w:pPr>
                    <w:pStyle w:val="null3"/>
                    <w:ind w:left="420"/>
                    <w:jc w:val="left"/>
                  </w:pPr>
                  <w:r>
                    <w:rPr>
                      <w:rFonts w:ascii="仿宋_GB2312" w:hAnsi="仿宋_GB2312" w:cs="仿宋_GB2312" w:eastAsia="仿宋_GB2312"/>
                      <w:sz w:val="24"/>
                      <w:color w:val="000000"/>
                    </w:rPr>
                    <w:t>81.</w:t>
                  </w:r>
                  <w:r>
                    <w:rPr>
                      <w:rFonts w:ascii="仿宋_GB2312" w:hAnsi="仿宋_GB2312" w:cs="仿宋_GB2312" w:eastAsia="仿宋_GB2312"/>
                      <w:sz w:val="24"/>
                      <w:color w:val="000000"/>
                    </w:rPr>
                    <w:t>支持</w:t>
                  </w:r>
                  <w:r>
                    <w:rPr>
                      <w:rFonts w:ascii="仿宋_GB2312" w:hAnsi="仿宋_GB2312" w:cs="仿宋_GB2312" w:eastAsia="仿宋_GB2312"/>
                      <w:sz w:val="24"/>
                      <w:color w:val="000000"/>
                    </w:rPr>
                    <w:t>4K 高清输入，支持任意画面分割、跨屏漫游、画面叠加、信号轮巡；同时展示气象监测、虫情测报、孢子捕捉、园区视频、灾情预警、设备运行状态等数据。</w:t>
                  </w:r>
                </w:p>
                <w:p>
                  <w:pPr>
                    <w:pStyle w:val="null3"/>
                    <w:ind w:left="420"/>
                    <w:jc w:val="left"/>
                  </w:pPr>
                  <w:r>
                    <w:rPr>
                      <w:rFonts w:ascii="仿宋_GB2312" w:hAnsi="仿宋_GB2312" w:cs="仿宋_GB2312" w:eastAsia="仿宋_GB2312"/>
                      <w:sz w:val="24"/>
                      <w:color w:val="000000"/>
                    </w:rPr>
                    <w:t>82.</w:t>
                  </w:r>
                  <w:r>
                    <w:rPr>
                      <w:rFonts w:ascii="仿宋_GB2312" w:hAnsi="仿宋_GB2312" w:cs="仿宋_GB2312" w:eastAsia="仿宋_GB2312"/>
                      <w:sz w:val="24"/>
                      <w:color w:val="000000"/>
                    </w:rPr>
                    <w:t>配套图像处理器、分布式解码主机、传输线缆、机柜、散热、供电稳压装置，支持本地存储</w:t>
                  </w:r>
                  <w:r>
                    <w:rPr>
                      <w:rFonts w:ascii="仿宋_GB2312" w:hAnsi="仿宋_GB2312" w:cs="仿宋_GB2312" w:eastAsia="仿宋_GB2312"/>
                      <w:sz w:val="24"/>
                      <w:color w:val="000000"/>
                    </w:rPr>
                    <w:t>+ 云端同步展示，兼容本项目所有监测硬件、农情监测软件数据接口，无需额外二次开发。</w:t>
                  </w:r>
                </w:p>
                <w:p>
                  <w:pPr>
                    <w:pStyle w:val="null3"/>
                    <w:ind w:left="420"/>
                    <w:jc w:val="left"/>
                  </w:pPr>
                  <w:r>
                    <w:rPr>
                      <w:rFonts w:ascii="仿宋_GB2312" w:hAnsi="仿宋_GB2312" w:cs="仿宋_GB2312" w:eastAsia="仿宋_GB2312"/>
                      <w:sz w:val="24"/>
                      <w:color w:val="000000"/>
                    </w:rPr>
                    <w:t>83.</w:t>
                  </w:r>
                  <w:r>
                    <w:rPr>
                      <w:rFonts w:ascii="仿宋_GB2312" w:hAnsi="仿宋_GB2312" w:cs="仿宋_GB2312" w:eastAsia="仿宋_GB2312"/>
                      <w:sz w:val="24"/>
                      <w:color w:val="000000"/>
                    </w:rPr>
                    <w:t>具备</w:t>
                  </w:r>
                  <w:r>
                    <w:rPr>
                      <w:rFonts w:ascii="仿宋_GB2312" w:hAnsi="仿宋_GB2312" w:cs="仿宋_GB2312" w:eastAsia="仿宋_GB2312"/>
                      <w:sz w:val="24"/>
                      <w:color w:val="000000"/>
                    </w:rPr>
                    <w:t>7×24 小时连续运行能力，支持定时开关机、故障自动弹窗报警，预留后期设备扩容、点位新增拓展接口。</w:t>
                  </w:r>
                </w:p>
                <w:p>
                  <w:pPr>
                    <w:pStyle w:val="null3"/>
                    <w:ind w:left="420"/>
                    <w:jc w:val="left"/>
                  </w:pPr>
                  <w:r>
                    <w:rPr>
                      <w:rFonts w:ascii="仿宋_GB2312" w:hAnsi="仿宋_GB2312" w:cs="仿宋_GB2312" w:eastAsia="仿宋_GB2312"/>
                      <w:sz w:val="24"/>
                    </w:rPr>
                    <w:t>84.</w:t>
                  </w:r>
                  <w:r>
                    <w:rPr>
                      <w:rFonts w:ascii="仿宋_GB2312" w:hAnsi="仿宋_GB2312" w:cs="仿宋_GB2312" w:eastAsia="仿宋_GB2312"/>
                      <w:sz w:val="24"/>
                      <w:color w:val="000000"/>
                    </w:rPr>
                    <w:t>施工与兼容性：包含机房线路重新布线、强弱电分离、线路套管防护、设备机柜安装、系统联调、信号校准、网络优化；整体系统与气象站、虫情灯、监控、</w:t>
                  </w:r>
                  <w:r>
                    <w:rPr>
                      <w:rFonts w:ascii="仿宋_GB2312" w:hAnsi="仿宋_GB2312" w:cs="仿宋_GB2312" w:eastAsia="仿宋_GB2312"/>
                      <w:sz w:val="24"/>
                      <w:color w:val="000000"/>
                    </w:rPr>
                    <w:t>LED 屏等全部前端设备无缝对接，数据互通。</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监测数据的同屏显示设计</w:t>
                  </w:r>
                </w:p>
              </w:tc>
              <w:tc>
                <w:tcPr>
                  <w:tcW w:type="dxa" w:w="2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4"/>
                      <w:color w:val="000000"/>
                    </w:rPr>
                    <w:t>85.</w:t>
                  </w:r>
                  <w:r>
                    <w:rPr>
                      <w:rFonts w:ascii="仿宋_GB2312" w:hAnsi="仿宋_GB2312" w:cs="仿宋_GB2312" w:eastAsia="仿宋_GB2312"/>
                      <w:sz w:val="24"/>
                      <w:color w:val="000000"/>
                    </w:rPr>
                    <w:t>园区无线网络优化覆盖：对实训基地全区域</w:t>
                  </w:r>
                  <w:r>
                    <w:rPr>
                      <w:rFonts w:ascii="仿宋_GB2312" w:hAnsi="仿宋_GB2312" w:cs="仿宋_GB2312" w:eastAsia="仿宋_GB2312"/>
                      <w:sz w:val="24"/>
                      <w:color w:val="000000"/>
                    </w:rPr>
                    <w:t>4G 信号进行勘测、信号补强，新增信号放大器、室外基站辅件，消除大棚、建筑物遮挡形成的无信号盲区。</w:t>
                  </w:r>
                </w:p>
                <w:p>
                  <w:pPr>
                    <w:pStyle w:val="null3"/>
                    <w:ind w:left="420"/>
                    <w:jc w:val="left"/>
                  </w:pPr>
                  <w:r>
                    <w:rPr>
                      <w:rFonts w:ascii="仿宋_GB2312" w:hAnsi="仿宋_GB2312" w:cs="仿宋_GB2312" w:eastAsia="仿宋_GB2312"/>
                      <w:sz w:val="24"/>
                      <w:color w:val="000000"/>
                    </w:rPr>
                    <w:t>86.</w:t>
                  </w:r>
                  <w:r>
                    <w:rPr>
                      <w:rFonts w:ascii="仿宋_GB2312" w:hAnsi="仿宋_GB2312" w:cs="仿宋_GB2312" w:eastAsia="仿宋_GB2312"/>
                      <w:sz w:val="24"/>
                      <w:color w:val="000000"/>
                    </w:rPr>
                    <w:t>带宽资源分配：每路监控摄像头独立分配</w:t>
                  </w:r>
                  <w:r>
                    <w:rPr>
                      <w:rFonts w:ascii="仿宋_GB2312" w:hAnsi="仿宋_GB2312" w:cs="仿宋_GB2312" w:eastAsia="仿宋_GB2312"/>
                      <w:sz w:val="24"/>
                      <w:color w:val="000000"/>
                    </w:rPr>
                    <w:t>≥4M 上行固定带宽，保障实时视频流、定时抓拍图片、设备监测数据同步上传，单点位并发上传无延迟、无丢帧。</w:t>
                  </w:r>
                </w:p>
                <w:p>
                  <w:pPr>
                    <w:pStyle w:val="null3"/>
                    <w:ind w:left="420"/>
                    <w:jc w:val="left"/>
                  </w:pPr>
                  <w:r>
                    <w:rPr>
                      <w:rFonts w:ascii="仿宋_GB2312" w:hAnsi="仿宋_GB2312" w:cs="仿宋_GB2312" w:eastAsia="仿宋_GB2312"/>
                      <w:sz w:val="24"/>
                      <w:color w:val="000000"/>
                    </w:rPr>
                    <w:t>87.</w:t>
                  </w:r>
                  <w:r>
                    <w:rPr>
                      <w:rFonts w:ascii="仿宋_GB2312" w:hAnsi="仿宋_GB2312" w:cs="仿宋_GB2312" w:eastAsia="仿宋_GB2312"/>
                      <w:sz w:val="24"/>
                      <w:color w:val="000000"/>
                    </w:rPr>
                    <w:t>同屏可视化平台功能：配套开发数据同屏可视化模块，统一接入气象、虫情、墒情、生境监控、</w:t>
                  </w:r>
                  <w:r>
                    <w:rPr>
                      <w:rFonts w:ascii="仿宋_GB2312" w:hAnsi="仿宋_GB2312" w:cs="仿宋_GB2312" w:eastAsia="仿宋_GB2312"/>
                      <w:sz w:val="24"/>
                      <w:color w:val="000000"/>
                    </w:rPr>
                    <w:t>LED 屏全部监测数据；支持分级灾情预警弹窗、数据曲线实时刷新、设备在线状态标识、异常故障红色提醒；支持单点位调取、分组轮巡、全域总览三种展示模式，电脑、手机、中心大屏三端数据同步。</w:t>
                  </w:r>
                </w:p>
                <w:p>
                  <w:pPr>
                    <w:pStyle w:val="null3"/>
                    <w:ind w:left="420"/>
                    <w:jc w:val="left"/>
                  </w:pPr>
                  <w:r>
                    <w:rPr>
                      <w:rFonts w:ascii="仿宋_GB2312" w:hAnsi="仿宋_GB2312" w:cs="仿宋_GB2312" w:eastAsia="仿宋_GB2312"/>
                      <w:sz w:val="24"/>
                      <w:color w:val="000000"/>
                    </w:rPr>
                    <w:t>88.</w:t>
                  </w:r>
                  <w:r>
                    <w:rPr>
                      <w:rFonts w:ascii="仿宋_GB2312" w:hAnsi="仿宋_GB2312" w:cs="仿宋_GB2312" w:eastAsia="仿宋_GB2312"/>
                      <w:sz w:val="24"/>
                      <w:color w:val="000000"/>
                    </w:rPr>
                    <w:t>流量服务周期：提供</w:t>
                  </w:r>
                  <w:r>
                    <w:rPr>
                      <w:rFonts w:ascii="仿宋_GB2312" w:hAnsi="仿宋_GB2312" w:cs="仿宋_GB2312" w:eastAsia="仿宋_GB2312"/>
                      <w:sz w:val="24"/>
                      <w:color w:val="000000"/>
                    </w:rPr>
                    <w:t>5 年 4G 视频流量、数据传输流量、云端平台托管服务费，服务期内不限上传次数、不限存储容量，无额外流量增值收费；到期提供续约优惠方案。</w:t>
                  </w:r>
                </w:p>
                <w:p>
                  <w:pPr>
                    <w:pStyle w:val="null3"/>
                    <w:ind w:left="420"/>
                    <w:jc w:val="left"/>
                  </w:pPr>
                  <w:r>
                    <w:rPr>
                      <w:rFonts w:ascii="仿宋_GB2312" w:hAnsi="仿宋_GB2312" w:cs="仿宋_GB2312" w:eastAsia="仿宋_GB2312"/>
                      <w:sz w:val="24"/>
                    </w:rPr>
                    <w:t>89.</w:t>
                  </w:r>
                  <w:r>
                    <w:rPr>
                      <w:rFonts w:ascii="仿宋_GB2312" w:hAnsi="仿宋_GB2312" w:cs="仿宋_GB2312" w:eastAsia="仿宋_GB2312"/>
                      <w:sz w:val="24"/>
                      <w:color w:val="000000"/>
                    </w:rPr>
                    <w:t>数据存储配套：配套云端存储服务，视频录像留存</w:t>
                  </w:r>
                  <w:r>
                    <w:rPr>
                      <w:rFonts w:ascii="仿宋_GB2312" w:hAnsi="仿宋_GB2312" w:cs="仿宋_GB2312" w:eastAsia="仿宋_GB2312"/>
                      <w:sz w:val="24"/>
                      <w:color w:val="000000"/>
                    </w:rPr>
                    <w:t>≥ 30 天，监测原始数据永久归档，支持数据导出、报表自动生成。</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设备安装基础及附件耗材</w:t>
                  </w:r>
                </w:p>
              </w:tc>
              <w:tc>
                <w:tcPr>
                  <w:tcW w:type="dxa" w:w="2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4"/>
                      <w:color w:val="000000"/>
                    </w:rPr>
                    <w:t>90.</w:t>
                  </w:r>
                  <w:r>
                    <w:rPr>
                      <w:rFonts w:ascii="仿宋_GB2312" w:hAnsi="仿宋_GB2312" w:cs="仿宋_GB2312" w:eastAsia="仿宋_GB2312"/>
                      <w:sz w:val="24"/>
                      <w:color w:val="000000"/>
                    </w:rPr>
                    <w:t>土建基础耗材：包含气象站、虫情测报灯、孢子捕捉仪、频振杀虫灯、监控立杆设备混凝土基础钢筋、水泥、砂石、预埋螺栓、接地极、接地扁铁等土建预埋材料，所有预埋件做防腐防锈处理。</w:t>
                  </w:r>
                </w:p>
                <w:p>
                  <w:pPr>
                    <w:pStyle w:val="null3"/>
                    <w:ind w:left="420"/>
                    <w:jc w:val="left"/>
                  </w:pPr>
                  <w:r>
                    <w:rPr>
                      <w:rFonts w:ascii="仿宋_GB2312" w:hAnsi="仿宋_GB2312" w:cs="仿宋_GB2312" w:eastAsia="仿宋_GB2312"/>
                      <w:sz w:val="24"/>
                      <w:color w:val="000000"/>
                    </w:rPr>
                    <w:t>91.</w:t>
                  </w:r>
                  <w:r>
                    <w:rPr>
                      <w:rFonts w:ascii="仿宋_GB2312" w:hAnsi="仿宋_GB2312" w:cs="仿宋_GB2312" w:eastAsia="仿宋_GB2312"/>
                      <w:sz w:val="24"/>
                      <w:color w:val="000000"/>
                    </w:rPr>
                    <w:t>安装辅材配件：全套设备专用不锈钢固定支架、抱箍、防水接线盒、防水接头、绝缘套管、镀锌线管、膨胀螺栓、密封胶、防雨防尘护罩、防雷接地配件、浪涌保护器等；所有户外耗材达到国标户外防腐标准，耐高低温、抗老化。</w:t>
                  </w:r>
                </w:p>
                <w:p>
                  <w:pPr>
                    <w:pStyle w:val="null3"/>
                    <w:ind w:left="420"/>
                    <w:jc w:val="left"/>
                  </w:pPr>
                  <w:r>
                    <w:rPr>
                      <w:rFonts w:ascii="仿宋_GB2312" w:hAnsi="仿宋_GB2312" w:cs="仿宋_GB2312" w:eastAsia="仿宋_GB2312"/>
                      <w:sz w:val="24"/>
                      <w:color w:val="000000"/>
                    </w:rPr>
                    <w:t>92.</w:t>
                  </w:r>
                  <w:r>
                    <w:rPr>
                      <w:rFonts w:ascii="仿宋_GB2312" w:hAnsi="仿宋_GB2312" w:cs="仿宋_GB2312" w:eastAsia="仿宋_GB2312"/>
                      <w:sz w:val="24"/>
                      <w:color w:val="000000"/>
                    </w:rPr>
                    <w:t>传输供电耗材：国标铜芯电源线、屏蔽信号线、超五类</w:t>
                  </w:r>
                  <w:r>
                    <w:rPr>
                      <w:rFonts w:ascii="仿宋_GB2312" w:hAnsi="仿宋_GB2312" w:cs="仿宋_GB2312" w:eastAsia="仿宋_GB2312"/>
                      <w:sz w:val="24"/>
                      <w:color w:val="000000"/>
                    </w:rPr>
                    <w:t>/ 六类网线、光纤、光纤收发器、电源适配器、空开、配电箱、稳压电源等，强弱电管线分开布设，具备短路、漏电、过载保护。</w:t>
                  </w:r>
                </w:p>
                <w:p>
                  <w:pPr>
                    <w:pStyle w:val="null3"/>
                    <w:ind w:left="420"/>
                    <w:jc w:val="left"/>
                  </w:pPr>
                  <w:r>
                    <w:rPr>
                      <w:rFonts w:ascii="仿宋_GB2312" w:hAnsi="仿宋_GB2312" w:cs="仿宋_GB2312" w:eastAsia="仿宋_GB2312"/>
                      <w:sz w:val="24"/>
                      <w:color w:val="000000"/>
                    </w:rPr>
                    <w:t>93.</w:t>
                  </w:r>
                  <w:r>
                    <w:rPr>
                      <w:rFonts w:ascii="仿宋_GB2312" w:hAnsi="仿宋_GB2312" w:cs="仿宋_GB2312" w:eastAsia="仿宋_GB2312"/>
                      <w:sz w:val="24"/>
                      <w:color w:val="000000"/>
                    </w:rPr>
                    <w:t>备用损耗耗材：配套足量备用保险丝、灯管、载玻片、滤网、密封垫、传感器防护膜等易损耗配件，保障实训基地日常教学运维更换使用。</w:t>
                  </w:r>
                </w:p>
                <w:p>
                  <w:pPr>
                    <w:pStyle w:val="null3"/>
                    <w:jc w:val="left"/>
                  </w:pPr>
                  <w:r>
                    <w:rPr>
                      <w:rFonts w:ascii="仿宋_GB2312" w:hAnsi="仿宋_GB2312" w:cs="仿宋_GB2312" w:eastAsia="仿宋_GB2312"/>
                      <w:sz w:val="24"/>
                      <w:b/>
                      <w:color w:val="000000"/>
                    </w:rPr>
                    <w:t>注：以上耗材规格及数量以满足实际工程需要为准。</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安装调试培训</w:t>
                  </w:r>
                </w:p>
              </w:tc>
              <w:tc>
                <w:tcPr>
                  <w:tcW w:type="dxa" w:w="2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1.现场安装调试服务</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1）全流程安装：所有设备卸货搬运、点位勘测定位、基础浇筑预埋、立杆架设、设备固定、管线铺设、防雷接地施工、供电接线、终端设备上架组装全部包含。</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系统联调校准：单台设备通电调试、传感器精度校准、摄像头对焦与夜视调试、联网参数配置、软件系统接入、大屏同屏联动调试、网络带宽优化、预警阈值设置；全部设备、软件联动运行测试，确保所有监测数据采集、传输、展示、报警功能 100% 达标。</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3）故障整改：调试期间出现设备不通、数据异常、画面卡顿、预警失效等问题，免费现场整改、更换辅材，直至系统整体验收合格。</w:t>
                  </w:r>
                </w:p>
                <w:p>
                  <w:pPr>
                    <w:pStyle w:val="null3"/>
                    <w:jc w:val="left"/>
                  </w:pPr>
                  <w:r>
                    <w:rPr>
                      <w:rFonts w:ascii="仿宋_GB2312" w:hAnsi="仿宋_GB2312" w:cs="仿宋_GB2312" w:eastAsia="仿宋_GB2312"/>
                      <w:sz w:val="24"/>
                      <w:color w:val="000000"/>
                    </w:rPr>
                    <w:t>2.师生专项实训培训服务</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分层培训：分为管理员操作培训、学生实训操作培训两类；管理员掌握设备参数配置、故障排查、后台数据管理、报表导出；学生掌握田间设备实操、仪器读数、数据记录、简易数据分析，适配农业实训课程教学。</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2）培训形式：现场实操教学 + 集中理论讲解，提供纸质操作手册、电子图文教程、教学演示视频；培训不少于 2 次，每次培训时长≥4 小时。</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3）远程持续技术支持：项目交付后提供终身免费远程指导，线上解答设备操作、系统使用问题；每年 1 次免费上门回访校准维护。</w:t>
                  </w:r>
                </w:p>
                <w:p>
                  <w:pPr>
                    <w:pStyle w:val="null3"/>
                    <w:jc w:val="left"/>
                  </w:pPr>
                  <w:r>
                    <w:rPr>
                      <w:rFonts w:ascii="仿宋_GB2312" w:hAnsi="仿宋_GB2312" w:cs="仿宋_GB2312" w:eastAsia="仿宋_GB2312"/>
                      <w:sz w:val="24"/>
                      <w:color w:val="000000"/>
                    </w:rPr>
                    <w:t>3.验收配套服务</w:t>
                  </w:r>
                </w:p>
                <w:p>
                  <w:pPr>
                    <w:pStyle w:val="null3"/>
                    <w:jc w:val="left"/>
                  </w:pPr>
                  <w:r>
                    <w:rPr>
                      <w:rFonts w:ascii="仿宋_GB2312" w:hAnsi="仿宋_GB2312" w:cs="仿宋_GB2312" w:eastAsia="仿宋_GB2312"/>
                      <w:sz w:val="24"/>
                      <w:color w:val="000000"/>
                    </w:rPr>
                    <w:t>配合学校完成项目竣工验收，整理全套设备台账、参数报告、校准记录、培训记录，协助完成审计、实训教学资料归档。</w:t>
                  </w:r>
                </w:p>
              </w:tc>
            </w:tr>
          </w:tbl>
          <w:p>
            <w:pPr>
              <w:pStyle w:val="null3"/>
              <w:jc w:val="both"/>
            </w:pPr>
            <w:r>
              <w:rPr>
                <w:rFonts w:ascii="仿宋_GB2312" w:hAnsi="仿宋_GB2312" w:cs="仿宋_GB2312" w:eastAsia="仿宋_GB2312"/>
                <w:sz w:val="24"/>
                <w:b/>
              </w:rPr>
              <w:t>备注：</w:t>
            </w:r>
            <w:r>
              <w:rPr>
                <w:rFonts w:ascii="仿宋_GB2312" w:hAnsi="仿宋_GB2312" w:cs="仿宋_GB2312" w:eastAsia="仿宋_GB2312"/>
                <w:sz w:val="24"/>
                <w:b/>
              </w:rPr>
              <w:t>本项目采购的产品</w:t>
            </w:r>
            <w:r>
              <w:rPr>
                <w:rFonts w:ascii="仿宋_GB2312" w:hAnsi="仿宋_GB2312" w:cs="仿宋_GB2312" w:eastAsia="仿宋_GB2312"/>
                <w:sz w:val="24"/>
                <w:b/>
              </w:rPr>
              <w:t>如有</w:t>
            </w:r>
            <w:r>
              <w:rPr>
                <w:rFonts w:ascii="仿宋_GB2312" w:hAnsi="仿宋_GB2312" w:cs="仿宋_GB2312" w:eastAsia="仿宋_GB2312"/>
                <w:sz w:val="24"/>
                <w:b/>
              </w:rPr>
              <w:t>属于强制性产品认证目录中的产品，供应商应提供有效的</w:t>
            </w:r>
            <w:r>
              <w:rPr>
                <w:rFonts w:ascii="仿宋_GB2312" w:hAnsi="仿宋_GB2312" w:cs="仿宋_GB2312" w:eastAsia="仿宋_GB2312"/>
                <w:sz w:val="24"/>
                <w:b/>
              </w:rPr>
              <w:t>3C认证证书</w:t>
            </w:r>
            <w:r>
              <w:rPr>
                <w:rFonts w:ascii="仿宋_GB2312" w:hAnsi="仿宋_GB2312" w:cs="仿宋_GB2312" w:eastAsia="仿宋_GB2312"/>
                <w:sz w:val="24"/>
                <w:b/>
              </w:rPr>
              <w:t>或相关证明文件</w:t>
            </w:r>
            <w:r>
              <w:rPr>
                <w:rFonts w:ascii="仿宋_GB2312" w:hAnsi="仿宋_GB2312" w:cs="仿宋_GB2312" w:eastAsia="仿宋_GB2312"/>
                <w:sz w:val="24"/>
                <w:b/>
              </w:rPr>
              <w:t>。</w:t>
            </w:r>
          </w:p>
          <w:p>
            <w:pPr>
              <w:pStyle w:val="null3"/>
              <w:jc w:val="both"/>
            </w:pPr>
            <w:r>
              <w:rPr>
                <w:rFonts w:ascii="仿宋_GB2312" w:hAnsi="仿宋_GB2312" w:cs="仿宋_GB2312" w:eastAsia="仿宋_GB2312"/>
                <w:sz w:val="24"/>
              </w:rPr>
              <w:t>三：项目经理要求</w:t>
            </w:r>
          </w:p>
          <w:p>
            <w:pPr>
              <w:pStyle w:val="null3"/>
              <w:ind w:firstLine="480"/>
              <w:jc w:val="left"/>
            </w:pPr>
            <w:r>
              <w:rPr>
                <w:rFonts w:ascii="仿宋_GB2312" w:hAnsi="仿宋_GB2312" w:cs="仿宋_GB2312" w:eastAsia="仿宋_GB2312"/>
                <w:sz w:val="24"/>
                <w:color w:val="000000"/>
              </w:rPr>
              <w:t>项目经理人要求（负责与甲方对接、跟踪项目实施、质量进度管理、争议解决等。）：项目经理作为学校（甲方）的唯一对接人，全程负责合同签订、交付、验收和售后问题沟通；指定详细项目计划（含交货、安装、培训时间节点），确保按合同约定时间完成；监督设备生产、检验、运输，确保设备参数符合招标要求。对交付过程中出现的质量争议、技术偏差等问题，需在</w:t>
            </w:r>
            <w:r>
              <w:rPr>
                <w:rFonts w:ascii="仿宋_GB2312" w:hAnsi="仿宋_GB2312" w:cs="仿宋_GB2312" w:eastAsia="仿宋_GB2312"/>
                <w:sz w:val="24"/>
                <w:color w:val="000000"/>
              </w:rPr>
              <w:t>24小时内提交解决方案；协调供应商资源，保障学校教学进度不受影响。负责整理并提交项目全过程文件，归档至学校。</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 60日历天 内完成全部设备供货、安装调试及工程改造，并交付使用。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 60日历天 内完成全部设备供货、安装调试及工程改造，并交付使用。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陕西农林职业技术大学农林综合实训基地（具体位置由甲方指定）。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陕西农林职业技术大学农林综合实训基地（具体位置由甲方指定）。</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货物全部运到采购人指定地方，交付完毕并经终验合格后，卖方持《终验合格单》原件和全额增值税专用发票在买方处办理百分之百（100%）货款的支付手续，达到付款条件起10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货物全部运到采购人指定地方，交付完毕并经终验合格后，卖方持《终验合格单》原件和全额增值税专用发票在买方处办理百分之百（100%）货款的支付手续，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项目验收分初验和终验： 初验：货物到达交货地点后，由项目使用（实施）部门根据合同对货物的名称、品牌、规格、型号、产地、数量等进行检查。 终验：所有货物安装、调试完毕，由资产设备处组织终验，合格后签发《终验合格单》。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项目验收分初验和终验： 初验：货物到达交货地点后，由项目使用（实施）部门根据合同对货物的名称、品牌、规格、型号、产地、数量等进行检查。 终验：所有货物安装、调试完毕，由资产设备处组织终验，合格后签发《终验合格单》。</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1.所有产品均为全新原厂正品，符合国家相关行业标准，免费硬件质保≥ 3年，软件≥ 5年，农机核心动力、控制器、电池等关键部件同等质保，易损件享受 1 年免费更换服务； 2.建立 7×24 小时全天候售后响应机制，线上 1 小时内远程答疑，一般故障 24 小时、核心设备故障 12 小时内技术人员到场处置，无法及时修复则提供备用设备保障实训教学； 3.质保期内每半年开展一次全面巡检，完成农机保养并出具巡检报告； 4.配套赠送足量易损耗材，原厂配件长期稳定供应，农机管控软件终身免费基础版本迭代升级，质保期满后提供终身优惠维保、定期上门保养服务。</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1.所有产品均为全新原厂正品，符合国家相关行业标准，免费硬件质保≥ 3年，软件≥ 5年，农机核心动力、控制器、电池等关键部件同等质保，易损件享受 1 年免费更换服务； 2.建立 7×24 小时全天候售后响应机制，线上 1 小时内远程答疑，一般故障 24 小时、核心设备故障 12 小时内技术人员到场处置，无法及时修复则提供备用设备保障实训教学； 3.质保期内每半年开展一次全面巡检，完成传感器校准、网络与系统优化并出具巡检报告； 4.配套赠送足量易损耗材，原厂配件长期稳定供应，配套农情监测系统终身免费基础版本迭代升级，质保期满后提供终身优惠维保、定期上门保养服务。</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(1)按照《中华人民共和国民法典》和《中华人民共和国政府采购法》中的相关条款执行。 (2)提供的货物不符合合同要求，或者不能满足招标文件技术要求，乙方必须无条件退换直到合格，并承担逾期供货违约责任。否则，甲方有权终止合同，乙方及制造厂商共同退还货款，并支付合同金额30%的违约金，违约金不足以弥补损失的，应继续赔偿损失。 (3)除因不可抗力，乙方逾期交货，每天应按合同总价的千分之一向甲方支付违约金。如乙方逾期三十天仍未交齐货物的，甲方有权终止合同，乙方及制造厂商共同退还货款，并按合同总价30%向甲方支付违约金，违约金不足以弥补损失的，应继续赔偿损失。 (4)乙方所交货物的类型、版本、参数、功能需求等在使用中如发生不符合合同约定、国家标准，或者所供货物达不到约定技术要求的，或者运行存在较大潜在风险的，导致甲方无法正常使用的，乙方应无条件全额向甲方退还已收取的合同款，并向甲方支付合同总价款30%的违约金，违约金不足以弥补损失的，应继续赔偿损失。 (5)乙方所供货物在合理使用期限内，因质量或安装问题造成甲方或第三方人身伤亡、财产损失的，乙方应负责解决并承担赔偿责任，并赔偿甲方所有损失（包含但不限于律师费、诉讼费等一切损失）；乙方应按甲方要求采取退货、换货等方式处理，退换货的一切费用由乙方承担，并应退还甲方支付的合同总货款。 (6)若交货后三十日历日内乙方未完成安装调试的，每逾期一日应按合同总价的千分之一向甲方支付违约金。违约金不足以弥补损失的，应继续赔偿甲方损失。（7）未按合同要求的提供产品或质量不能满足技术要求，甲方有权终止合同，甚至对供方违约行为进行追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 xml:space="preserve"> (1)按照《中华人民共和国民法典》和《中华人民共和国政府采购法》中的相关条款执行。 (2)提供的货物不符合合同要求，或者不能满足招标文件技术要求，乙方必须无条件退换直到合格，并承担逾期供货违约责任。否则，甲方有权终止合同，乙方及制造厂商共同退还货款，并支付合同金额30%的违约金，违约金不足以弥补损失的，应继续赔偿损失。 (3)除因不可抗力，乙方逾期交货，每天应按合同总价的千分之一向甲方支付违约金。如乙方逾期三十天仍未交齐货物的，甲方有权终止合同，乙方及制造厂商共同退还货款，并按合同总价30%向甲方支付违约金，违约金不足以弥补损失的，应继续赔偿损失。 (4)乙方所交货物的类型、版本、参数、功能需求等在使用中如发生不符合合同约定、国家标准，或者所供货物达不到约定技术要求的，或者运行存在较大潜在风险的，导致甲方无法正常使用的，乙方应无条件全额向甲方退还已收取的合同款，并向甲方支付合同总价款30%的违约金，违约金不足以弥补损失的，应继续赔偿损失。 (5)乙方所供货物在合理使用期限内，因质量或安装问题造成甲方或第三方人身伤亡、财产损失的，乙方应负责解决并承担赔偿责任，并赔偿甲方所有损失（包含但不限于律师费、诉讼费等一切损失）；乙方应按甲方要求采取退货、换货等方式处理，退换货的一切费用由乙方承担，并应退还甲方支付的合同总货款。 (6)若交货后三十日历日内乙方未完成安装调试的，每逾期一日应按合同总价的千分之一向甲方支付违约金。违约金不足以弥补损失的，应继续赔偿甲方损失。（7）未按合同要求的提供产品或质量不能满足技术要求，甲方有权终止合同，甚至对供方违约行为进行追究。</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纸质版要求：结果公告发布后中标供应商需线下提交纸质版响应文件三套（纸质文件需与线上提交投标文件一致），用于归档。注：生成PDF电子文件时，先将各分册合并为完整一册，统一在响应文件页脚正中间编制整册连续页码，确保页码连贯、位置统一、生成的完整纸质投标文件建议A4纸双面打印，装订成册并编制目录和页码，密封并加盖公章。邮寄（仅接收顺丰快递，勿寄顺丰同城）或现场提交均可。邮寄地址：陕西省西安市碑林区陕西高速大厦16楼陕西中经招标有限公司；邮寄联系人：张丹（029-87888601-8000）；邮寄方式：只受理顺丰快递（不接受顺丰同城邮寄）。</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资格证明文件（一包）.docx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资格证明文件（一包）.docx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投标人企业关系关联承诺书.docx 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资格证明文件（二包）.docx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资格证明文件（二包）.docx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投标人企业关系关联承诺书.docx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投标人为响应招标并参加投标的合法注册的企业法人、事业法人或其他组织。企业法人应提供合法有效的标识有统一社会信用代码的营业执照；事业法人应提供事业单位法人证书；其他组织应提供合法登记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资格证明文件（一包）.docx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投标人应授权合法的人员参加投标全过程，其中法定代表人/负责人直接投标，须提交法定代表人/负责人身份证明书原件。法定代表人/负责人授权代表参加投标的，须出具法定代表人/负责人授权书原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资格证明文件（一包）.docx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财务状况情况</w:t>
            </w:r>
          </w:p>
        </w:tc>
        <w:tc>
          <w:tcPr>
            <w:tcW w:type="dxa" w:w="3322"/>
          </w:tcPr>
          <w:p>
            <w:pPr>
              <w:pStyle w:val="null3"/>
            </w:pPr>
            <w:r>
              <w:rPr>
                <w:rFonts w:ascii="仿宋_GB2312" w:hAnsi="仿宋_GB2312" w:cs="仿宋_GB2312" w:eastAsia="仿宋_GB2312"/>
              </w:rPr>
              <w:t>投标人提供2025年度经审计的完整财务审计报告（审计报告应当包含报告正文、资产负 债表、利润表、现金流量表、附注和会计师事务所营业执照，报告正文应当有会计师事务所公章，2个注册会计师的证书、签字和盖章）或开标前三个月内银行出具的资信证明，或财政部门认可的政府采购专业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资格证明文件（一包）.docx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08月01日至投标文件递交截止日已缴存的任意一个月的社会保障资金缴存单据或社保机构开具的社会保险参保缴费情况证明，依法不需要缴纳社会保障资金的投标人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资格证明文件（一包）.docx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08月01日至投标文件递交截止日已缴存的任意一个月的纳税证明或完税证明，纳税证明或完税证明上应有代收机构或税务机关的公章，依法免税的投标人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资格证明文件（一包）.docx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书面声明（信用记录）</w:t>
            </w:r>
          </w:p>
        </w:tc>
        <w:tc>
          <w:tcPr>
            <w:tcW w:type="dxa" w:w="3322"/>
          </w:tcPr>
          <w:p>
            <w:pPr>
              <w:pStyle w:val="null3"/>
            </w:pPr>
            <w:r>
              <w:rPr>
                <w:rFonts w:ascii="仿宋_GB2312" w:hAnsi="仿宋_GB2312" w:cs="仿宋_GB2312" w:eastAsia="仿宋_GB2312"/>
              </w:rPr>
              <w:t>参加本次政府采购活动前3年内在经营活动中没有重大违纪，以及未被列入失信被执行人、重大税收违法案件当事人名单、政府采购严重违法失信行为记录名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资格证明文件（一包）.docx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提供具有履行合同所必需的设备和专业技术能力的承诺；供应商需在项目电子化交易系统中按要求上传相应证明文件并进行电子签章。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资格证明文件（一包）.docx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为专门面向中小企业采购，投标产品的制造商应为中型企业或小型、微型企业或监狱企业或残疾人福利性单位。投标产品的制造商为中型、小型、微型企业的，投标人提供《中小企业声明函》，且中小企业的划分标准所属行业为工业；投标产品的制造商为监狱企业的，投标人应提供投标产品制造商为监狱企业的证明文件（监狱企业视同小型、微型企业）；投标产品的制造商为残疾人福利性单位的，投标人应提供投标产品制造商为残疾人福利性单位的《残疾人福利性单位声明函》（残疾人福利性单位视同小型、微型企业）。</w:t>
            </w:r>
          </w:p>
        </w:tc>
        <w:tc>
          <w:tcPr>
            <w:tcW w:type="dxa" w:w="1661"/>
          </w:tcPr>
          <w:p>
            <w:pPr>
              <w:pStyle w:val="null3"/>
            </w:pPr>
            <w:r>
              <w:rPr>
                <w:rFonts w:ascii="仿宋_GB2312" w:hAnsi="仿宋_GB2312" w:cs="仿宋_GB2312" w:eastAsia="仿宋_GB2312"/>
              </w:rPr>
              <w:t>资格证明文件（一包）.docx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投标人为响应招标并参加投标的合法注册的企业法人、事业法人或其他组织。企业法人应提供合法有效的标识有统一社会信用代码的营业执照；事业法人应提供事业单位法人证书；其他组织应提供合法登记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资格证明文件（二包）.docx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投标人应授权合法的人员参加投标全过程，其中法定代表人/负责人直接投标，须提交法定代表人/负责人身份证明书原件。法定代表人/负责人授权代表参加投标的，须出具法定代表人/负责人授权书原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资格证明文件（二包）.docx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投标人提供2025年度经审计的完整财务审计报告（审计报告应当包含报告正文、资产负 债表、利润表、现金流量表、附注和会计师事务所营业执照，报告正文应当有会计师事务所公章，2个注册会计师的证书、签字和盖章）或开标前三个月内银行出具的资信证明，或财政部门认可的政府采购专业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资格证明文件（二包）.docx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08月01日至投标文件递交截止日已缴存的任意一个月的社会保障资金缴存单据或社保机构开具的社会保险参保缴费情况证明，依法不需要缴纳社会保障资金的投标人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资格证明文件（二包）.docx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08月01日至投标文件递交截止日已缴存的任意一个月的纳税证明或完税证明，纳税证明或完税证明上应有代收机构或税务机关的公章，依法免税的投标人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资格证明文件（二包）.docx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书面声明（信用记录）</w:t>
            </w:r>
          </w:p>
        </w:tc>
        <w:tc>
          <w:tcPr>
            <w:tcW w:type="dxa" w:w="3322"/>
          </w:tcPr>
          <w:p>
            <w:pPr>
              <w:pStyle w:val="null3"/>
            </w:pPr>
            <w:r>
              <w:rPr>
                <w:rFonts w:ascii="仿宋_GB2312" w:hAnsi="仿宋_GB2312" w:cs="仿宋_GB2312" w:eastAsia="仿宋_GB2312"/>
              </w:rPr>
              <w:t>参加本次政府采购活动前3年内在经营活动中没有重大违纪，以及未被列入失信被执行人、重大税收违法案件当事人名单、政府采购严重违法失信行为记录名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资格证明文件（二包）.docx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提供具有履行合同所必需的设备和专业技术能力的承诺；供应商需在项目电子化交易系统中按要求上传相应证明文件并进行电子签章。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资格证明文件（二包）.docx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投标人名称字章</w:t>
            </w:r>
          </w:p>
        </w:tc>
        <w:tc>
          <w:tcPr>
            <w:tcW w:type="dxa" w:w="3322"/>
          </w:tcPr>
          <w:p>
            <w:pPr>
              <w:pStyle w:val="null3"/>
            </w:pPr>
            <w:r>
              <w:rPr>
                <w:rFonts w:ascii="仿宋_GB2312" w:hAnsi="仿宋_GB2312" w:cs="仿宋_GB2312" w:eastAsia="仿宋_GB2312"/>
              </w:rPr>
              <w:t xml:space="preserve"> 投标人名称字章是否一致</w:t>
            </w:r>
          </w:p>
        </w:tc>
        <w:tc>
          <w:tcPr>
            <w:tcW w:type="dxa" w:w="1661"/>
          </w:tcPr>
          <w:p>
            <w:pPr>
              <w:pStyle w:val="null3"/>
            </w:pPr>
            <w:r>
              <w:rPr>
                <w:rFonts w:ascii="仿宋_GB2312" w:hAnsi="仿宋_GB2312" w:cs="仿宋_GB2312" w:eastAsia="仿宋_GB2312"/>
              </w:rPr>
              <w:t>投标函 中小企业声明函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投标文件的签字盖章</w:t>
            </w:r>
          </w:p>
        </w:tc>
        <w:tc>
          <w:tcPr>
            <w:tcW w:type="dxa" w:w="3322"/>
          </w:tcPr>
          <w:p>
            <w:pPr>
              <w:pStyle w:val="null3"/>
            </w:pPr>
            <w:r>
              <w:rPr>
                <w:rFonts w:ascii="仿宋_GB2312" w:hAnsi="仿宋_GB2312" w:cs="仿宋_GB2312" w:eastAsia="仿宋_GB2312"/>
              </w:rPr>
              <w:t>投标文件的签字盖章是否按照招标文件要求进行的</w:t>
            </w:r>
          </w:p>
        </w:tc>
        <w:tc>
          <w:tcPr>
            <w:tcW w:type="dxa" w:w="1661"/>
          </w:tcPr>
          <w:p>
            <w:pPr>
              <w:pStyle w:val="null3"/>
            </w:pPr>
            <w:r>
              <w:rPr>
                <w:rFonts w:ascii="仿宋_GB2312" w:hAnsi="仿宋_GB2312" w:cs="仿宋_GB2312" w:eastAsia="仿宋_GB2312"/>
              </w:rPr>
              <w:t>投标函 中小企业声明函 拒绝政府采购领域商业贿赂承诺书.docx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投标有效期是否满足招标最低要求120天的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投标报价有效性</w:t>
            </w:r>
          </w:p>
        </w:tc>
        <w:tc>
          <w:tcPr>
            <w:tcW w:type="dxa" w:w="3322"/>
          </w:tcPr>
          <w:p>
            <w:pPr>
              <w:pStyle w:val="null3"/>
            </w:pPr>
            <w:r>
              <w:rPr>
                <w:rFonts w:ascii="仿宋_GB2312" w:hAnsi="仿宋_GB2312" w:cs="仿宋_GB2312" w:eastAsia="仿宋_GB2312"/>
              </w:rPr>
              <w:t>投标报价是否唯一有效且投标报价未超过采购预算的</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技术、商务要求是否满足实质性要求</w:t>
            </w:r>
          </w:p>
        </w:tc>
        <w:tc>
          <w:tcPr>
            <w:tcW w:type="dxa" w:w="3322"/>
          </w:tcPr>
          <w:p>
            <w:pPr>
              <w:pStyle w:val="null3"/>
            </w:pPr>
            <w:r>
              <w:rPr>
                <w:rFonts w:ascii="仿宋_GB2312" w:hAnsi="仿宋_GB2312" w:cs="仿宋_GB2312" w:eastAsia="仿宋_GB2312"/>
              </w:rPr>
              <w:t>技术、商务要求是否满足实质性要求的（交货期限、质保期、付款方式是否满足招标要求）</w:t>
            </w:r>
          </w:p>
        </w:tc>
        <w:tc>
          <w:tcPr>
            <w:tcW w:type="dxa" w:w="1661"/>
          </w:tcPr>
          <w:p>
            <w:pPr>
              <w:pStyle w:val="null3"/>
            </w:pPr>
            <w:r>
              <w:rPr>
                <w:rFonts w:ascii="仿宋_GB2312" w:hAnsi="仿宋_GB2312" w:cs="仿宋_GB2312" w:eastAsia="仿宋_GB2312"/>
              </w:rPr>
              <w:t>技术响应表.docx 商务响应表.docx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其他审查项</w:t>
            </w:r>
          </w:p>
        </w:tc>
        <w:tc>
          <w:tcPr>
            <w:tcW w:type="dxa" w:w="3322"/>
          </w:tcPr>
          <w:p>
            <w:pPr>
              <w:pStyle w:val="null3"/>
            </w:pPr>
            <w:r>
              <w:rPr>
                <w:rFonts w:ascii="仿宋_GB2312" w:hAnsi="仿宋_GB2312" w:cs="仿宋_GB2312" w:eastAsia="仿宋_GB2312"/>
              </w:rPr>
              <w:t>其他不符合法律、规章、规范性文件和规定的</w:t>
            </w:r>
          </w:p>
        </w:tc>
        <w:tc>
          <w:tcPr>
            <w:tcW w:type="dxa" w:w="1661"/>
          </w:tcPr>
          <w:p>
            <w:pPr>
              <w:pStyle w:val="null3"/>
            </w:pPr>
            <w:r>
              <w:rPr>
                <w:rFonts w:ascii="仿宋_GB2312" w:hAnsi="仿宋_GB2312" w:cs="仿宋_GB2312" w:eastAsia="仿宋_GB2312"/>
              </w:rPr>
              <w:t>投标人企业关系关联承诺书.docx 技术响应表.docx 拒绝政府采购领域商业贿赂承诺书.docx 商务响应表.docx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投标人名称字章</w:t>
            </w:r>
          </w:p>
        </w:tc>
        <w:tc>
          <w:tcPr>
            <w:tcW w:type="dxa" w:w="3322"/>
          </w:tcPr>
          <w:p>
            <w:pPr>
              <w:pStyle w:val="null3"/>
            </w:pPr>
            <w:r>
              <w:rPr>
                <w:rFonts w:ascii="仿宋_GB2312" w:hAnsi="仿宋_GB2312" w:cs="仿宋_GB2312" w:eastAsia="仿宋_GB2312"/>
              </w:rPr>
              <w:t xml:space="preserve"> 投标人名称字章是否一致</w:t>
            </w:r>
          </w:p>
        </w:tc>
        <w:tc>
          <w:tcPr>
            <w:tcW w:type="dxa" w:w="1661"/>
          </w:tcPr>
          <w:p>
            <w:pPr>
              <w:pStyle w:val="null3"/>
            </w:pPr>
            <w:r>
              <w:rPr>
                <w:rFonts w:ascii="仿宋_GB2312" w:hAnsi="仿宋_GB2312" w:cs="仿宋_GB2312" w:eastAsia="仿宋_GB2312"/>
              </w:rPr>
              <w:t>投标函 中小企业声明函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投标文件的签字盖章</w:t>
            </w:r>
          </w:p>
        </w:tc>
        <w:tc>
          <w:tcPr>
            <w:tcW w:type="dxa" w:w="3322"/>
          </w:tcPr>
          <w:p>
            <w:pPr>
              <w:pStyle w:val="null3"/>
            </w:pPr>
            <w:r>
              <w:rPr>
                <w:rFonts w:ascii="仿宋_GB2312" w:hAnsi="仿宋_GB2312" w:cs="仿宋_GB2312" w:eastAsia="仿宋_GB2312"/>
              </w:rPr>
              <w:t>投标文件的签字盖章是否按照招标文件要求进行的</w:t>
            </w:r>
          </w:p>
        </w:tc>
        <w:tc>
          <w:tcPr>
            <w:tcW w:type="dxa" w:w="1661"/>
          </w:tcPr>
          <w:p>
            <w:pPr>
              <w:pStyle w:val="null3"/>
            </w:pPr>
            <w:r>
              <w:rPr>
                <w:rFonts w:ascii="仿宋_GB2312" w:hAnsi="仿宋_GB2312" w:cs="仿宋_GB2312" w:eastAsia="仿宋_GB2312"/>
              </w:rPr>
              <w:t>投标函 中小企业声明函 拒绝政府采购领域商业贿赂承诺书.docx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 xml:space="preserve"> 投标有效期是否满足招标最低要求120天的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投标报价有效性</w:t>
            </w:r>
          </w:p>
        </w:tc>
        <w:tc>
          <w:tcPr>
            <w:tcW w:type="dxa" w:w="3322"/>
          </w:tcPr>
          <w:p>
            <w:pPr>
              <w:pStyle w:val="null3"/>
            </w:pPr>
            <w:r>
              <w:rPr>
                <w:rFonts w:ascii="仿宋_GB2312" w:hAnsi="仿宋_GB2312" w:cs="仿宋_GB2312" w:eastAsia="仿宋_GB2312"/>
              </w:rPr>
              <w:t>投标报价是否唯一有效且投标报价未超过采购预算</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技术、商务要求是否满足实质性要求</w:t>
            </w:r>
          </w:p>
        </w:tc>
        <w:tc>
          <w:tcPr>
            <w:tcW w:type="dxa" w:w="3322"/>
          </w:tcPr>
          <w:p>
            <w:pPr>
              <w:pStyle w:val="null3"/>
            </w:pPr>
            <w:r>
              <w:rPr>
                <w:rFonts w:ascii="仿宋_GB2312" w:hAnsi="仿宋_GB2312" w:cs="仿宋_GB2312" w:eastAsia="仿宋_GB2312"/>
              </w:rPr>
              <w:t>技术、商务要求是否满足实质性要求的（交货期限、质保期、付款方式是否满足招标要求）</w:t>
            </w:r>
          </w:p>
        </w:tc>
        <w:tc>
          <w:tcPr>
            <w:tcW w:type="dxa" w:w="1661"/>
          </w:tcPr>
          <w:p>
            <w:pPr>
              <w:pStyle w:val="null3"/>
            </w:pPr>
            <w:r>
              <w:rPr>
                <w:rFonts w:ascii="仿宋_GB2312" w:hAnsi="仿宋_GB2312" w:cs="仿宋_GB2312" w:eastAsia="仿宋_GB2312"/>
              </w:rPr>
              <w:t>技术响应表.docx 商务响应表.docx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其他审查项</w:t>
            </w:r>
          </w:p>
        </w:tc>
        <w:tc>
          <w:tcPr>
            <w:tcW w:type="dxa" w:w="3322"/>
          </w:tcPr>
          <w:p>
            <w:pPr>
              <w:pStyle w:val="null3"/>
            </w:pPr>
            <w:r>
              <w:rPr>
                <w:rFonts w:ascii="仿宋_GB2312" w:hAnsi="仿宋_GB2312" w:cs="仿宋_GB2312" w:eastAsia="仿宋_GB2312"/>
              </w:rPr>
              <w:t>其他不符合法律、规章、规范性文件和规定的</w:t>
            </w:r>
          </w:p>
        </w:tc>
        <w:tc>
          <w:tcPr>
            <w:tcW w:type="dxa" w:w="1661"/>
          </w:tcPr>
          <w:p>
            <w:pPr>
              <w:pStyle w:val="null3"/>
            </w:pPr>
            <w:r>
              <w:rPr>
                <w:rFonts w:ascii="仿宋_GB2312" w:hAnsi="仿宋_GB2312" w:cs="仿宋_GB2312" w:eastAsia="仿宋_GB2312"/>
              </w:rPr>
              <w:t>投标人企业关系关联承诺书.docx 技术响应表.docx 拒绝政府采购领域商业贿赂承诺书.docx 商务响应表.docx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响应招标文件全部技术指标、参数要求的得30分。其中带“▲”项为重要技术指标参数，未带标识的为一般参数。1、重要参数评审：▲项参数条款响应得分=（投标人满足▲项技术参数条款的数量÷▲项技术参数条款的总数量）×8分；2、一般参数评审：其余参数条款响应得分=（投标人满足的其余技术参数条款的数量÷其余技术参数条款的总数量）×22分； 3、技术要求总得分=重要参数评审得分+一般参数评审得分。注：①参数条数计数以表格中“技术参数与性能指标”列的连续序号数字（如1、2、3、…）为一项（标题除外）。②标注“▲”号条款技术参数，供应商须提供相关佐证材料（如投标产品生产厂家公开发布的资料、说明书或国家认可的第三方检测机构出具的检测报告）等资料（若“技术要求”中对证明材料已有要求的，则按要求提供）；未提供的或提供内容不足以支撑“▲”号条款技术参数的视为负偏离。③一般参数条款技术参数，供应商须自主响应，未响应或响应不全的则不得分。④得分保留小数点后两位小数，四舍五入。</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技术响应表.docx</w:t>
            </w:r>
          </w:p>
        </w:tc>
      </w:tr>
      <w:tr>
        <w:tc>
          <w:tcPr>
            <w:tcW w:type="dxa" w:w="831"/>
            <w:vMerge/>
          </w:tcPr>
          <w:p/>
        </w:tc>
        <w:tc>
          <w:tcPr>
            <w:tcW w:type="dxa" w:w="1661"/>
          </w:tcPr>
          <w:p>
            <w:pPr>
              <w:pStyle w:val="null3"/>
            </w:pPr>
            <w:r>
              <w:rPr>
                <w:rFonts w:ascii="仿宋_GB2312" w:hAnsi="仿宋_GB2312" w:cs="仿宋_GB2312" w:eastAsia="仿宋_GB2312"/>
              </w:rPr>
              <w:t>合法来源渠道证明</w:t>
            </w:r>
          </w:p>
        </w:tc>
        <w:tc>
          <w:tcPr>
            <w:tcW w:type="dxa" w:w="2492"/>
          </w:tcPr>
          <w:p>
            <w:pPr>
              <w:pStyle w:val="null3"/>
            </w:pPr>
            <w:r>
              <w:rPr>
                <w:rFonts w:ascii="仿宋_GB2312" w:hAnsi="仿宋_GB2312" w:cs="仿宋_GB2312" w:eastAsia="仿宋_GB2312"/>
              </w:rPr>
              <w:t>投标人需提供全部所投产品的合法来源渠道证明文件（包括但不限于销售协议、代理协议、制造商授权书等），全部提供得4分，有缺项不得分。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合法来源渠道证明.docx</w:t>
            </w:r>
          </w:p>
        </w:tc>
      </w:tr>
      <w:tr>
        <w:tc>
          <w:tcPr>
            <w:tcW w:type="dxa" w:w="831"/>
            <w:vMerge/>
          </w:tcPr>
          <w:p/>
        </w:tc>
        <w:tc>
          <w:tcPr>
            <w:tcW w:type="dxa" w:w="1661"/>
          </w:tcPr>
          <w:p>
            <w:pPr>
              <w:pStyle w:val="null3"/>
            </w:pPr>
            <w:r>
              <w:rPr>
                <w:rFonts w:ascii="仿宋_GB2312" w:hAnsi="仿宋_GB2312" w:cs="仿宋_GB2312" w:eastAsia="仿宋_GB2312"/>
              </w:rPr>
              <w:t>产品选型</w:t>
            </w:r>
          </w:p>
        </w:tc>
        <w:tc>
          <w:tcPr>
            <w:tcW w:type="dxa" w:w="2492"/>
          </w:tcPr>
          <w:p>
            <w:pPr>
              <w:pStyle w:val="null3"/>
            </w:pPr>
            <w:r>
              <w:rPr>
                <w:rFonts w:ascii="仿宋_GB2312" w:hAnsi="仿宋_GB2312" w:cs="仿宋_GB2312" w:eastAsia="仿宋_GB2312"/>
              </w:rPr>
              <w:t>一、评审内容 内容包含设备选型 二、评审标准 1、完整性：切合本项目实际情况，对所投产品中有详细描述及其他内容的补充； 2、科学性：切合本项目实际情况，叙述清楚，符合客观实际情况； 3、合理性：符合项目实际特点，合理、恰当； 4、可靠性：所选设备质量可靠。 三、赋分标准（满分4分） 设备选型：每完全满足一个评审标准无瑕疵得1分，有一处瑕疵扣0.2分；满分4分； 备注： 1.上述内容未提供的，对应评审因素不计分。 2.本文评审标准中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技术响应表.docx</w:t>
            </w:r>
          </w:p>
        </w:tc>
      </w:tr>
      <w:tr>
        <w:tc>
          <w:tcPr>
            <w:tcW w:type="dxa" w:w="831"/>
            <w:vMerge/>
          </w:tcPr>
          <w:p/>
        </w:tc>
        <w:tc>
          <w:tcPr>
            <w:tcW w:type="dxa" w:w="1661"/>
          </w:tcPr>
          <w:p>
            <w:pPr>
              <w:pStyle w:val="null3"/>
            </w:pPr>
            <w:r>
              <w:rPr>
                <w:rFonts w:ascii="仿宋_GB2312" w:hAnsi="仿宋_GB2312" w:cs="仿宋_GB2312" w:eastAsia="仿宋_GB2312"/>
              </w:rPr>
              <w:t>实施计划和保证措施</w:t>
            </w:r>
          </w:p>
        </w:tc>
        <w:tc>
          <w:tcPr>
            <w:tcW w:type="dxa" w:w="2492"/>
          </w:tcPr>
          <w:p>
            <w:pPr>
              <w:pStyle w:val="null3"/>
            </w:pPr>
            <w:r>
              <w:rPr>
                <w:rFonts w:ascii="仿宋_GB2312" w:hAnsi="仿宋_GB2312" w:cs="仿宋_GB2312" w:eastAsia="仿宋_GB2312"/>
              </w:rPr>
              <w:t>一、评审内容 投标人需提供科学、完整、合理、规范的实施方案及措施。内容包含：①实施方案计划②进度保证措施③人员配置方案④供货安装、调试方案⑤验收措施。 二、评审标准 1、完整性：方案须全面，对评审内容中的各项要求描述详细； 2、可实施性：切合本项目实际情况，实施步骤清晰、合理； 3、针对性：方案能够紧扣项目实 际情况，内容科学合理。 三、赋分依据（满分9分） ①实施方案计划：每完全满足一个评审标准最高得1分，有一处瑕疵扣0.2分，满分3分； ②进度保证措施:每完全满足一个评审标准无瑕疵得0.5分，有一处瑕疵扣0.2分，满分1.5分； ③人员配置方案:每完全满足一个评审标准无瑕疵得0.5分，有一处瑕疵扣0.2分，满分1.5分； ④供货安装、调试方案：每完全满足一个评审标准无瑕疵得0.5分，有一处瑕疵扣0.2分，满分1.5分； ⑤验收措施：每完全满足一个评审标准无瑕疵得0.5分，有一处瑕疵扣0.2分，满分1.5分； 备注： 1.上述内容未提供的，对应评审因素不计分。 2.本文评审标准中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实施计划和保证措施.docx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针对本项目提供培训方案，为采购人培训操作维护人员，以保障使用过程中能熟练操作、维护和正常使用，培训方案内容包含①培训内容②培训计划安排（包含不限于：对培训对象、培训时间做出计划，包括培训时间、地点、人次、方式、预计培训结果，保证采购人人员掌握仪器的基本操作和日常维护。） 二、评审标准 1、完整性：切合本项目实际情况，方案内容齐全，对招标文件中各项要求有详细描述及其他内容的补充； 2、科学性：切合本项目实际情况，叙述清楚，符合客观实际情况； 3、合理性：方案内容符合项目实际特点，合理、恰当。 三、赋分标准（满分3分） ①培训内容：每完全满足一个评审标准无瑕疵得0.5分，有一处瑕疵扣0.2分，满分1.5分； ②培训计划安排（包含不限于：对培训对象、培训时间做出计划，包括培训时间、地点、人次、方式、预计培训结果，保证采购人人员掌握仪器的基本操作和日常维护。）：每完全满足一个评审标准无瑕疵得0.5分，有一处瑕疵扣0.2分，满分1.5分。 备注： 1.上述内容未提供的，对应评审因素不计分。 2.本文评审标准中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根据项目实际需求提供售后服务方案。内容包含：①售后服务范围及保障措施②应急方案（包含不限于响应时间、故障处理、补救措施等相关内容） 二、评审标准 1.完整性：方案须全面，对评审内容中的各项要求有详细描述； 2.可实施性：切合本项目实际情况，提出步骤清晰、合理的方案； 3.针对性：方案能够紧扣项目实际情况，内容科学合理。 三、赋分依据（满分3分） ①售后服务范围及保障措施：每完全满足一个评审标准无瑕疵得0.5分，有一处瑕疵扣0.2分，满分1.5分。 ②应急方案（包含不限于响应时间、故障处理、补救措施等相关内容）:每完全满足一个评审标准无瑕疵得0.5分，有一处瑕疵扣0.2分，满分1.5分。 备注： 1.上述内容未提供的，对应评审因素不计分。 2.本文评审标准中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1、投标人拟派项目经理具有3年（含）-5年类似项目管理经验得1分。 2、投标人拟派项目经理具有5年（含）以上类似项目管理经验得2分。 以上得分不重复计分，最高得2分。 （提供相关证明材料，包含但不限于担任项目经理的中标/成交通知书、项目合同、竣工验收报告/用户评价证明。证明材料需体现项目经理信息）</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项目负责人经验.docx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投标人提供自2023年01月01日起（以合同签订日为准）至今自身实施的同类业绩，每提供1个业绩得1分，最高得5分。 注： 提供完整合同复印件及项目对应发票加盖投标人公章。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以合格投标人有效投标总报价中的最低价为基准价，基准价为40分。投标报价得分＝（评标基准价/投标报价）×40%×100（小数点后保留2位小数）。</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本国产品说明.docx</w:t>
            </w:r>
          </w:p>
          <w:p>
            <w:pPr>
              <w:pStyle w:val="null3"/>
            </w:pPr>
            <w:r>
              <w:rPr>
                <w:rFonts w:ascii="仿宋_GB2312" w:hAnsi="仿宋_GB2312" w:cs="仿宋_GB2312" w:eastAsia="仿宋_GB2312"/>
              </w:rPr>
              <w:t>中国境内生产的组件成本核算基本规则.docx</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响应招标文件全部技术指标、参数要求的得30分。其中带“▲”项为重要技术指标参数，未带标识的为一般参数。1、重要参数评审：▲项参数条款响应得分=（投标人满足▲项技术参数条款的数量÷▲项技术参数条款的总数量）×16分；2、一般参数评审：其余参数条款响应得分=（投标人满足的其余技术参数条款的数量÷其余技术参数条款的总数量）×14分； 3、技术要求总得分=重要参数评审得分+一般参数评审得分。注：①参数条数计数以表格中“技术参数与性能指标”列的连续序号数字（如1、2、3、…）为一项（标题除外）。②标注“▲”号条款技术参数，供应商须提供相关佐证材料（如投标产品生产厂家公开发布的资料、说明书或国家认可的第三方检测机构出具的检测报告）等资料（若“技术要求”中对证明材料已有要求的，则按要求提供）；未提供的或提供内容不足以支撑“▲”号条款技术参数的视为负偏离。③一般参数条款技术参数，供应商须自主响应，未响应或响应不全的则不得分。④得分保留小数点后两位小数，四舍五入。</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技术响应表.docx</w:t>
            </w:r>
          </w:p>
        </w:tc>
      </w:tr>
      <w:tr>
        <w:tc>
          <w:tcPr>
            <w:tcW w:type="dxa" w:w="831"/>
            <w:vMerge/>
          </w:tcPr>
          <w:p/>
        </w:tc>
        <w:tc>
          <w:tcPr>
            <w:tcW w:type="dxa" w:w="1661"/>
          </w:tcPr>
          <w:p>
            <w:pPr>
              <w:pStyle w:val="null3"/>
            </w:pPr>
            <w:r>
              <w:rPr>
                <w:rFonts w:ascii="仿宋_GB2312" w:hAnsi="仿宋_GB2312" w:cs="仿宋_GB2312" w:eastAsia="仿宋_GB2312"/>
              </w:rPr>
              <w:t>合法来源渠道证明</w:t>
            </w:r>
          </w:p>
        </w:tc>
        <w:tc>
          <w:tcPr>
            <w:tcW w:type="dxa" w:w="2492"/>
          </w:tcPr>
          <w:p>
            <w:pPr>
              <w:pStyle w:val="null3"/>
            </w:pPr>
            <w:r>
              <w:rPr>
                <w:rFonts w:ascii="仿宋_GB2312" w:hAnsi="仿宋_GB2312" w:cs="仿宋_GB2312" w:eastAsia="仿宋_GB2312"/>
              </w:rPr>
              <w:t>投标人需提供全部所投产品的合法来源渠道证明文件（包括但不限于销售协议、代理协议、制造商授权书等），全部提供得4分，有缺项不得分。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合法来源渠道证明.docx</w:t>
            </w:r>
          </w:p>
        </w:tc>
      </w:tr>
      <w:tr>
        <w:tc>
          <w:tcPr>
            <w:tcW w:type="dxa" w:w="831"/>
            <w:vMerge/>
          </w:tcPr>
          <w:p/>
        </w:tc>
        <w:tc>
          <w:tcPr>
            <w:tcW w:type="dxa" w:w="1661"/>
          </w:tcPr>
          <w:p>
            <w:pPr>
              <w:pStyle w:val="null3"/>
            </w:pPr>
            <w:r>
              <w:rPr>
                <w:rFonts w:ascii="仿宋_GB2312" w:hAnsi="仿宋_GB2312" w:cs="仿宋_GB2312" w:eastAsia="仿宋_GB2312"/>
              </w:rPr>
              <w:t>产品选型</w:t>
            </w:r>
          </w:p>
        </w:tc>
        <w:tc>
          <w:tcPr>
            <w:tcW w:type="dxa" w:w="2492"/>
          </w:tcPr>
          <w:p>
            <w:pPr>
              <w:pStyle w:val="null3"/>
            </w:pPr>
            <w:r>
              <w:rPr>
                <w:rFonts w:ascii="仿宋_GB2312" w:hAnsi="仿宋_GB2312" w:cs="仿宋_GB2312" w:eastAsia="仿宋_GB2312"/>
              </w:rPr>
              <w:t>一、评审内容 内容包含设备选型 二、评审标准 1、完整性：切合本项目实际情况，对所投产品中有详细描述及其他内容的补充； 2、科学性：切合本项目实际情况，叙述清楚，符合客观实际情况； 3、合理性：符合项目实际特点，合理、恰当； 4、可靠性：所选设备质量可靠。 三、赋分标准（满分4分） 设备选型：每完全满足一个评审标准无瑕疵得1分，有一处瑕疵扣0.2分；满分4分； 备注： 1.上述内容未提供的，对应评审因素不计分。 2.本文评审标准中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技术响应表.docx</w:t>
            </w:r>
          </w:p>
        </w:tc>
      </w:tr>
      <w:tr>
        <w:tc>
          <w:tcPr>
            <w:tcW w:type="dxa" w:w="831"/>
            <w:vMerge/>
          </w:tcPr>
          <w:p/>
        </w:tc>
        <w:tc>
          <w:tcPr>
            <w:tcW w:type="dxa" w:w="1661"/>
          </w:tcPr>
          <w:p>
            <w:pPr>
              <w:pStyle w:val="null3"/>
            </w:pPr>
            <w:r>
              <w:rPr>
                <w:rFonts w:ascii="仿宋_GB2312" w:hAnsi="仿宋_GB2312" w:cs="仿宋_GB2312" w:eastAsia="仿宋_GB2312"/>
              </w:rPr>
              <w:t>实施计划和保证措施</w:t>
            </w:r>
          </w:p>
        </w:tc>
        <w:tc>
          <w:tcPr>
            <w:tcW w:type="dxa" w:w="2492"/>
          </w:tcPr>
          <w:p>
            <w:pPr>
              <w:pStyle w:val="null3"/>
            </w:pPr>
            <w:r>
              <w:rPr>
                <w:rFonts w:ascii="仿宋_GB2312" w:hAnsi="仿宋_GB2312" w:cs="仿宋_GB2312" w:eastAsia="仿宋_GB2312"/>
              </w:rPr>
              <w:t>一、评审内容 投标人需提供科学、完整、合理、规范的实施方案及措施。内容包含：①实施方案计划②进度保证措施③人员配置方案④供货安装、调试方案⑤验收措施。 二、评审标准 1、完整性：方案须全面，对评审内容中的各项要求描述详细； 2、可实施性：切合本项目实际情况，实施步骤清晰、合理； 3、针对性：方案能够紧扣项目实 际情况，内容科学合理。 三、赋分依据（满分9分） ①实施方案计划：每完全满足一个评审标准最高得1分，有一处瑕疵扣0.2分，满分3分； ②进度保证措施:每完全满足一个评审标准无瑕疵得0.5分，有一处瑕疵扣0.2分，满分1.5分； ③人员配置方案:每完全满足一个评审标准无瑕疵得0.5分，有一处瑕疵扣0.2分，满分1.5分； ④供货安装、调试方案：每完全满足一个评审标准无瑕疵得0.5分，有一处瑕疵扣0.2分，满分1.5分； ⑤验收措施：每完全满足一个评审标准无瑕疵得0.5分，有一处瑕疵扣0.2分，满分1.5分； 备注： 1.上述内容未提供的，对应评审因素不计分。 2.本文评审标准中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实施计划和保证措施.docx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针对本项目提供培训方案，为采购人培训操作维护人员，以保障使用过程中能熟练操作、维护和正常使用，培训方案内容包含①培训内容②培训计划安排（包含不限于：对培训对象、培训时间做出计划，包括培训时间、地点、人次、方式、预计培训结果，保证采购人人员掌握仪器的基本操作和日常维护。） 二、评审标准 1、完整性：切合本项目实际情况，方案内容齐全，对招标文件中各项要求有详细描述及其他内容的补充； 2、科学性：切合本项目实际情况，叙述清楚，符合客观实际情况； 3、合理性：方案内容符合项目实际特点，合理、恰当。 三、赋分标准（满分3分） ①培训内容：每完全满足一个评审标准无瑕疵得0.5分，有一处瑕疵扣0.2分，满分1.5分； ②培训计划安排（包含不限于：对培训对象、培训时间做出计划，包括培训时间、地点、人次、方式、预计培训结果，保证采购人人员掌握仪器的基本操作和日常维护。）：每完全满足一个评审标准无瑕疵得0.5分，有一处瑕疵扣0.2分，满分1.5分。 备注： 1.上述内容未提供的，对应评审因素不计分。 2.本文评审标准中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根据项目实际需求提供售后服务方案。内容包含：①售后服务范围及保障措施②应急方案（包含不限于响应时间、故障处理、补救措施等相关内容） 二、评审标准 1.完整性：方案须全面，对评审内容中的各项要求有详细描述； 2.可实施性：切合本项目实际情况，提出步骤清晰、合理的方案； 3.针对性：方案能够紧扣项目实际情况，内容科学合理。 三、赋分依据（满分3分） ①售后服务范围及保障措施：每完全满足一个评审标准无瑕疵得0.5分，有一处瑕疵扣0.2分，满分1.5分。 ②应急方案（包含不限于响应时间、故障处理、补救措施等相关内容）:每完全满足一个评审标准无瑕疵得0.5分，有一处瑕疵扣0.2分，满分1.5分。 备注： 1.上述内容未提供的，对应评审因素不计分。 2.本文评审标准中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1、投标人拟派项目经理具有3年（含）-5年类似项目管理经验得1分。 2、投标人拟派项目经理具有5年（含）以上类似项目管理经验得2分。 以上得分不重复计分，最高得2分。 （提供相关证明材料，包含但不限于担任项目经理的中标/成交通知书、项目合同、竣工验收报告/用户评价证明。证明材料需体现项目经理信息）</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项目负责人经验.docx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投标人提供自2023年01月01日起（以合同签订日为准）至今自身实施的同类业绩，每提供1个业绩得1分，最高得5分。 注： 提供完整合同复印件及项目对应发票加盖投标人公章。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以合格投标人有效投标总报价中的最低价为基准价，基准价为40分。投标报价得分＝（评标基准价/投标报价）×40%×100（小数点后保留2位小数）。</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本国产品说明.docx</w:t>
            </w:r>
          </w:p>
          <w:p>
            <w:pPr>
              <w:pStyle w:val="null3"/>
            </w:pPr>
            <w:r>
              <w:rPr>
                <w:rFonts w:ascii="仿宋_GB2312" w:hAnsi="仿宋_GB2312" w:cs="仿宋_GB2312" w:eastAsia="仿宋_GB2312"/>
              </w:rPr>
              <w:t>中国境内生产的组件成本核算基本规则.docx</w:t>
            </w:r>
          </w:p>
          <w:p>
            <w:pPr>
              <w:pStyle w:val="null3"/>
            </w:pPr>
            <w:r>
              <w:rPr>
                <w:rFonts w:ascii="仿宋_GB2312" w:hAnsi="仿宋_GB2312" w:cs="仿宋_GB2312" w:eastAsia="仿宋_GB2312"/>
              </w:rPr>
              <w:t>分项报价表.docx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详见附件：本国产品说明.docx</w:t>
      </w:r>
    </w:p>
    <w:p>
      <w:pPr>
        <w:pStyle w:val="null3"/>
        <w:ind w:firstLine="960"/>
      </w:pPr>
      <w:r>
        <w:rPr>
          <w:rFonts w:ascii="仿宋_GB2312" w:hAnsi="仿宋_GB2312" w:cs="仿宋_GB2312" w:eastAsia="仿宋_GB2312"/>
        </w:rPr>
        <w:t>详见附件：中国境内生产的组件成本核算基本规则.docx</w:t>
      </w:r>
    </w:p>
    <w:p>
      <w:pPr>
        <w:pStyle w:val="null3"/>
        <w:ind w:firstLine="960"/>
      </w:pPr>
      <w:r>
        <w:rPr>
          <w:rFonts w:ascii="仿宋_GB2312" w:hAnsi="仿宋_GB2312" w:cs="仿宋_GB2312" w:eastAsia="仿宋_GB2312"/>
        </w:rPr>
        <w:t>详见附件：技术响应表.docx</w:t>
      </w:r>
    </w:p>
    <w:p>
      <w:pPr>
        <w:pStyle w:val="null3"/>
        <w:ind w:firstLine="960"/>
      </w:pPr>
      <w:r>
        <w:rPr>
          <w:rFonts w:ascii="仿宋_GB2312" w:hAnsi="仿宋_GB2312" w:cs="仿宋_GB2312" w:eastAsia="仿宋_GB2312"/>
        </w:rPr>
        <w:t>详见附件：商务响应表.docx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详见附件：投标人企业关系关联承诺书.docx</w:t>
      </w:r>
    </w:p>
    <w:p>
      <w:pPr>
        <w:pStyle w:val="null3"/>
        <w:ind w:firstLine="960"/>
      </w:pPr>
      <w:r>
        <w:rPr>
          <w:rFonts w:ascii="仿宋_GB2312" w:hAnsi="仿宋_GB2312" w:cs="仿宋_GB2312" w:eastAsia="仿宋_GB2312"/>
        </w:rPr>
        <w:t>详见附件：资格证明文件（一包）.docx</w:t>
      </w:r>
    </w:p>
    <w:p>
      <w:pPr>
        <w:pStyle w:val="null3"/>
        <w:ind w:firstLine="960"/>
      </w:pPr>
      <w:r>
        <w:rPr>
          <w:rFonts w:ascii="仿宋_GB2312" w:hAnsi="仿宋_GB2312" w:cs="仿宋_GB2312" w:eastAsia="仿宋_GB2312"/>
        </w:rPr>
        <w:t>详见附件：实施计划和保证措施.docx</w:t>
      </w:r>
    </w:p>
    <w:p>
      <w:pPr>
        <w:pStyle w:val="null3"/>
        <w:ind w:firstLine="960"/>
      </w:pPr>
      <w:r>
        <w:rPr>
          <w:rFonts w:ascii="仿宋_GB2312" w:hAnsi="仿宋_GB2312" w:cs="仿宋_GB2312" w:eastAsia="仿宋_GB2312"/>
        </w:rPr>
        <w:t>详见附件：合法来源渠道证明.docx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详见附件：项目负责人经验.docx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详见附件：本国产品说明.docx</w:t>
      </w:r>
    </w:p>
    <w:p>
      <w:pPr>
        <w:pStyle w:val="null3"/>
        <w:ind w:firstLine="960"/>
      </w:pPr>
      <w:r>
        <w:rPr>
          <w:rFonts w:ascii="仿宋_GB2312" w:hAnsi="仿宋_GB2312" w:cs="仿宋_GB2312" w:eastAsia="仿宋_GB2312"/>
        </w:rPr>
        <w:t>详见附件：中国境内生产的组件成本核算基本规则.docx</w:t>
      </w:r>
    </w:p>
    <w:p>
      <w:pPr>
        <w:pStyle w:val="null3"/>
        <w:ind w:firstLine="960"/>
      </w:pPr>
      <w:r>
        <w:rPr>
          <w:rFonts w:ascii="仿宋_GB2312" w:hAnsi="仿宋_GB2312" w:cs="仿宋_GB2312" w:eastAsia="仿宋_GB2312"/>
        </w:rPr>
        <w:t>详见附件：技术响应表.docx</w:t>
      </w:r>
    </w:p>
    <w:p>
      <w:pPr>
        <w:pStyle w:val="null3"/>
        <w:ind w:firstLine="960"/>
      </w:pPr>
      <w:r>
        <w:rPr>
          <w:rFonts w:ascii="仿宋_GB2312" w:hAnsi="仿宋_GB2312" w:cs="仿宋_GB2312" w:eastAsia="仿宋_GB2312"/>
        </w:rPr>
        <w:t>详见附件：商务响应表.docx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详见附件：投标人企业关系关联承诺书.docx</w:t>
      </w:r>
    </w:p>
    <w:p>
      <w:pPr>
        <w:pStyle w:val="null3"/>
        <w:ind w:firstLine="960"/>
      </w:pPr>
      <w:r>
        <w:rPr>
          <w:rFonts w:ascii="仿宋_GB2312" w:hAnsi="仿宋_GB2312" w:cs="仿宋_GB2312" w:eastAsia="仿宋_GB2312"/>
        </w:rPr>
        <w:t>详见附件：资格证明文件（二包）.docx</w:t>
      </w:r>
    </w:p>
    <w:p>
      <w:pPr>
        <w:pStyle w:val="null3"/>
        <w:ind w:firstLine="960"/>
      </w:pPr>
      <w:r>
        <w:rPr>
          <w:rFonts w:ascii="仿宋_GB2312" w:hAnsi="仿宋_GB2312" w:cs="仿宋_GB2312" w:eastAsia="仿宋_GB2312"/>
        </w:rPr>
        <w:t>详见附件：实施计划和保证措施.docx</w:t>
      </w:r>
    </w:p>
    <w:p>
      <w:pPr>
        <w:pStyle w:val="null3"/>
        <w:ind w:firstLine="960"/>
      </w:pPr>
      <w:r>
        <w:rPr>
          <w:rFonts w:ascii="仿宋_GB2312" w:hAnsi="仿宋_GB2312" w:cs="仿宋_GB2312" w:eastAsia="仿宋_GB2312"/>
        </w:rPr>
        <w:t>详见附件：合法来源渠道证明.docx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详见附件：项目负责人经验.docx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详见附件：政府采购货物买卖合同（参考模板以实际签署合同为准）.docx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